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College Counseling, Critical Thinking &amp; Study Skills</w:t>
      </w:r>
    </w:p>
    <w:p>
      <w:pPr/>
      <w:r>
        <w:t>Optima Academy Online · Course Syllabus · 2026–2027 · One-Semester Elective · Grade 11</w:t>
      </w:r>
    </w:p>
    <w:p>
      <w:pPr/>
      <w:r>
        <w:t>Editable fields — teachers, fill these in directly. No other software or Claude access needed.</w:t>
      </w:r>
    </w:p>
    <w:p/>
    <w:p>
      <w:pPr/>
      <w:r>
        <w:rPr>
          <w:b/>
        </w:rPr>
        <w:t>Facilitator:</w:t>
      </w:r>
      <w:r>
        <w:t xml:space="preserve"> [Teacher Name]</w:t>
      </w:r>
    </w:p>
    <w:p>
      <w:pPr/>
      <w:r>
        <w:rPr>
          <w:b/>
        </w:rPr>
        <w:t>Email:</w:t>
      </w:r>
      <w:r>
        <w:t xml:space="preserve"> [Teacher email address]</w:t>
      </w:r>
    </w:p>
    <w:p>
      <w:pPr/>
      <w:r>
        <w:rPr>
          <w:b/>
        </w:rPr>
        <w:t>Office Hours:</w:t>
      </w:r>
      <w:r>
        <w:t xml:space="preserve"> [Office hours — days &amp; times]</w:t>
      </w:r>
    </w:p>
    <w:p>
      <w:pPr/>
      <w:r>
        <w:rPr>
          <w:b/>
        </w:rPr>
        <w:t>Phone:</w:t>
      </w:r>
      <w:r>
        <w:t xml:space="preserve"> 239.673.2801 (OAO Front Office)</w:t>
      </w:r>
    </w:p>
    <w:p>
      <w:pPr/>
      <w:r>
        <w:rPr>
          <w:b/>
        </w:rPr>
        <w:t>Florida Course:</w:t>
      </w:r>
      <w:r>
        <w:t xml:space="preserve"> 1700370 · One-semester elective course · 0.5 credit</w:t>
      </w:r>
    </w:p>
    <w:p>
      <w:pPr/>
      <w:r>
        <w:rPr>
          <w:b/>
        </w:rPr>
        <w:t>Grade Level:</w:t>
      </w:r>
      <w:r>
        <w:t xml:space="preserve"> Grade 11 (High School, college-preparatory)</w:t>
      </w:r>
    </w:p>
    <w:p>
      <w:pPr/>
      <w:r>
        <w:rPr>
          <w:b/>
        </w:rPr>
        <w:t>Format:</w:t>
      </w:r>
      <w:r>
        <w:t xml:space="preserve"> On-Demand (also offered live on Optima’s VR campus)</w:t>
      </w:r>
    </w:p>
    <w:p/>
    <w:p>
      <w:pPr/>
      <w:r>
        <w:t>This is the plan for the course as designed. It is a half-credit, one-semester elective; On-Demand scholars pace through six modules across roughly 18 weeks of their enrolled semester. On-Demand and live-school sections share the same content and expectations; exact pacing, scheduled dates, and a few activities may vary from section to section and term to term. [Teacher: confirm the specifics for your section here, including whether your section runs fall or spring semester.]</w:t>
      </w:r>
    </w:p>
    <w:p>
      <w:pPr>
        <w:pStyle w:val="Heading2"/>
      </w:pPr>
      <w:r>
        <w:t>Course Overview</w:t>
      </w:r>
    </w:p>
    <w:p>
      <w:pPr/>
      <w:r>
        <w:t>College Counseling, Critical Thinking &amp; Study Skills walks scholars through the real decisions of planning a path after high school: taking honest stock of their own strengths and interests, weighing careers and majors against real labor-market data, building a college shortlist around genuine fit rather than prestige, understanding what college actually costs and how to fund it responsibly, organizing and completing real applications, and writing a college essay that is authentically their own. Two signature projects anchor the semester: a professional one-page resume, built through a five-step brainstorm-to-design process, and a complete college application essay, built from a personal angle rather than a formula. Throughout, scholars practice verifying information from primary sources (O*NET, the College Scorecard, net price calculators, the FAFSA) instead of taking secondhand claims, including AI-generated ones, at face value.</w:t>
      </w:r>
    </w:p>
    <w:p>
      <w:pPr>
        <w:pStyle w:val="Heading3"/>
      </w:pPr>
      <w:r>
        <w:t>What Students Will Learn to Do</w:t>
      </w:r>
    </w:p>
    <w:p>
      <w:pPr>
        <w:pStyle w:val="ListBullet"/>
      </w:pPr>
      <w:r>
        <w:t>Take honest stock of your own strengths, interests, and readiness as a foundation for every later decision.</w:t>
      </w:r>
    </w:p>
    <w:p>
      <w:pPr>
        <w:pStyle w:val="ListBullet"/>
      </w:pPr>
      <w:r>
        <w:t>Use proven study strategies built on how memory actually works: elaboration for encoding, spaced practice for storage, and self-testing for retrieval.</w:t>
      </w:r>
    </w:p>
    <w:p>
      <w:pPr>
        <w:pStyle w:val="ListBullet"/>
      </w:pPr>
      <w:r>
        <w:t>Compare career-first and major-first approaches to choosing a path of study, using real labor-market data rather than assumptions.</w:t>
      </w:r>
    </w:p>
    <w:p>
      <w:pPr>
        <w:pStyle w:val="ListBullet"/>
      </w:pPr>
      <w:r>
        <w:t>Build a shortlist of colleges matched to genuine fit — program strength, type, culture, and support services — rather than prestige alone.</w:t>
      </w:r>
    </w:p>
    <w:p>
      <w:pPr>
        <w:pStyle w:val="ListBullet"/>
      </w:pPr>
      <w:r>
        <w:t>Read a real college bill, run an actual net price calculator, and build a funding plan that sequences grants, scholarships, earned money, and loans responsibly.</w:t>
      </w:r>
    </w:p>
    <w:p>
      <w:pPr>
        <w:pStyle w:val="ListBullet"/>
      </w:pPr>
      <w:r>
        <w:t>Organize every application deadline and requirement in one tracker, and choose an admissions test (SAT, ACT, or CLT) suited to your strengths.</w:t>
      </w:r>
    </w:p>
    <w:p>
      <w:pPr>
        <w:pStyle w:val="ListBullet"/>
      </w:pPr>
      <w:r>
        <w:t>Build a professional one-page resume through a five-step brainstorm-to-design process, matched to a real target audience, and deliver it aloud as a 60-second recorded pitch.</w:t>
      </w:r>
    </w:p>
    <w:p>
      <w:pPr>
        <w:pStyle w:val="ListBullet"/>
      </w:pPr>
      <w:r>
        <w:t>Write a complete, honest college application essay built from your own angle, revise it from real feedback, and never submit AI-generated writing as your own.</w:t>
      </w:r>
    </w:p>
    <w:p>
      <w:pPr>
        <w:pStyle w:val="ListBullet"/>
      </w:pPr>
      <w:r>
        <w:t>Practice using AI tools to support research and organization while keeping the thinking, judgment, and final decisions your own.</w:t>
      </w:r>
    </w:p>
    <w:p>
      <w:pPr>
        <w:pStyle w:val="Heading2"/>
      </w:pPr>
      <w:r>
        <w:t>Big Projects &amp; Milestones</w:t>
      </w:r>
    </w:p>
    <w:p>
      <w:pPr/>
      <w:r>
        <w:t>The course builds toward a set of finished, real-world artifacts. Target dates below follow a sample fall-semester pacing; a spring section follows the same 18-week arc against the spring calendar. On-Demand scholars pace to their own enrolled term.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Project / Milestone</w:t>
            </w:r>
          </w:p>
        </w:tc>
        <w:tc>
          <w:tcPr>
            <w:tcW w:type="dxa" w:w="2160"/>
          </w:tcPr>
          <w:p>
            <w:r/>
            <w:r>
              <w:rPr>
                <w:b/>
              </w:rPr>
              <w:t>Course Place</w:t>
            </w:r>
          </w:p>
        </w:tc>
        <w:tc>
          <w:tcPr>
            <w:tcW w:type="dxa" w:w="2160"/>
          </w:tcPr>
          <w:p>
            <w:r/>
            <w:r>
              <w:rPr>
                <w:b/>
              </w:rPr>
              <w:t>Sample Target</w:t>
            </w:r>
          </w:p>
        </w:tc>
        <w:tc>
          <w:tcPr>
            <w:tcW w:type="dxa" w:w="2160"/>
          </w:tcPr>
          <w:p>
            <w:r/>
            <w:r>
              <w:rPr>
                <w:b/>
              </w:rPr>
              <w:t>What You Turn In</w:t>
            </w:r>
          </w:p>
        </w:tc>
      </w:tr>
      <w:tr>
        <w:tc>
          <w:tcPr>
            <w:tcW w:type="dxa" w:w="2160"/>
          </w:tcPr>
          <w:p>
            <w:r>
              <w:t>Personal Stock Inventory</w:t>
            </w:r>
          </w:p>
        </w:tc>
        <w:tc>
          <w:tcPr>
            <w:tcW w:type="dxa" w:w="2160"/>
          </w:tcPr>
          <w:p>
            <w:r>
              <w:t>Module 1 · Weeks 1–3</w:t>
            </w:r>
          </w:p>
        </w:tc>
        <w:tc>
          <w:tcPr>
            <w:tcW w:type="dxa" w:w="2160"/>
          </w:tcPr>
          <w:p>
            <w:r>
              <w:t>end of Week 3</w:t>
            </w:r>
          </w:p>
        </w:tc>
        <w:tc>
          <w:tcPr>
            <w:tcW w:type="dxa" w:w="2160"/>
          </w:tcPr>
          <w:p>
            <w:r>
              <w:t>An honest self-assessment of your interests, strengths, and readiness, submitted as a Word document.</w:t>
            </w:r>
          </w:p>
        </w:tc>
      </w:tr>
      <w:tr>
        <w:tc>
          <w:tcPr>
            <w:tcW w:type="dxa" w:w="2160"/>
          </w:tcPr>
          <w:p>
            <w:r>
              <w:t>Career &amp; Major Exploration</w:t>
            </w:r>
          </w:p>
        </w:tc>
        <w:tc>
          <w:tcPr>
            <w:tcW w:type="dxa" w:w="2160"/>
          </w:tcPr>
          <w:p>
            <w:r>
              <w:t>Module 2 · Weeks 4–6</w:t>
            </w:r>
          </w:p>
        </w:tc>
        <w:tc>
          <w:tcPr>
            <w:tcW w:type="dxa" w:w="2160"/>
          </w:tcPr>
          <w:p>
            <w:r>
              <w:t>end of Week 6</w:t>
            </w:r>
          </w:p>
        </w:tc>
        <w:tc>
          <w:tcPr>
            <w:tcW w:type="dxa" w:w="2160"/>
          </w:tcPr>
          <w:p>
            <w:r>
              <w:t>A researched comparison of career-first and major-first paths, grounded in real labor-market data. Word document.</w:t>
            </w:r>
          </w:p>
        </w:tc>
      </w:tr>
      <w:tr>
        <w:tc>
          <w:tcPr>
            <w:tcW w:type="dxa" w:w="2160"/>
          </w:tcPr>
          <w:p>
            <w:r>
              <w:t>College Shortlist</w:t>
            </w:r>
          </w:p>
        </w:tc>
        <w:tc>
          <w:tcPr>
            <w:tcW w:type="dxa" w:w="2160"/>
          </w:tcPr>
          <w:p>
            <w:r>
              <w:t>Module 3 · Weeks 7–9 (Q1 ends)</w:t>
            </w:r>
          </w:p>
        </w:tc>
        <w:tc>
          <w:tcPr>
            <w:tcW w:type="dxa" w:w="2160"/>
          </w:tcPr>
          <w:p>
            <w:r>
              <w:t>end of Week 9</w:t>
            </w:r>
          </w:p>
        </w:tc>
        <w:tc>
          <w:tcPr>
            <w:tcW w:type="dxa" w:w="2160"/>
          </w:tcPr>
          <w:p>
            <w:r>
              <w:t>A shortlist of colleges matched to your own fit criteria, not prestige alone. Word document.</w:t>
            </w:r>
          </w:p>
        </w:tc>
      </w:tr>
      <w:tr>
        <w:tc>
          <w:tcPr>
            <w:tcW w:type="dxa" w:w="2160"/>
          </w:tcPr>
          <w:p>
            <w:r>
              <w:t>Net Price &amp; Funding Plan</w:t>
            </w:r>
          </w:p>
        </w:tc>
        <w:tc>
          <w:tcPr>
            <w:tcW w:type="dxa" w:w="2160"/>
          </w:tcPr>
          <w:p>
            <w:r>
              <w:t>Module 4 · Weeks 10–11</w:t>
            </w:r>
          </w:p>
        </w:tc>
        <w:tc>
          <w:tcPr>
            <w:tcW w:type="dxa" w:w="2160"/>
          </w:tcPr>
          <w:p>
            <w:r>
              <w:t>end of Week 11</w:t>
            </w:r>
          </w:p>
        </w:tc>
        <w:tc>
          <w:tcPr>
            <w:tcW w:type="dxa" w:w="2160"/>
          </w:tcPr>
          <w:p>
            <w:r>
              <w:t>A real net-price-calculator result and a funding plan sequencing grants, scholarships, earned money, and loans. Excel spreadsheet.</w:t>
            </w:r>
          </w:p>
        </w:tc>
      </w:tr>
      <w:tr>
        <w:tc>
          <w:tcPr>
            <w:tcW w:type="dxa" w:w="2160"/>
          </w:tcPr>
          <w:p>
            <w:r>
              <w:t>Resume + College Application Tracker</w:t>
            </w:r>
          </w:p>
        </w:tc>
        <w:tc>
          <w:tcPr>
            <w:tcW w:type="dxa" w:w="2160"/>
          </w:tcPr>
          <w:p>
            <w:r>
              <w:t>Module 5 · Weeks 12–15</w:t>
            </w:r>
          </w:p>
        </w:tc>
        <w:tc>
          <w:tcPr>
            <w:tcW w:type="dxa" w:w="2160"/>
          </w:tcPr>
          <w:p>
            <w:r>
              <w:t>end of Week 15</w:t>
            </w:r>
          </w:p>
        </w:tc>
        <w:tc>
          <w:tcPr>
            <w:tcW w:type="dxa" w:w="2160"/>
          </w:tcPr>
          <w:p>
            <w:r>
              <w:t>A polished one-page resume built through the five-step brainstorm-to-design process, plus a tracker of every target college’s deadlines and requirements. Word and Excel.</w:t>
            </w:r>
          </w:p>
        </w:tc>
      </w:tr>
      <w:tr>
        <w:tc>
          <w:tcPr>
            <w:tcW w:type="dxa" w:w="2160"/>
          </w:tcPr>
          <w:p>
            <w:r>
              <w:t>Final College Essay (with required revision)</w:t>
            </w:r>
          </w:p>
        </w:tc>
        <w:tc>
          <w:tcPr>
            <w:tcW w:type="dxa" w:w="2160"/>
          </w:tcPr>
          <w:p>
            <w:r>
              <w:t>Module 6 · Weeks 16–18 (semester ends)</w:t>
            </w:r>
          </w:p>
        </w:tc>
        <w:tc>
          <w:tcPr>
            <w:tcW w:type="dxa" w:w="2160"/>
          </w:tcPr>
          <w:p>
            <w:r>
              <w:t>end of Week 18</w:t>
            </w:r>
          </w:p>
        </w:tc>
        <w:tc>
          <w:tcPr>
            <w:tcW w:type="dxa" w:w="2160"/>
          </w:tcPr>
          <w:p>
            <w:r>
              <w:t>A complete, Common-App-ready personal essay built from your own angle, submitted, revised from teacher feedback, and resubmitted. Word document.</w:t>
            </w:r>
          </w:p>
        </w:tc>
      </w:tr>
    </w:tbl>
    <w:p/>
    <w:p>
      <w:pPr>
        <w:pStyle w:val="Heading2"/>
      </w:pPr>
      <w:r>
        <w:t>Important Dates — 2026–2027 (sample fall pacing)</w:t>
      </w:r>
    </w:p>
    <w:p>
      <w:pPr/>
      <w:r>
        <w:t>[Teacher: school calendar dates may be adjusted by the school — confirm before publishing, and swap in spring-semester dates if your section runs spring.]</w:t>
      </w:r>
    </w:p>
    <w:tbl>
      <w:tblPr>
        <w:tblStyle w:val="TableGrid"/>
        <w:tblW w:type="auto" w:w="0"/>
        <w:tblLook w:firstColumn="1" w:firstRow="1" w:lastColumn="0" w:lastRow="0" w:noHBand="0" w:noVBand="1" w:val="04A0"/>
      </w:tblPr>
      <w:tblGrid>
        <w:gridCol w:w="4320"/>
        <w:gridCol w:w="4320"/>
      </w:tblGrid>
      <w:tr>
        <w:tc>
          <w:tcPr>
            <w:tcW w:type="dxa" w:w="4320"/>
          </w:tcPr>
          <w:p>
            <w:r/>
            <w:r>
              <w:rPr>
                <w:b/>
              </w:rPr>
              <w:t>Date</w:t>
            </w:r>
          </w:p>
        </w:tc>
        <w:tc>
          <w:tcPr>
            <w:tcW w:type="dxa" w:w="4320"/>
          </w:tcPr>
          <w:p>
            <w:r/>
            <w:r>
              <w:rPr>
                <w:b/>
              </w:rPr>
              <w:t>Event</w:t>
            </w:r>
          </w:p>
        </w:tc>
      </w:tr>
      <w:tr>
        <w:tc>
          <w:tcPr>
            <w:tcW w:type="dxa" w:w="4320"/>
          </w:tcPr>
          <w:p>
            <w:r>
              <w:t>Aug 12, 2026</w:t>
            </w:r>
          </w:p>
        </w:tc>
        <w:tc>
          <w:tcPr>
            <w:tcW w:type="dxa" w:w="4320"/>
          </w:tcPr>
          <w:p>
            <w:r>
              <w:t>First day of school</w:t>
            </w:r>
          </w:p>
        </w:tc>
      </w:tr>
      <w:tr>
        <w:tc>
          <w:tcPr>
            <w:tcW w:type="dxa" w:w="4320"/>
          </w:tcPr>
          <w:p>
            <w:r>
              <w:t>Sep 7</w:t>
            </w:r>
          </w:p>
        </w:tc>
        <w:tc>
          <w:tcPr>
            <w:tcW w:type="dxa" w:w="4320"/>
          </w:tcPr>
          <w:p>
            <w:r>
              <w:t>Holiday (Labor Day)</w:t>
            </w:r>
          </w:p>
        </w:tc>
      </w:tr>
      <w:tr>
        <w:tc>
          <w:tcPr>
            <w:tcW w:type="dxa" w:w="4320"/>
          </w:tcPr>
          <w:p>
            <w:r>
              <w:t>Oct 9</w:t>
            </w:r>
          </w:p>
        </w:tc>
        <w:tc>
          <w:tcPr>
            <w:tcW w:type="dxa" w:w="4320"/>
          </w:tcPr>
          <w:p>
            <w:r>
              <w:t>Quarter 1 ends</w:t>
            </w:r>
          </w:p>
        </w:tc>
      </w:tr>
      <w:tr>
        <w:tc>
          <w:tcPr>
            <w:tcW w:type="dxa" w:w="4320"/>
          </w:tcPr>
          <w:p>
            <w:r>
              <w:t>Oct 12</w:t>
            </w:r>
          </w:p>
        </w:tc>
        <w:tc>
          <w:tcPr>
            <w:tcW w:type="dxa" w:w="4320"/>
          </w:tcPr>
          <w:p>
            <w:r>
              <w:t>Holiday (Columbus Day)</w:t>
            </w:r>
          </w:p>
        </w:tc>
      </w:tr>
      <w:tr>
        <w:tc>
          <w:tcPr>
            <w:tcW w:type="dxa" w:w="4320"/>
          </w:tcPr>
          <w:p>
            <w:r>
              <w:t>Nov 11</w:t>
            </w:r>
          </w:p>
        </w:tc>
        <w:tc>
          <w:tcPr>
            <w:tcW w:type="dxa" w:w="4320"/>
          </w:tcPr>
          <w:p>
            <w:r>
              <w:t>Holiday (Veterans’ Day)</w:t>
            </w:r>
          </w:p>
        </w:tc>
      </w:tr>
      <w:tr>
        <w:tc>
          <w:tcPr>
            <w:tcW w:type="dxa" w:w="4320"/>
          </w:tcPr>
          <w:p>
            <w:r>
              <w:t>Nov 23–27</w:t>
            </w:r>
          </w:p>
        </w:tc>
        <w:tc>
          <w:tcPr>
            <w:tcW w:type="dxa" w:w="4320"/>
          </w:tcPr>
          <w:p>
            <w:r>
              <w:t>Thanksgiving break</w:t>
            </w:r>
          </w:p>
        </w:tc>
      </w:tr>
      <w:tr>
        <w:tc>
          <w:tcPr>
            <w:tcW w:type="dxa" w:w="4320"/>
          </w:tcPr>
          <w:p>
            <w:r>
              <w:t>Dec 18</w:t>
            </w:r>
          </w:p>
        </w:tc>
        <w:tc>
          <w:tcPr>
            <w:tcW w:type="dxa" w:w="4320"/>
          </w:tcPr>
          <w:p>
            <w:r>
              <w:t>Quarter 2 ends · fall semester ends · course ends (fall section)</w:t>
            </w:r>
          </w:p>
        </w:tc>
      </w:tr>
      <w:tr>
        <w:tc>
          <w:tcPr>
            <w:tcW w:type="dxa" w:w="4320"/>
          </w:tcPr>
          <w:p>
            <w:r>
              <w:t>Dec 21–Jan 1</w:t>
            </w:r>
          </w:p>
        </w:tc>
        <w:tc>
          <w:tcPr>
            <w:tcW w:type="dxa" w:w="4320"/>
          </w:tcPr>
          <w:p>
            <w:r>
              <w:t>Winter break</w:t>
            </w:r>
          </w:p>
        </w:tc>
      </w:tr>
      <w:tr>
        <w:tc>
          <w:tcPr>
            <w:tcW w:type="dxa" w:w="4320"/>
          </w:tcPr>
          <w:p>
            <w:r>
              <w:t>Jan 18</w:t>
            </w:r>
          </w:p>
        </w:tc>
        <w:tc>
          <w:tcPr>
            <w:tcW w:type="dxa" w:w="4320"/>
          </w:tcPr>
          <w:p>
            <w:r>
              <w:t>Holiday (MLK Day)</w:t>
            </w:r>
          </w:p>
        </w:tc>
      </w:tr>
      <w:tr>
        <w:tc>
          <w:tcPr>
            <w:tcW w:type="dxa" w:w="4320"/>
          </w:tcPr>
          <w:p>
            <w:r>
              <w:t>Feb 15</w:t>
            </w:r>
          </w:p>
        </w:tc>
        <w:tc>
          <w:tcPr>
            <w:tcW w:type="dxa" w:w="4320"/>
          </w:tcPr>
          <w:p>
            <w:r>
              <w:t>Holiday (Presidents’ Day)</w:t>
            </w:r>
          </w:p>
        </w:tc>
      </w:tr>
      <w:tr>
        <w:tc>
          <w:tcPr>
            <w:tcW w:type="dxa" w:w="4320"/>
          </w:tcPr>
          <w:p>
            <w:r>
              <w:t>Mar 5</w:t>
            </w:r>
          </w:p>
        </w:tc>
        <w:tc>
          <w:tcPr>
            <w:tcW w:type="dxa" w:w="4320"/>
          </w:tcPr>
          <w:p>
            <w:r>
              <w:t>Quarter 3 ends</w:t>
            </w:r>
          </w:p>
        </w:tc>
      </w:tr>
      <w:tr>
        <w:tc>
          <w:tcPr>
            <w:tcW w:type="dxa" w:w="4320"/>
          </w:tcPr>
          <w:p>
            <w:r>
              <w:t>Mar 26–Apr 5</w:t>
            </w:r>
          </w:p>
        </w:tc>
        <w:tc>
          <w:tcPr>
            <w:tcW w:type="dxa" w:w="4320"/>
          </w:tcPr>
          <w:p>
            <w:r>
              <w:t>Spring break</w:t>
            </w:r>
          </w:p>
        </w:tc>
      </w:tr>
      <w:tr>
        <w:tc>
          <w:tcPr>
            <w:tcW w:type="dxa" w:w="4320"/>
          </w:tcPr>
          <w:p>
            <w:r>
              <w:t>May 28, 2027</w:t>
            </w:r>
          </w:p>
        </w:tc>
        <w:tc>
          <w:tcPr>
            <w:tcW w:type="dxa" w:w="4320"/>
          </w:tcPr>
          <w:p>
            <w:r>
              <w:t>Quarter 4 ends · last day of school</w:t>
            </w:r>
          </w:p>
        </w:tc>
      </w:tr>
    </w:tbl>
    <w:p/>
    <w:p>
      <w:pPr>
        <w:pStyle w:val="Heading2"/>
      </w:pPr>
      <w:r>
        <w:t>Assessment &amp; Grading</w:t>
      </w:r>
    </w:p>
    <w:tbl>
      <w:tblPr>
        <w:tblStyle w:val="TableGrid"/>
        <w:tblW w:type="auto" w:w="0"/>
        <w:tblLook w:firstColumn="1" w:firstRow="1" w:lastColumn="0" w:lastRow="0" w:noHBand="0" w:noVBand="1" w:val="04A0"/>
      </w:tblPr>
      <w:tblGrid>
        <w:gridCol w:w="4320"/>
        <w:gridCol w:w="4320"/>
      </w:tblGrid>
      <w:tr>
        <w:tc>
          <w:tcPr>
            <w:tcW w:type="dxa" w:w="4320"/>
          </w:tcPr>
          <w:p>
            <w:r/>
            <w:r>
              <w:rPr>
                <w:b/>
              </w:rPr>
              <w:t>Grading Category</w:t>
            </w:r>
          </w:p>
        </w:tc>
        <w:tc>
          <w:tcPr>
            <w:tcW w:type="dxa" w:w="4320"/>
          </w:tcPr>
          <w:p>
            <w:r/>
            <w:r>
              <w:rPr>
                <w:b/>
              </w:rPr>
              <w:t>Weight</w:t>
            </w:r>
          </w:p>
        </w:tc>
      </w:tr>
      <w:tr>
        <w:tc>
          <w:tcPr>
            <w:tcW w:type="dxa" w:w="4320"/>
          </w:tcPr>
          <w:p>
            <w:r>
              <w:t>Practice &amp; comprehension (auto-graded quizzes)</w:t>
            </w:r>
          </w:p>
        </w:tc>
        <w:tc>
          <w:tcPr>
            <w:tcW w:type="dxa" w:w="4320"/>
          </w:tcPr>
          <w:p>
            <w:r>
              <w:t>55%</w:t>
            </w:r>
          </w:p>
        </w:tc>
      </w:tr>
      <w:tr>
        <w:tc>
          <w:tcPr>
            <w:tcW w:type="dxa" w:w="4320"/>
          </w:tcPr>
          <w:p>
            <w:r>
              <w:t>Discussions &amp; reflections</w:t>
            </w:r>
          </w:p>
        </w:tc>
        <w:tc>
          <w:tcPr>
            <w:tcW w:type="dxa" w:w="4320"/>
          </w:tcPr>
          <w:p>
            <w:r>
              <w:t>25%</w:t>
            </w:r>
          </w:p>
        </w:tc>
      </w:tr>
      <w:tr>
        <w:tc>
          <w:tcPr>
            <w:tcW w:type="dxa" w:w="4320"/>
          </w:tcPr>
          <w:p>
            <w:r>
              <w:t>Major projects (teacher-reviewed)</w:t>
            </w:r>
          </w:p>
        </w:tc>
        <w:tc>
          <w:tcPr>
            <w:tcW w:type="dxa" w:w="4320"/>
          </w:tcPr>
          <w:p>
            <w:r>
              <w:t>15%</w:t>
            </w:r>
          </w:p>
        </w:tc>
      </w:tr>
      <w:tr>
        <w:tc>
          <w:tcPr>
            <w:tcW w:type="dxa" w:w="4320"/>
          </w:tcPr>
          <w:p>
            <w:r>
              <w:t>Wrappers &amp; participation (completion)</w:t>
            </w:r>
          </w:p>
        </w:tc>
        <w:tc>
          <w:tcPr>
            <w:tcW w:type="dxa" w:w="4320"/>
          </w:tcPr>
          <w:p>
            <w:r>
              <w:t>5%</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Points</w:t>
            </w:r>
          </w:p>
        </w:tc>
      </w:tr>
      <w:tr>
        <w:tc>
          <w:tcPr>
            <w:tcW w:type="dxa" w:w="4320"/>
          </w:tcPr>
          <w:p>
            <w:r>
              <w:t>Opening / wrap-up check-in, each module</w:t>
            </w:r>
          </w:p>
        </w:tc>
        <w:tc>
          <w:tcPr>
            <w:tcW w:type="dxa" w:w="4320"/>
          </w:tcPr>
          <w:p>
            <w:r>
              <w:t>Completion credit</w:t>
            </w:r>
          </w:p>
        </w:tc>
      </w:tr>
      <w:tr>
        <w:tc>
          <w:tcPr>
            <w:tcW w:type="dxa" w:w="4320"/>
          </w:tcPr>
          <w:p>
            <w:r>
              <w:t>Auto-graded quiz, each (2–3 per module)</w:t>
            </w:r>
          </w:p>
        </w:tc>
        <w:tc>
          <w:tcPr>
            <w:tcW w:type="dxa" w:w="4320"/>
          </w:tcPr>
          <w:p>
            <w:r>
              <w:t>≈ 10 pts</w:t>
            </w:r>
          </w:p>
        </w:tc>
      </w:tr>
      <w:tr>
        <w:tc>
          <w:tcPr>
            <w:tcW w:type="dxa" w:w="4320"/>
          </w:tcPr>
          <w:p>
            <w:r>
              <w:t>Discussion (post + reply), each module</w:t>
            </w:r>
          </w:p>
        </w:tc>
        <w:tc>
          <w:tcPr>
            <w:tcW w:type="dxa" w:w="4320"/>
          </w:tcPr>
          <w:p>
            <w:r>
              <w:t>6 pts</w:t>
            </w:r>
          </w:p>
        </w:tc>
      </w:tr>
      <w:tr>
        <w:tc>
          <w:tcPr>
            <w:tcW w:type="dxa" w:w="4320"/>
          </w:tcPr>
          <w:p>
            <w:r>
              <w:t>Module project (teacher-reviewed), each module</w:t>
            </w:r>
          </w:p>
        </w:tc>
        <w:tc>
          <w:tcPr>
            <w:tcW w:type="dxa" w:w="4320"/>
          </w:tcPr>
          <w:p>
            <w:r>
              <w:t>25 pts</w:t>
            </w:r>
          </w:p>
        </w:tc>
      </w:tr>
      <w:tr>
        <w:tc>
          <w:tcPr>
            <w:tcW w:type="dxa" w:w="4320"/>
          </w:tcPr>
          <w:p>
            <w:r>
              <w:t>Resume project step check-in, each (5 total)</w:t>
            </w:r>
          </w:p>
        </w:tc>
        <w:tc>
          <w:tcPr>
            <w:tcW w:type="dxa" w:w="4320"/>
          </w:tcPr>
          <w:p>
            <w:r>
              <w:t>5 pts (completion)</w:t>
            </w:r>
          </w:p>
        </w:tc>
      </w:tr>
      <w:tr>
        <w:tc>
          <w:tcPr>
            <w:tcW w:type="dxa" w:w="4320"/>
          </w:tcPr>
          <w:p>
            <w:r>
              <w:t>Resume Pitch Recording (60-second spoken pitch)</w:t>
            </w:r>
          </w:p>
        </w:tc>
        <w:tc>
          <w:tcPr>
            <w:tcW w:type="dxa" w:w="4320"/>
          </w:tcPr>
          <w:p>
            <w:r>
              <w:t>5 pts (completion)</w:t>
            </w:r>
          </w:p>
        </w:tc>
      </w:tr>
      <w:tr>
        <w:tc>
          <w:tcPr>
            <w:tcW w:type="dxa" w:w="4320"/>
          </w:tcPr>
          <w:p>
            <w:r>
              <w:t>Final Resume</w:t>
            </w:r>
          </w:p>
        </w:tc>
        <w:tc>
          <w:tcPr>
            <w:tcW w:type="dxa" w:w="4320"/>
          </w:tcPr>
          <w:p>
            <w:r>
              <w:t>25 pts</w:t>
            </w:r>
          </w:p>
        </w:tc>
      </w:tr>
      <w:tr>
        <w:tc>
          <w:tcPr>
            <w:tcW w:type="dxa" w:w="4320"/>
          </w:tcPr>
          <w:p>
            <w:r>
              <w:t>Final College Essay (with required revision)</w:t>
            </w:r>
          </w:p>
        </w:tc>
        <w:tc>
          <w:tcPr>
            <w:tcW w:type="dxa" w:w="4320"/>
          </w:tcPr>
          <w:p>
            <w:r>
              <w:t>25 pts</w:t>
            </w:r>
          </w:p>
        </w:tc>
      </w:tr>
    </w:tbl>
    <w:p/>
    <w:p>
      <w:pPr>
        <w:pStyle w:val="Heading2"/>
      </w:pPr>
      <w:r>
        <w:t>How This Course Is Delivered</w:t>
      </w:r>
    </w:p>
    <w:p>
      <w:pPr/>
      <w:r>
        <w:t>This course is offered in two formats that share the same content, assignments, and expectations: an On-Demand (asynchronous) section you pace yourself, and a Live (synchronous) section that meets on a schedule on Optima’s VR campus.</w:t>
      </w:r>
    </w:p>
    <w:p>
      <w:pPr>
        <w:pStyle w:val="Heading3"/>
      </w:pPr>
      <w:r>
        <w:t>On-Demand (Asynchronous) Learning</w:t>
      </w:r>
    </w:p>
    <w:p>
      <w:pPr/>
      <w:r>
        <w:t>In the On-Demand section you move through the course at your own pace within the semester, guided by due dates that keep you on track. Because the course is On-Demand, there is no grade penalty for missing an individual due date — but any assignment not completed by the end of the semester receives a zero, and assignments submitted in the final 14 days of the semester receive a 10% deduction, so steady pacing matters.</w:t>
      </w:r>
    </w:p>
    <w:p>
      <w:pPr/>
      <w:r>
        <w:t>Attendance is measured by assignment completion. Per school policy, a student who completes no assignment for ten consecutive school days, without notifying the school of an absence in advance, may be dropped from the course. Completion means a sincere attempt — real effort on real work. Rushed work, wrong or corrupted files, irrelevant or nonsense submissions, AI-generated filler, and word-salad responses do not count.</w:t>
      </w:r>
    </w:p>
    <w:p>
      <w:pPr/>
      <w:r>
        <w:t>You are never on your own. A live facilitator grades your work, gives feedback, and hosts a weekly study hall and VR workshops.</w:t>
      </w:r>
    </w:p>
    <w:p>
      <w:pPr>
        <w:pStyle w:val="Heading3"/>
      </w:pPr>
      <w:r>
        <w:t>Live (Synchronous) Learning</w:t>
      </w:r>
    </w:p>
    <w:p>
      <w:pPr/>
      <w:r>
        <w:t>In the Live section you join scheduled class meetings on Optima’s VR campus, where your teacher leads instruction in real time and you learn alongside classmates. The readings, assignments, and projects are the same as the On-Demand course; what differs is the pacing.</w:t>
      </w:r>
    </w:p>
    <w:p>
      <w:pPr/>
      <w:r>
        <w:t>Attendance is measured by presence and participation. You are expected to attend the scheduled live sessions, on time and ready to take part. If you must miss a class, notify the school in advance.</w:t>
      </w:r>
    </w:p>
    <w:p>
      <w:pPr/>
      <w:r>
        <w:t>You meet regularly with a teacher. The class gathers throughout the week in VR and on Microsoft Teams for live instruction and discussion.</w:t>
      </w:r>
    </w:p>
    <w:p>
      <w:pPr>
        <w:pStyle w:val="Heading2"/>
      </w:pPr>
      <w:r>
        <w:t>Appropriate Use of AI</w:t>
      </w:r>
    </w:p>
    <w:p>
      <w:pPr/>
      <w:r>
        <w:t>Optima students are preparing for a world shaped by artificial intelligence, and learning to use these tools with good judgment is part of that preparation. You are welcome to use AI tools to support your learning — to check current data, organize your thinking, or brainstorm — unless a particular assignment says otherwise. What AI may never do is the thinking or the work an assignment asks of you: a self-assessment, a funding plan, a resume, or a college essay must be genuinely your own. Facts you get from an AI tool (career data, program details, test policies, financial figures) must be verified against the real source before you rely on them. Submitting AI-generated text as if it were your own work is dishonest and counts as an insincere attempt. When you do use an AI tool on an assignment, say so briefly.</w:t>
      </w:r>
    </w:p>
    <w:p>
      <w:pPr>
        <w:pStyle w:val="Heading2"/>
      </w:pPr>
      <w:r>
        <w:t>Learning in Virtual Reality</w:t>
      </w:r>
    </w:p>
    <w:p>
      <w:pPr/>
      <w:r>
        <w:t>Optima is a virtual-reality school. Alongside your Canvas coursework, you will join immersive sessions on Optima’s VR campus, where you meet teachers and fellow students, take part in live activities, and explore places and ideas you could not visit in an ordinary classroom. Keep your headset charged and ready for any scheduled VR sessions. If you ever cannot get into VR for a session, tell your facilitator — there is an alternative way to take part so you do not fall behind.</w:t>
      </w:r>
    </w:p>
    <w:p>
      <w:pPr>
        <w:pStyle w:val="Heading2"/>
      </w:pPr>
      <w:r>
        <w:t>Being an Optima Scholar</w:t>
      </w:r>
    </w:p>
    <w:p>
      <w:pPr/>
      <w:r>
        <w:t>Optima’s mission is an excellent, virtue-centered education, and virtue is at the center of this course as much as any other. Every student is expected to practice the seven virtues that shape life at Optima — courage, courtesy, honesty, perseverance, self-government, service, and responsibility. In practice that means: do your own honest work; treat everyone you meet in, through, or because of this course with respect; engage actively rather than passively; come to office hours to get help; and take responsibility for your own pacing and progress.</w:t>
      </w:r>
    </w:p>
    <w:p>
      <w:pPr>
        <w:pStyle w:val="Heading2"/>
      </w:pPr>
      <w:r>
        <w:t>What You Need &amp; Staying Connected</w:t>
      </w:r>
    </w:p>
    <w:p>
      <w:pPr>
        <w:pStyle w:val="ListBullet"/>
      </w:pPr>
      <w:r>
        <w:t>A computer with reliable internet and access to Canvas.</w:t>
      </w:r>
    </w:p>
    <w:p>
      <w:pPr>
        <w:pStyle w:val="ListBullet"/>
      </w:pPr>
      <w:r>
        <w:t>A VR headset, charged and ready for scheduled immersive activities on Optima’s VR campus.</w:t>
      </w:r>
    </w:p>
    <w:p>
      <w:pPr>
        <w:pStyle w:val="ListBullet"/>
      </w:pPr>
      <w:r>
        <w:t>Microsoft 365 (Word and Excel) with OneDrive, for your resume, funding plan, application tracker, and essay drafts.</w:t>
      </w:r>
    </w:p>
    <w:p>
      <w:pPr>
        <w:pStyle w:val="ListBullet"/>
      </w:pPr>
      <w:r>
        <w:t>Your Optima-issued Claude account, for research and organization support (never for drafting your work).</w:t>
      </w:r>
    </w:p>
    <w:p>
      <w:pPr/>
      <w:r>
        <w:t>Staying connected. Updates about this course are posted on the course’s Canvas page; school-wide updates are posted in your Homeroom Canvas course. Check both regularly. [Teacher: add your preferred contact method and response-time expectation here.]</w:t>
      </w:r>
    </w:p>
    <w:p/>
    <w:p>
      <w:r>
        <w:rPr>
          <w:i/>
        </w:rPr>
        <w:t>College Counseling, Critical Thinking &amp; Study Skills · Florida course 1700370 · One-semester, 0.5 elective credit · Optima Academy Online, 2026–2027. Project target dates reflect a sample fall-semester pacing; On-Demand scholars pace to their own enrolled term. School calendar dates may be adjusted by the school.</w:t>
      </w:r>
    </w:p>
    <w:p>
      <w:r>
        <w:rPr>
          <w:b/>
          <w:i/>
        </w:rPr>
        <w:t>This is a customizable working file. Replace every bracketed [ ] field with your own information, then delete this note and the notes above before sharing with students or families.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