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Career Research and Decision Making</w:t>
      </w:r>
    </w:p>
    <w:p>
      <w:r>
        <w:t>Optima Academy Online · Course Syllabus · 2026–2027 · One-Semester Elective · Grades 9–12</w:t>
      </w:r>
    </w:p>
    <w:p>
      <w:r>
        <w:t>Editable fields — teachers, fill these in directly. No other software or Claude access needed.</w:t>
      </w:r>
    </w:p>
    <w:p/>
    <w:p>
      <w:r>
        <w:t>Facilitator: [Teacher Name]</w:t>
      </w:r>
    </w:p>
    <w:p>
      <w:r>
        <w:t>Email: [Teacher email address]</w:t>
      </w:r>
    </w:p>
    <w:p>
      <w:r>
        <w:t>Office Hours: [Office hours — days &amp; times]</w:t>
      </w:r>
    </w:p>
    <w:p>
      <w:r>
        <w:t>Phone: 239.673.2801 (OAO Front Office)</w:t>
      </w:r>
    </w:p>
    <w:p>
      <w:r>
        <w:t>Florida Course: 1700380 · One-semester elective course · 0.5 credit</w:t>
      </w:r>
    </w:p>
    <w:p>
      <w:r>
        <w:t>Grade Level: Grades 9–12 (High School)</w:t>
      </w:r>
    </w:p>
    <w:p>
      <w:r>
        <w:t>Format: On-Demand (fully asynchronous) [Teacher: if your school also offers a live section for this course, add a Live Learning note and your VR-campus meeting schedule.]</w:t>
      </w:r>
    </w:p>
    <w:p/>
    <w:p>
      <w:r>
        <w:t>This is the plan for the course as designed. It is a half-credit, one-semester elective; On-Demand scholars pace through five modules across roughly 17–18 weeks of their enrolled semester. [Teacher: confirm the specifics for your section here, including whether your section runs fall or spring semester.]</w:t>
      </w:r>
    </w:p>
    <w:p>
      <w:pPr>
        <w:pStyle w:val="Heading2"/>
      </w:pPr>
      <w:r>
        <w:t>Course Overview</w:t>
      </w:r>
    </w:p>
    <w:p>
      <w:r>
        <w:t>Career Research and Decision Making does not pick a scholar's path or promise a job. It gives scholars a way to think and the tools to plan their own way forward. Over one semester, scholars look honestly at every real path open to them after high school — four-year college, two-year college, trade or technical school, apprenticeships, military service, and going straight to work — and learn to research each with real tools rather than assumptions. One idea runs through the whole course: strategy, a clear sense of purpose, networking, and steadily building a resume matter on every path, college or not. By the end of the semester, each scholar carries forward a tracked industry, a researched path comparison, a real resume and personal brand, a recorded practice interview, and a personal 1-year/5-year plan.</w:t>
      </w:r>
    </w:p>
    <w:p>
      <w:pPr>
        <w:pStyle w:val="Heading3"/>
      </w:pPr>
      <w:r>
        <w:t>What Students Will Learn to Do</w:t>
      </w:r>
    </w:p>
    <w:p>
      <w:pPr>
        <w:pStyle w:val="ListBullet"/>
      </w:pPr>
      <w:r>
        <w:t>Compare the real paths after high school — four-year college, two-year college, trade/technical school, apprenticeships, military service, and straight to work or a gap year — as genuine peers, using the same five decision questions for each.</w:t>
      </w:r>
    </w:p>
    <w:p>
      <w:pPr>
        <w:pStyle w:val="ListBullet"/>
      </w:pPr>
      <w:r>
        <w:t>Track one real industry for a full semester: choose it, vet credible experts and sources (lateral reading), and follow how the field changes in real time.</w:t>
      </w:r>
    </w:p>
    <w:p>
      <w:pPr>
        <w:pStyle w:val="ListBullet"/>
      </w:pPr>
      <w:r>
        <w:t>Draft, and continuously revise, a personal 1-year and 5-year plan, using an Optima AI account as a research and planning tool and verifying anything it produces against a real source.</w:t>
      </w:r>
    </w:p>
    <w:p>
      <w:pPr>
        <w:pStyle w:val="ListBullet"/>
      </w:pPr>
      <w:r>
        <w:t>Practice three research habits on every open question in the course — look it up in a vetted toolkit, ask AI, and ask a real person — and hold each to the same standard of verification.</w:t>
      </w:r>
    </w:p>
    <w:p>
      <w:pPr>
        <w:pStyle w:val="ListBullet"/>
      </w:pPr>
      <w:r>
        <w:t>Build a professional resume as an evolving portfolio piece and a personal brand or website, matched to a real audience.</w:t>
      </w:r>
    </w:p>
    <w:p>
      <w:pPr>
        <w:pStyle w:val="ListBullet"/>
      </w:pPr>
      <w:r>
        <w:t>Practice workplace-ready soft skills: communication, adaptability, time management, active reading and note-taking, collaboration, and networking as strategy.</w:t>
      </w:r>
    </w:p>
    <w:p>
      <w:pPr>
        <w:pStyle w:val="ListBullet"/>
      </w:pPr>
      <w:r>
        <w:t>Search for and apply to a real opportunity, prepare for and record a one-way video interview, and plan for succeeding once hired or enrolled.</w:t>
      </w:r>
    </w:p>
    <w:p>
      <w:pPr>
        <w:pStyle w:val="ListBullet"/>
      </w:pPr>
      <w:r>
        <w:t>Conduct an informational interview with a real person whose career or work-life the scholar admires, and learn how that person actually built their path.</w:t>
      </w:r>
    </w:p>
    <w:p>
      <w:pPr>
        <w:pStyle w:val="Heading2"/>
      </w:pPr>
      <w:r>
        <w:t>Big Projects &amp; Milestones</w:t>
      </w:r>
    </w:p>
    <w:p>
      <w:r>
        <w:t>The course builds toward a set of finished, real-world artifacts. Target dates below follow a sample fall-semester pacing; a spring section follows the same arc against the spring calendar. On-Demand scholars pace to their own enrolled term.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Project / Milestone</w:t>
            </w:r>
          </w:p>
        </w:tc>
        <w:tc>
          <w:tcPr>
            <w:tcW w:type="dxa" w:w="2160"/>
          </w:tcPr>
          <w:p>
            <w:r>
              <w:rPr>
                <w:b/>
              </w:rPr>
              <w:t>Course Place</w:t>
            </w:r>
          </w:p>
        </w:tc>
        <w:tc>
          <w:tcPr>
            <w:tcW w:type="dxa" w:w="2160"/>
          </w:tcPr>
          <w:p>
            <w:r>
              <w:rPr>
                <w:b/>
              </w:rPr>
              <w:t>Sample Target</w:t>
            </w:r>
          </w:p>
        </w:tc>
        <w:tc>
          <w:tcPr>
            <w:tcW w:type="dxa" w:w="2160"/>
          </w:tcPr>
          <w:p>
            <w:r>
              <w:rPr>
                <w:b/>
              </w:rPr>
              <w:t>What You Turn In</w:t>
            </w:r>
          </w:p>
        </w:tc>
      </w:tr>
      <w:tr>
        <w:tc>
          <w:tcPr>
            <w:tcW w:type="dxa" w:w="2160"/>
          </w:tcPr>
          <w:p>
            <w:r>
              <w:t>Path Comparison Check</w:t>
            </w:r>
          </w:p>
        </w:tc>
        <w:tc>
          <w:tcPr>
            <w:tcW w:type="dxa" w:w="2160"/>
          </w:tcPr>
          <w:p>
            <w:r>
              <w:t>Module 1 · Weeks 1–3</w:t>
            </w:r>
          </w:p>
        </w:tc>
        <w:tc>
          <w:tcPr>
            <w:tcW w:type="dxa" w:w="2160"/>
          </w:tcPr>
          <w:p>
            <w:r>
              <w:t>end of Week 3</w:t>
            </w:r>
          </w:p>
        </w:tc>
        <w:tc>
          <w:tcPr>
            <w:tcW w:type="dxa" w:w="2160"/>
          </w:tcPr>
          <w:p>
            <w:r>
              <w:t>An auto-graded quiz comparing the six paths using the course's five decision questions.</w:t>
            </w:r>
          </w:p>
        </w:tc>
      </w:tr>
      <w:tr>
        <w:tc>
          <w:tcPr>
            <w:tcW w:type="dxa" w:w="2160"/>
          </w:tcPr>
          <w:p>
            <w:r>
              <w:t>Industry &amp; Experts Setup</w:t>
            </w:r>
          </w:p>
        </w:tc>
        <w:tc>
          <w:tcPr>
            <w:tcW w:type="dxa" w:w="2160"/>
          </w:tcPr>
          <w:p>
            <w:r>
              <w:t>Module 1 · Weeks 1–3</w:t>
            </w:r>
          </w:p>
        </w:tc>
        <w:tc>
          <w:tcPr>
            <w:tcW w:type="dxa" w:w="2160"/>
          </w:tcPr>
          <w:p>
            <w:r>
              <w:t>end of Week 3</w:t>
            </w:r>
          </w:p>
        </w:tc>
        <w:tc>
          <w:tcPr>
            <w:tcW w:type="dxa" w:w="2160"/>
          </w:tcPr>
          <w:p>
            <w:r>
              <w:t>Your chosen industry and three vetted experts to follow all semester, launching your Industry Tracker. Word document.</w:t>
            </w:r>
          </w:p>
        </w:tc>
      </w:tr>
      <w:tr>
        <w:tc>
          <w:tcPr>
            <w:tcW w:type="dxa" w:w="2160"/>
          </w:tcPr>
          <w:p>
            <w:r>
              <w:t>AI-Assisted Plan: First Draft</w:t>
            </w:r>
          </w:p>
        </w:tc>
        <w:tc>
          <w:tcPr>
            <w:tcW w:type="dxa" w:w="2160"/>
          </w:tcPr>
          <w:p>
            <w:r>
              <w:t>Module 2 · Weeks 4–6</w:t>
            </w:r>
          </w:p>
        </w:tc>
        <w:tc>
          <w:tcPr>
            <w:tcW w:type="dxa" w:w="2160"/>
          </w:tcPr>
          <w:p>
            <w:r>
              <w:t>end of Week 6</w:t>
            </w:r>
          </w:p>
        </w:tc>
        <w:tc>
          <w:tcPr>
            <w:tcW w:type="dxa" w:w="2160"/>
          </w:tcPr>
          <w:p>
            <w:r>
              <w:t>A first-draft 1-year/5-year plan built with your Optima AI account. Word document.</w:t>
            </w:r>
          </w:p>
        </w:tc>
      </w:tr>
      <w:tr>
        <w:tc>
          <w:tcPr>
            <w:tcW w:type="dxa" w:w="2160"/>
          </w:tcPr>
          <w:p>
            <w:r>
              <w:t>Your Path Comparison</w:t>
            </w:r>
          </w:p>
        </w:tc>
        <w:tc>
          <w:tcPr>
            <w:tcW w:type="dxa" w:w="2160"/>
          </w:tcPr>
          <w:p>
            <w:r>
              <w:t>Module 3 · Weeks 7–11 (Q1 ends within Module 3)</w:t>
            </w:r>
          </w:p>
        </w:tc>
        <w:tc>
          <w:tcPr>
            <w:tcW w:type="dxa" w:w="2160"/>
          </w:tcPr>
          <w:p>
            <w:r>
              <w:t>end of Week 11</w:t>
            </w:r>
          </w:p>
        </w:tc>
        <w:tc>
          <w:tcPr>
            <w:tcW w:type="dxa" w:w="2160"/>
          </w:tcPr>
          <w:p>
            <w:r>
              <w:t>A researched, personal comparison of your top paths, grounded in real data from your Career Research Toolkit. Word document.</w:t>
            </w:r>
          </w:p>
        </w:tc>
      </w:tr>
      <w:tr>
        <w:tc>
          <w:tcPr>
            <w:tcW w:type="dxa" w:w="2160"/>
          </w:tcPr>
          <w:p>
            <w:r>
              <w:t>Your Resume and Portfolio Piece</w:t>
            </w:r>
          </w:p>
        </w:tc>
        <w:tc>
          <w:tcPr>
            <w:tcW w:type="dxa" w:w="2160"/>
          </w:tcPr>
          <w:p>
            <w:r>
              <w:t>Module 4 · Weeks 12–14</w:t>
            </w:r>
          </w:p>
        </w:tc>
        <w:tc>
          <w:tcPr>
            <w:tcW w:type="dxa" w:w="2160"/>
          </w:tcPr>
          <w:p>
            <w:r>
              <w:t>end of Week 14</w:t>
            </w:r>
          </w:p>
        </w:tc>
        <w:tc>
          <w:tcPr>
            <w:tcW w:type="dxa" w:w="2160"/>
          </w:tcPr>
          <w:p>
            <w:r>
              <w:t>A polished, real resume built as a portfolio piece, plus your personal brand/website draft. Word document and website link.</w:t>
            </w:r>
          </w:p>
        </w:tc>
      </w:tr>
      <w:tr>
        <w:tc>
          <w:tcPr>
            <w:tcW w:type="dxa" w:w="2160"/>
          </w:tcPr>
          <w:p>
            <w:r>
              <w:t>Your One-Way Video Interview</w:t>
            </w:r>
          </w:p>
        </w:tc>
        <w:tc>
          <w:tcPr>
            <w:tcW w:type="dxa" w:w="2160"/>
          </w:tcPr>
          <w:p>
            <w:r>
              <w:t>Module 5 · Weeks 15–17</w:t>
            </w:r>
          </w:p>
        </w:tc>
        <w:tc>
          <w:tcPr>
            <w:tcW w:type="dxa" w:w="2160"/>
          </w:tcPr>
          <w:p>
            <w:r>
              <w:t>end of Week 17</w:t>
            </w:r>
          </w:p>
        </w:tc>
        <w:tc>
          <w:tcPr>
            <w:tcW w:type="dxa" w:w="2160"/>
          </w:tcPr>
          <w:p>
            <w:r>
              <w:t>A recorded one-way video interview response for a real target opportunity.</w:t>
            </w:r>
          </w:p>
        </w:tc>
      </w:tr>
      <w:tr>
        <w:tc>
          <w:tcPr>
            <w:tcW w:type="dxa" w:w="2160"/>
          </w:tcPr>
          <w:p>
            <w:r>
              <w:t>Final Career Plan (course capstone)</w:t>
            </w:r>
          </w:p>
        </w:tc>
        <w:tc>
          <w:tcPr>
            <w:tcW w:type="dxa" w:w="2160"/>
          </w:tcPr>
          <w:p>
            <w:r>
              <w:t>Module 5 · Weeks 17–18 (semester ends)</w:t>
            </w:r>
          </w:p>
        </w:tc>
        <w:tc>
          <w:tcPr>
            <w:tcW w:type="dxa" w:w="2160"/>
          </w:tcPr>
          <w:p>
            <w:r>
              <w:t>end of Week 18</w:t>
            </w:r>
          </w:p>
        </w:tc>
        <w:tc>
          <w:tcPr>
            <w:tcW w:type="dxa" w:w="2160"/>
          </w:tcPr>
          <w:p>
            <w:r>
              <w:t>Your finalized 1-year/5-year plan, revised from your first draft and a semester of research and conversation.</w:t>
            </w:r>
          </w:p>
        </w:tc>
      </w:tr>
    </w:tbl>
    <w:p>
      <w:pPr>
        <w:pStyle w:val="Heading2"/>
      </w:pPr>
      <w:r>
        <w:t>Important Dates — 2026–2027 (sample fall pacing)</w:t>
      </w:r>
    </w:p>
    <w:p>
      <w:r>
        <w:t>[Teacher: school calendar dates may be adjusted by the school — confirm before publishing, and swap in spring-semester dates if your section runs spring.]</w:t>
      </w:r>
    </w:p>
    <w:tbl>
      <w:tblPr>
        <w:tblStyle w:val="TableGrid"/>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rPr>
                <w:b/>
              </w:rPr>
              <w:t>Event</w:t>
            </w:r>
          </w:p>
        </w:tc>
      </w:tr>
      <w:tr>
        <w:tc>
          <w:tcPr>
            <w:tcW w:type="dxa" w:w="4320"/>
          </w:tcPr>
          <w:p>
            <w:r>
              <w:t>Aug 12, 2026</w:t>
            </w:r>
          </w:p>
        </w:tc>
        <w:tc>
          <w:tcPr>
            <w:tcW w:type="dxa" w:w="4320"/>
          </w:tcPr>
          <w:p>
            <w:r>
              <w:t>First day of school</w:t>
            </w:r>
          </w:p>
        </w:tc>
      </w:tr>
      <w:tr>
        <w:tc>
          <w:tcPr>
            <w:tcW w:type="dxa" w:w="4320"/>
          </w:tcPr>
          <w:p>
            <w:r>
              <w:t>Sep 7</w:t>
            </w:r>
          </w:p>
        </w:tc>
        <w:tc>
          <w:tcPr>
            <w:tcW w:type="dxa" w:w="4320"/>
          </w:tcPr>
          <w:p>
            <w:r>
              <w:t>Holiday (Labor Day)</w:t>
            </w:r>
          </w:p>
        </w:tc>
      </w:tr>
      <w:tr>
        <w:tc>
          <w:tcPr>
            <w:tcW w:type="dxa" w:w="4320"/>
          </w:tcPr>
          <w:p>
            <w:r>
              <w:t>Oct 9</w:t>
            </w:r>
          </w:p>
        </w:tc>
        <w:tc>
          <w:tcPr>
            <w:tcW w:type="dxa" w:w="4320"/>
          </w:tcPr>
          <w:p>
            <w:r>
              <w:t>Quarter 1 ends</w:t>
            </w:r>
          </w:p>
        </w:tc>
      </w:tr>
      <w:tr>
        <w:tc>
          <w:tcPr>
            <w:tcW w:type="dxa" w:w="4320"/>
          </w:tcPr>
          <w:p>
            <w:r>
              <w:t>Oct 12</w:t>
            </w:r>
          </w:p>
        </w:tc>
        <w:tc>
          <w:tcPr>
            <w:tcW w:type="dxa" w:w="4320"/>
          </w:tcPr>
          <w:p>
            <w:r>
              <w:t>Holiday (Columbus Day)</w:t>
            </w:r>
          </w:p>
        </w:tc>
      </w:tr>
      <w:tr>
        <w:tc>
          <w:tcPr>
            <w:tcW w:type="dxa" w:w="4320"/>
          </w:tcPr>
          <w:p>
            <w:r>
              <w:t>Nov 11</w:t>
            </w:r>
          </w:p>
        </w:tc>
        <w:tc>
          <w:tcPr>
            <w:tcW w:type="dxa" w:w="4320"/>
          </w:tcPr>
          <w:p>
            <w:r>
              <w:t>Holiday (Veterans’ Day)</w:t>
            </w:r>
          </w:p>
        </w:tc>
      </w:tr>
      <w:tr>
        <w:tc>
          <w:tcPr>
            <w:tcW w:type="dxa" w:w="4320"/>
          </w:tcPr>
          <w:p>
            <w:r>
              <w:t>Nov 23–27</w:t>
            </w:r>
          </w:p>
        </w:tc>
        <w:tc>
          <w:tcPr>
            <w:tcW w:type="dxa" w:w="4320"/>
          </w:tcPr>
          <w:p>
            <w:r>
              <w:t>Thanksgiving break</w:t>
            </w:r>
          </w:p>
        </w:tc>
      </w:tr>
      <w:tr>
        <w:tc>
          <w:tcPr>
            <w:tcW w:type="dxa" w:w="4320"/>
          </w:tcPr>
          <w:p>
            <w:r>
              <w:t>Dec 18</w:t>
            </w:r>
          </w:p>
        </w:tc>
        <w:tc>
          <w:tcPr>
            <w:tcW w:type="dxa" w:w="4320"/>
          </w:tcPr>
          <w:p>
            <w:r>
              <w:t>Quarter 2 ends · fall semester ends · course ends (fall section)</w:t>
            </w:r>
          </w:p>
        </w:tc>
      </w:tr>
      <w:tr>
        <w:tc>
          <w:tcPr>
            <w:tcW w:type="dxa" w:w="4320"/>
          </w:tcPr>
          <w:p>
            <w:r>
              <w:t>Dec 21–Jan 1</w:t>
            </w:r>
          </w:p>
        </w:tc>
        <w:tc>
          <w:tcPr>
            <w:tcW w:type="dxa" w:w="4320"/>
          </w:tcPr>
          <w:p>
            <w:r>
              <w:t>Winter break</w:t>
            </w:r>
          </w:p>
        </w:tc>
      </w:tr>
      <w:tr>
        <w:tc>
          <w:tcPr>
            <w:tcW w:type="dxa" w:w="4320"/>
          </w:tcPr>
          <w:p>
            <w:r>
              <w:t>Jan 18</w:t>
            </w:r>
          </w:p>
        </w:tc>
        <w:tc>
          <w:tcPr>
            <w:tcW w:type="dxa" w:w="4320"/>
          </w:tcPr>
          <w:p>
            <w:r>
              <w:t>Holiday (MLK Day)</w:t>
            </w:r>
          </w:p>
        </w:tc>
      </w:tr>
      <w:tr>
        <w:tc>
          <w:tcPr>
            <w:tcW w:type="dxa" w:w="4320"/>
          </w:tcPr>
          <w:p>
            <w:r>
              <w:t>Feb 15</w:t>
            </w:r>
          </w:p>
        </w:tc>
        <w:tc>
          <w:tcPr>
            <w:tcW w:type="dxa" w:w="4320"/>
          </w:tcPr>
          <w:p>
            <w:r>
              <w:t>Holiday (Presidents’ Day)</w:t>
            </w:r>
          </w:p>
        </w:tc>
      </w:tr>
      <w:tr>
        <w:tc>
          <w:tcPr>
            <w:tcW w:type="dxa" w:w="4320"/>
          </w:tcPr>
          <w:p>
            <w:r>
              <w:t>Mar 5</w:t>
            </w:r>
          </w:p>
        </w:tc>
        <w:tc>
          <w:tcPr>
            <w:tcW w:type="dxa" w:w="4320"/>
          </w:tcPr>
          <w:p>
            <w:r>
              <w:t>Quarter 3 ends</w:t>
            </w:r>
          </w:p>
        </w:tc>
      </w:tr>
      <w:tr>
        <w:tc>
          <w:tcPr>
            <w:tcW w:type="dxa" w:w="4320"/>
          </w:tcPr>
          <w:p>
            <w:r>
              <w:t>Mar 26–Apr 5</w:t>
            </w:r>
          </w:p>
        </w:tc>
        <w:tc>
          <w:tcPr>
            <w:tcW w:type="dxa" w:w="4320"/>
          </w:tcPr>
          <w:p>
            <w:r>
              <w:t>Spring break</w:t>
            </w:r>
          </w:p>
        </w:tc>
      </w:tr>
      <w:tr>
        <w:tc>
          <w:tcPr>
            <w:tcW w:type="dxa" w:w="4320"/>
          </w:tcPr>
          <w:p>
            <w:r>
              <w:t>May 28, 2027</w:t>
            </w:r>
          </w:p>
        </w:tc>
        <w:tc>
          <w:tcPr>
            <w:tcW w:type="dxa" w:w="4320"/>
          </w:tcPr>
          <w:p>
            <w:r>
              <w:t>Quarter 4 ends · last day of school · course ends (spring section)</w:t>
            </w:r>
          </w:p>
        </w:tc>
      </w:tr>
    </w:tbl>
    <w:p>
      <w:pPr>
        <w:pStyle w:val="Heading2"/>
      </w:pPr>
      <w:r>
        <w:t>Assessment &amp; Grading</w:t>
      </w:r>
    </w:p>
    <w:tbl>
      <w:tblPr>
        <w:tblStyle w:val="TableGrid"/>
        <w:tblW w:type="auto" w:w="0"/>
        <w:tblLook w:firstColumn="1" w:firstRow="1" w:lastColumn="0" w:lastRow="0" w:noHBand="0" w:noVBand="1" w:val="04A0"/>
      </w:tblPr>
      <w:tblGrid>
        <w:gridCol w:w="4320"/>
        <w:gridCol w:w="4320"/>
      </w:tblGrid>
      <w:tr>
        <w:tc>
          <w:tcPr>
            <w:tcW w:type="dxa" w:w="4320"/>
          </w:tcPr>
          <w:p>
            <w:r>
              <w:rPr>
                <w:b/>
              </w:rPr>
              <w:t>Grading Category</w:t>
            </w:r>
          </w:p>
        </w:tc>
        <w:tc>
          <w:tcPr>
            <w:tcW w:type="dxa" w:w="4320"/>
          </w:tcPr>
          <w:p>
            <w:r>
              <w:rPr>
                <w:b/>
              </w:rPr>
              <w:t>Weight</w:t>
            </w:r>
          </w:p>
        </w:tc>
      </w:tr>
      <w:tr>
        <w:tc>
          <w:tcPr>
            <w:tcW w:type="dxa" w:w="4320"/>
          </w:tcPr>
          <w:p>
            <w:r>
              <w:t>Practice &amp; comprehension (auto-graded quizzes)</w:t>
            </w:r>
          </w:p>
        </w:tc>
        <w:tc>
          <w:tcPr>
            <w:tcW w:type="dxa" w:w="4320"/>
          </w:tcPr>
          <w:p>
            <w:r>
              <w:t>55%</w:t>
            </w:r>
          </w:p>
        </w:tc>
      </w:tr>
      <w:tr>
        <w:tc>
          <w:tcPr>
            <w:tcW w:type="dxa" w:w="4320"/>
          </w:tcPr>
          <w:p>
            <w:r>
              <w:t>Discussions &amp; reflections</w:t>
            </w:r>
          </w:p>
        </w:tc>
        <w:tc>
          <w:tcPr>
            <w:tcW w:type="dxa" w:w="4320"/>
          </w:tcPr>
          <w:p>
            <w:r>
              <w:t>25%</w:t>
            </w:r>
          </w:p>
        </w:tc>
      </w:tr>
      <w:tr>
        <w:tc>
          <w:tcPr>
            <w:tcW w:type="dxa" w:w="4320"/>
          </w:tcPr>
          <w:p>
            <w:r>
              <w:t>Major projects (teacher-reviewed)</w:t>
            </w:r>
          </w:p>
        </w:tc>
        <w:tc>
          <w:tcPr>
            <w:tcW w:type="dxa" w:w="4320"/>
          </w:tcPr>
          <w:p>
            <w:r>
              <w:t>15%</w:t>
            </w:r>
          </w:p>
        </w:tc>
      </w:tr>
      <w:tr>
        <w:tc>
          <w:tcPr>
            <w:tcW w:type="dxa" w:w="4320"/>
          </w:tcPr>
          <w:p>
            <w:r>
              <w:t>Wrappers &amp; participation (completion)</w:t>
            </w:r>
          </w:p>
        </w:tc>
        <w:tc>
          <w:tcPr>
            <w:tcW w:type="dxa" w:w="4320"/>
          </w:tcPr>
          <w:p>
            <w:r>
              <w:t>5%</w:t>
            </w:r>
          </w:p>
        </w:tc>
      </w:tr>
    </w:tbl>
    <w:p/>
    <w:p>
      <w:r>
        <w:t>Point values below reflect the course as built.</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Points</w:t>
            </w:r>
          </w:p>
        </w:tc>
      </w:tr>
      <w:tr>
        <w:tc>
          <w:tcPr>
            <w:tcW w:type="dxa" w:w="4320"/>
          </w:tcPr>
          <w:p>
            <w:r>
              <w:t>Opening / wrap-up wrapper check-in, each module (10 total)</w:t>
            </w:r>
          </w:p>
        </w:tc>
        <w:tc>
          <w:tcPr>
            <w:tcW w:type="dxa" w:w="4320"/>
          </w:tcPr>
          <w:p>
            <w:r>
              <w:t>Completion credit</w:t>
            </w:r>
          </w:p>
        </w:tc>
      </w:tr>
      <w:tr>
        <w:tc>
          <w:tcPr>
            <w:tcW w:type="dxa" w:w="4320"/>
          </w:tcPr>
          <w:p>
            <w:r>
              <w:t>Tool Tour warm-up (Module 1)</w:t>
            </w:r>
          </w:p>
        </w:tc>
        <w:tc>
          <w:tcPr>
            <w:tcW w:type="dxa" w:w="4320"/>
          </w:tcPr>
          <w:p>
            <w:r>
              <w:t>15 pts (completion)</w:t>
            </w:r>
          </w:p>
        </w:tc>
      </w:tr>
      <w:tr>
        <w:tc>
          <w:tcPr>
            <w:tcW w:type="dxa" w:w="4320"/>
          </w:tcPr>
          <w:p>
            <w:r>
              <w:t>Auto-graded comprehension check, each (16 across the course)</w:t>
            </w:r>
          </w:p>
        </w:tc>
        <w:tc>
          <w:tcPr>
            <w:tcW w:type="dxa" w:w="4320"/>
          </w:tcPr>
          <w:p>
            <w:r>
              <w:t>10 pts</w:t>
            </w:r>
          </w:p>
        </w:tc>
      </w:tr>
      <w:tr>
        <w:tc>
          <w:tcPr>
            <w:tcW w:type="dxa" w:w="4320"/>
          </w:tcPr>
          <w:p>
            <w:r>
              <w:t>Lesson check-in task (notebook or Word doc), each (26 across the course)</w:t>
            </w:r>
          </w:p>
        </w:tc>
        <w:tc>
          <w:tcPr>
            <w:tcW w:type="dxa" w:w="4320"/>
          </w:tcPr>
          <w:p>
            <w:r>
              <w:t>10 pts (completion)</w:t>
            </w:r>
          </w:p>
        </w:tc>
      </w:tr>
      <w:tr>
        <w:tc>
          <w:tcPr>
            <w:tcW w:type="dxa" w:w="4320"/>
          </w:tcPr>
          <w:p>
            <w:r>
              <w:t>Industry &amp; Experts Setup (Module 1)</w:t>
            </w:r>
          </w:p>
        </w:tc>
        <w:tc>
          <w:tcPr>
            <w:tcW w:type="dxa" w:w="4320"/>
          </w:tcPr>
          <w:p>
            <w:r>
              <w:t>20 pts</w:t>
            </w:r>
          </w:p>
        </w:tc>
      </w:tr>
      <w:tr>
        <w:tc>
          <w:tcPr>
            <w:tcW w:type="dxa" w:w="4320"/>
          </w:tcPr>
          <w:p>
            <w:r>
              <w:t>Discussion: One Honest Claim About Your Industry's Future (Module 2)</w:t>
            </w:r>
          </w:p>
        </w:tc>
        <w:tc>
          <w:tcPr>
            <w:tcW w:type="dxa" w:w="4320"/>
          </w:tcPr>
          <w:p>
            <w:r>
              <w:t>15 pts</w:t>
            </w:r>
          </w:p>
        </w:tc>
      </w:tr>
      <w:tr>
        <w:tc>
          <w:tcPr>
            <w:tcW w:type="dxa" w:w="4320"/>
          </w:tcPr>
          <w:p>
            <w:r>
              <w:t>AI-Assisted Plan: First Draft (Module 2)</w:t>
            </w:r>
          </w:p>
        </w:tc>
        <w:tc>
          <w:tcPr>
            <w:tcW w:type="dxa" w:w="4320"/>
          </w:tcPr>
          <w:p>
            <w:r>
              <w:t>25 pts</w:t>
            </w:r>
          </w:p>
        </w:tc>
      </w:tr>
      <w:tr>
        <w:tc>
          <w:tcPr>
            <w:tcW w:type="dxa" w:w="4320"/>
          </w:tcPr>
          <w:p>
            <w:r>
              <w:t>Your Path Comparison (Module 3)</w:t>
            </w:r>
          </w:p>
        </w:tc>
        <w:tc>
          <w:tcPr>
            <w:tcW w:type="dxa" w:w="4320"/>
          </w:tcPr>
          <w:p>
            <w:r>
              <w:t>50 pts</w:t>
            </w:r>
          </w:p>
        </w:tc>
      </w:tr>
      <w:tr>
        <w:tc>
          <w:tcPr>
            <w:tcW w:type="dxa" w:w="4320"/>
          </w:tcPr>
          <w:p>
            <w:r>
              <w:t>Your Resume and Portfolio Piece (Module 4)</w:t>
            </w:r>
          </w:p>
        </w:tc>
        <w:tc>
          <w:tcPr>
            <w:tcW w:type="dxa" w:w="4320"/>
          </w:tcPr>
          <w:p>
            <w:r>
              <w:t>40 pts</w:t>
            </w:r>
          </w:p>
        </w:tc>
      </w:tr>
      <w:tr>
        <w:tc>
          <w:tcPr>
            <w:tcW w:type="dxa" w:w="4320"/>
          </w:tcPr>
          <w:p>
            <w:r>
              <w:t>Record Your One-Way Video (Module 5)</w:t>
            </w:r>
          </w:p>
        </w:tc>
        <w:tc>
          <w:tcPr>
            <w:tcW w:type="dxa" w:w="4320"/>
          </w:tcPr>
          <w:p>
            <w:r>
              <w:t>40 pts</w:t>
            </w:r>
          </w:p>
        </w:tc>
      </w:tr>
      <w:tr>
        <w:tc>
          <w:tcPr>
            <w:tcW w:type="dxa" w:w="4320"/>
          </w:tcPr>
          <w:p>
            <w:r>
              <w:t>Final Career Plan (Module 5, capstone)</w:t>
            </w:r>
          </w:p>
        </w:tc>
        <w:tc>
          <w:tcPr>
            <w:tcW w:type="dxa" w:w="4320"/>
          </w:tcPr>
          <w:p>
            <w:r>
              <w:t>30 pts</w:t>
            </w:r>
          </w:p>
        </w:tc>
      </w:tr>
    </w:tbl>
    <w:p>
      <w:pPr>
        <w:pStyle w:val="Heading2"/>
      </w:pPr>
      <w:r>
        <w:t>How This Course Is Delivered</w:t>
      </w:r>
    </w:p>
    <w:p>
      <w:pPr>
        <w:pStyle w:val="Heading3"/>
      </w:pPr>
      <w:r>
        <w:t>On-Demand (Asynchronous) Learning</w:t>
      </w:r>
    </w:p>
    <w:p>
      <w:r>
        <w:t>In the On-Demand section you move through the course at your own pace within the semester, guided by due dates that keep you on track. Because the course is On-Demand, there is no grade penalty for missing an individual due date — but any assignment not completed by the end of the semester receives a zero, and assignments submitted in the final 14 days of the semester receive a 10% deduction, so steady pacing matters.</w:t>
      </w:r>
    </w:p>
    <w:p>
      <w:r>
        <w:t>Attendance is measured by assignment completion. Per school policy, a student who completes no assignment for ten consecutive school days, without notifying the school of an absence in advance, may be dropped from the course. Completion means a sincere attempt — real effort on real work. Rushed work, wrong or corrupted files, irrelevant or nonsense submissions, AI-generated filler, and word-salad responses do not count.</w:t>
      </w:r>
    </w:p>
    <w:p>
      <w:r>
        <w:t>You are never on your own. A live facilitator grades your work, gives feedback, and hosts weekly office hours.</w:t>
      </w:r>
    </w:p>
    <w:p>
      <w:pPr>
        <w:pStyle w:val="Heading2"/>
      </w:pPr>
      <w:r>
        <w:t>Appropriate Use of AI</w:t>
      </w:r>
    </w:p>
    <w:p>
      <w:r>
        <w:t>Learning to research and plan with AI, and to verify what it tells you, is part of the point of this course. "Ask AI" is one of three research habits you practice on every open question, alongside "look it up" (your Career Research Toolkit) and "ask a person." You are welcome to use your Optima AI account to research faster, organize your thinking, or rehearse an interview, unless a particular assignment says otherwise. What AI may never do is the thinking or the work an assignment asks of you: your Path Comparison, your Career Plan, your resume, and your recorded interview must be genuinely your own. Facts an AI tool gives you (pay, cost, outlook, program details) must be verified against a real source — your Toolkit, a person, or the original site — before you rely on them. Submitting AI-generated text as if it were your own work is dishonest and counts as an insincere attempt. When you do use an AI tool on an assignment, say so briefly.</w:t>
      </w:r>
    </w:p>
    <w:p>
      <w:pPr>
        <w:pStyle w:val="Heading2"/>
      </w:pPr>
      <w:r>
        <w:t>Learning in Virtual Reality</w:t>
      </w:r>
    </w:p>
    <w:p>
      <w:r>
        <w:t>Optima is a virtual-reality school, and every scholar has access to Optima's VR campus. In this course specifically, VR is never required: it is available as one optional workspace for brainstorming and planning tasks (for example, mapping out your path comparison or drafting your career plan), alongside your notebook, pen and paper, or a Word document. Every activity in this course has a full non-VR way to complete it, so a scholar who does not use VR is never at a disadvantage.</w:t>
      </w:r>
    </w:p>
    <w:p>
      <w:pPr>
        <w:pStyle w:val="Heading2"/>
      </w:pPr>
      <w:r>
        <w:t>Being an Optima Scholar</w:t>
      </w:r>
    </w:p>
    <w:p>
      <w:r>
        <w:t>Optima’s mission is an excellent, virtue-centered education, and virtue is at the center of this course as much as any other. Every student is expected to practice the seven virtues that shape life at Optima — courage, courtesy, honesty, perseverance, self-government, service, and responsibility. In practice that means: do your own honest work; treat everyone you meet in, through, or because of this course with respect (including the real people you contact for your informational interview); engage actively rather than passively; come to office hours to get help; and take responsibility for your own pacing and progress.</w:t>
      </w:r>
    </w:p>
    <w:p>
      <w:pPr>
        <w:pStyle w:val="Heading2"/>
      </w:pPr>
      <w:r>
        <w:t>What You Need &amp; Staying Connected</w:t>
      </w:r>
    </w:p>
    <w:p>
      <w:pPr>
        <w:pStyle w:val="ListBullet"/>
      </w:pPr>
      <w:r>
        <w:t>A computer with reliable internet and access to Canvas.</w:t>
      </w:r>
    </w:p>
    <w:p>
      <w:pPr>
        <w:pStyle w:val="ListBullet"/>
      </w:pPr>
      <w:r>
        <w:t>Microsoft 365 (Word) with OneDrive, for your career notebook, resume, AI-Assisted Plan, and other submitted documents.</w:t>
      </w:r>
    </w:p>
    <w:p>
      <w:pPr>
        <w:pStyle w:val="ListBullet"/>
      </w:pPr>
      <w:r>
        <w:t>Your Optima-issued AI account, set up early in Module 1, for the AI-Assisted Planning thread.</w:t>
      </w:r>
    </w:p>
    <w:p>
      <w:pPr>
        <w:pStyle w:val="ListBullet"/>
      </w:pPr>
      <w:r>
        <w:t>(Optional) A VR headset, if you choose to do brainstorming or planning work on Optima's VR campus — not required for any assignment.</w:t>
      </w:r>
    </w:p>
    <w:p>
      <w:r>
        <w:t>Staying connected. Updates about this course are posted on the course’s Canvas page; school-wide updates are posted in your Homeroom Canvas course. Check both regularly. [Teacher: add your preferred contact method and response-time expectation here.]</w:t>
      </w:r>
    </w:p>
    <w:p/>
    <w:p>
      <w:r>
        <w:t>Career Research and Decision Making · Florida course 1700380 · One-semester, 0.5 elective credit · Optima Academy Online, 2026–2027. Project target dates reflect a sample fall-semester pacing; On-Demand scholars pace to their own enrolled term. School calendar dates may be adjusted by the school.</w:t>
      </w:r>
    </w:p>
    <w:p>
      <w:r>
        <w:t>This is a customizable working file. Replace every bracketed [ ] field with your own information, then delete this note and the notes above before sharing with students or families.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