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Bdr>
          <w:top w:val="single" w:sz="8" w:space="6" w:color="C7922C"/>
          <w:left w:val="single" w:sz="8" w:space="6" w:color="C7922C"/>
          <w:bottom w:val="single" w:sz="8" w:space="6" w:color="C7922C"/>
          <w:right w:val="single" w:sz="8" w:space="6" w:color="C7922C"/>
        </w:pBdr>
      </w:pPr>
      <w:r>
        <w:rPr>
          <w:rFonts w:ascii="Segoe UI" w:hAnsi="Segoe UI"/>
          <w:b w:val="0"/>
          <w:i/>
          <w:color w:val="C7922C"/>
          <w:sz w:val="18"/>
        </w:rPr>
        <w:t>HOW TO USE THIS FILE: Replace every bracketed [placeholder] below with your own information (name, email note, office hours, etc.), then delete this note. Everything else is designed to stay as-is. When you are ready to share or print, use File &gt; Save As &gt; PDF. No other software needed.</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080"/>
      </w:tblGrid>
      <w:tr>
        <w:tc>
          <w:tcPr>
            <w:tcW w:type="dxa" w:w="10080"/>
            <w:shd w:val="clear" w:color="auto" w:fill="0E1C42"/>
            <w:tcMar>
              <w:top w:w="220" w:type="dxa"/>
              <w:bottom w:w="220" w:type="dxa"/>
              <w:start w:w="260" w:type="dxa"/>
              <w:end w:w="260" w:type="dxa"/>
            </w:tcMar>
          </w:tcPr>
          <w:p>
            <w:r>
              <w:rPr>
                <w:rFonts w:ascii="Segoe UI" w:hAnsi="Segoe UI"/>
                <w:b/>
                <w:i w:val="0"/>
                <w:color w:val="FFFFFF"/>
                <w:sz w:val="48"/>
              </w:rPr>
              <w:t>M/J MUSIC THEORY 2</w:t>
            </w:r>
          </w:p>
          <w:p>
            <w:r>
              <w:rPr>
                <w:rFonts w:ascii="Segoe UI" w:hAnsi="Segoe UI"/>
                <w:b w:val="0"/>
                <w:i w:val="0"/>
                <w:color w:val="55C8E8"/>
                <w:sz w:val="21"/>
              </w:rPr>
              <w:t>OPTIMA ACADEMY ONLINE  ·  COURSE SYLLABUS  ·  2026–2027</w:t>
            </w:r>
          </w:p>
          <w:p>
            <w:r>
              <w:rPr>
                <w:rFonts w:ascii="Segoe UI" w:hAnsi="Segoe UI"/>
                <w:b w:val="0"/>
                <w:i w:val="0"/>
                <w:color w:val="FFFFFF"/>
                <w:sz w:val="20"/>
              </w:rPr>
              <w:t>Full Year  ·  Grades 6–8  ·  On-Demand (Asynchronous)</w:t>
            </w:r>
          </w:p>
        </w:tc>
      </w:tr>
    </w:tbl>
    <w:p>
      <w:pPr>
        <w:spacing w:after="40"/>
      </w:pP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type="dxa" w:w="2448"/>
            <w:shd w:val="clear" w:color="auto" w:fill="EEF1F8"/>
            <w:tcMar>
              <w:top w:w="80" w:type="dxa"/>
              <w:bottom w:w="80" w:type="dxa"/>
              <w:start w:w="140" w:type="dxa"/>
              <w:end w:w="100" w:type="dxa"/>
            </w:tcMar>
          </w:tcPr>
          <w:p>
            <w:r>
              <w:rPr>
                <w:rFonts w:ascii="Segoe UI" w:hAnsi="Segoe UI"/>
                <w:b/>
                <w:i w:val="0"/>
                <w:color w:val="0E1C42"/>
                <w:sz w:val="19"/>
              </w:rPr>
              <w:t>FACILITATOR</w:t>
            </w:r>
          </w:p>
        </w:tc>
        <w:tc>
          <w:tcPr>
            <w:tcW w:type="dxa" w:w="7344"/>
            <w:shd w:val="clear" w:color="auto" w:fill="FFFFFF"/>
            <w:tcMar>
              <w:top w:w="80" w:type="dxa"/>
              <w:bottom w:w="80" w:type="dxa"/>
              <w:start w:w="140" w:type="dxa"/>
              <w:end w:w="100" w:type="dxa"/>
            </w:tcMar>
          </w:tcPr>
          <w:p>
            <w:r>
              <w:rPr>
                <w:rFonts w:ascii="Segoe UI" w:hAnsi="Segoe UI"/>
                <w:b w:val="0"/>
                <w:i w:val="0"/>
                <w:color w:val="1A2340"/>
                <w:sz w:val="21"/>
              </w:rPr>
              <w:t>[Facilitator Name]</w:t>
            </w:r>
          </w:p>
        </w:tc>
      </w:tr>
      <w:tr>
        <w:tc>
          <w:tcPr>
            <w:tcW w:type="dxa" w:w="2448"/>
            <w:shd w:val="clear" w:color="auto" w:fill="EEF1F8"/>
            <w:tcMar>
              <w:top w:w="80" w:type="dxa"/>
              <w:bottom w:w="80" w:type="dxa"/>
              <w:start w:w="140" w:type="dxa"/>
              <w:end w:w="100" w:type="dxa"/>
            </w:tcMar>
          </w:tcPr>
          <w:p>
            <w:r>
              <w:rPr>
                <w:rFonts w:ascii="Segoe UI" w:hAnsi="Segoe UI"/>
                <w:b/>
                <w:i w:val="0"/>
                <w:color w:val="0E1C42"/>
                <w:sz w:val="19"/>
              </w:rPr>
              <w:t>EMAIL &amp; OFFICE</w:t>
            </w:r>
          </w:p>
        </w:tc>
        <w:tc>
          <w:tcPr>
            <w:tcW w:type="dxa" w:w="7344"/>
            <w:shd w:val="clear" w:color="auto" w:fill="FFFFFF"/>
            <w:tcMar>
              <w:top w:w="80" w:type="dxa"/>
              <w:bottom w:w="80" w:type="dxa"/>
              <w:start w:w="140" w:type="dxa"/>
              <w:end w:w="100" w:type="dxa"/>
            </w:tcMar>
          </w:tcPr>
          <w:p>
            <w:r>
              <w:rPr>
                <w:rFonts w:ascii="Segoe UI" w:hAnsi="Segoe UI"/>
                <w:b w:val="0"/>
                <w:i w:val="0"/>
                <w:color w:val="1A2340"/>
                <w:sz w:val="21"/>
              </w:rPr>
              <w:t>[Facilitator email — posted in Canvas]  ·  239.673.2801 (OAO Front Office)</w:t>
            </w:r>
          </w:p>
        </w:tc>
      </w:tr>
      <w:tr>
        <w:tc>
          <w:tcPr>
            <w:tcW w:type="dxa" w:w="2448"/>
            <w:shd w:val="clear" w:color="auto" w:fill="EEF1F8"/>
            <w:tcMar>
              <w:top w:w="80" w:type="dxa"/>
              <w:bottom w:w="80" w:type="dxa"/>
              <w:start w:w="140" w:type="dxa"/>
              <w:end w:w="100" w:type="dxa"/>
            </w:tcMar>
          </w:tcPr>
          <w:p>
            <w:r>
              <w:rPr>
                <w:rFonts w:ascii="Segoe UI" w:hAnsi="Segoe UI"/>
                <w:b/>
                <w:i w:val="0"/>
                <w:color w:val="0E1C42"/>
                <w:sz w:val="19"/>
              </w:rPr>
              <w:t>FLORIDA COURSE</w:t>
            </w:r>
          </w:p>
        </w:tc>
        <w:tc>
          <w:tcPr>
            <w:tcW w:type="dxa" w:w="7344"/>
            <w:shd w:val="clear" w:color="auto" w:fill="FFFFFF"/>
            <w:tcMar>
              <w:top w:w="80" w:type="dxa"/>
              <w:bottom w:w="80" w:type="dxa"/>
              <w:start w:w="140" w:type="dxa"/>
              <w:end w:w="100" w:type="dxa"/>
            </w:tcMar>
          </w:tcPr>
          <w:p>
            <w:r>
              <w:rPr>
                <w:rFonts w:ascii="Segoe UI" w:hAnsi="Segoe UI"/>
                <w:b w:val="0"/>
                <w:i w:val="0"/>
                <w:color w:val="1A2340"/>
                <w:sz w:val="21"/>
              </w:rPr>
              <w:t>Florida 1300010 · Full-year course</w:t>
            </w:r>
          </w:p>
        </w:tc>
      </w:tr>
      <w:tr>
        <w:tc>
          <w:tcPr>
            <w:tcW w:type="dxa" w:w="2448"/>
            <w:shd w:val="clear" w:color="auto" w:fill="EEF1F8"/>
            <w:tcMar>
              <w:top w:w="80" w:type="dxa"/>
              <w:bottom w:w="80" w:type="dxa"/>
              <w:start w:w="140" w:type="dxa"/>
              <w:end w:w="100" w:type="dxa"/>
            </w:tcMar>
          </w:tcPr>
          <w:p>
            <w:r>
              <w:rPr>
                <w:rFonts w:ascii="Segoe UI" w:hAnsi="Segoe UI"/>
                <w:b/>
                <w:i w:val="0"/>
                <w:color w:val="0E1C42"/>
                <w:sz w:val="19"/>
              </w:rPr>
              <w:t>OFFICE HOURS</w:t>
            </w:r>
          </w:p>
        </w:tc>
        <w:tc>
          <w:tcPr>
            <w:tcW w:type="dxa" w:w="7344"/>
            <w:shd w:val="clear" w:color="auto" w:fill="FFFFFF"/>
            <w:tcMar>
              <w:top w:w="80" w:type="dxa"/>
              <w:bottom w:w="80" w:type="dxa"/>
              <w:start w:w="140" w:type="dxa"/>
              <w:end w:w="100" w:type="dxa"/>
            </w:tcMar>
          </w:tcPr>
          <w:p>
            <w:r>
              <w:rPr>
                <w:rFonts w:ascii="Segoe UI" w:hAnsi="Segoe UI"/>
                <w:b w:val="0"/>
                <w:i w:val="0"/>
                <w:color w:val="1A2340"/>
                <w:sz w:val="21"/>
              </w:rPr>
              <w:t>[Day/time — e.g., Wednesdays 3:00–4:00 PM]  · Posted in Canvas</w:t>
            </w:r>
          </w:p>
        </w:tc>
      </w:tr>
      <w:tr>
        <w:tc>
          <w:tcPr>
            <w:tcW w:type="dxa" w:w="2448"/>
            <w:shd w:val="clear" w:color="auto" w:fill="EEF1F8"/>
            <w:tcMar>
              <w:top w:w="80" w:type="dxa"/>
              <w:bottom w:w="80" w:type="dxa"/>
              <w:start w:w="140" w:type="dxa"/>
              <w:end w:w="100" w:type="dxa"/>
            </w:tcMar>
          </w:tcPr>
          <w:p>
            <w:r>
              <w:rPr>
                <w:rFonts w:ascii="Segoe UI" w:hAnsi="Segoe UI"/>
                <w:b/>
                <w:i w:val="0"/>
                <w:color w:val="0E1C42"/>
                <w:sz w:val="19"/>
              </w:rPr>
              <w:t>GRADE LEVEL</w:t>
            </w:r>
          </w:p>
        </w:tc>
        <w:tc>
          <w:tcPr>
            <w:tcW w:type="dxa" w:w="7344"/>
            <w:shd w:val="clear" w:color="auto" w:fill="FFFFFF"/>
            <w:tcMar>
              <w:top w:w="80" w:type="dxa"/>
              <w:bottom w:w="80" w:type="dxa"/>
              <w:start w:w="140" w:type="dxa"/>
              <w:end w:w="100" w:type="dxa"/>
            </w:tcMar>
          </w:tcPr>
          <w:p>
            <w:r>
              <w:rPr>
                <w:rFonts w:ascii="Segoe UI" w:hAnsi="Segoe UI"/>
                <w:b w:val="0"/>
                <w:i w:val="0"/>
                <w:color w:val="1A2340"/>
                <w:sz w:val="21"/>
              </w:rPr>
              <w:t>Grades 6–8 (Middle School)</w:t>
            </w:r>
          </w:p>
        </w:tc>
      </w:tr>
      <w:tr>
        <w:tc>
          <w:tcPr>
            <w:tcW w:type="dxa" w:w="2448"/>
            <w:shd w:val="clear" w:color="auto" w:fill="EEF1F8"/>
            <w:tcMar>
              <w:top w:w="80" w:type="dxa"/>
              <w:bottom w:w="80" w:type="dxa"/>
              <w:start w:w="140" w:type="dxa"/>
              <w:end w:w="100" w:type="dxa"/>
            </w:tcMar>
          </w:tcPr>
          <w:p>
            <w:r>
              <w:rPr>
                <w:rFonts w:ascii="Segoe UI" w:hAnsi="Segoe UI"/>
                <w:b/>
                <w:i w:val="0"/>
                <w:color w:val="0E1C42"/>
                <w:sz w:val="19"/>
              </w:rPr>
              <w:t>FORMAT</w:t>
            </w:r>
          </w:p>
        </w:tc>
        <w:tc>
          <w:tcPr>
            <w:tcW w:type="dxa" w:w="7344"/>
            <w:shd w:val="clear" w:color="auto" w:fill="FFFFFF"/>
            <w:tcMar>
              <w:top w:w="80" w:type="dxa"/>
              <w:bottom w:w="80" w:type="dxa"/>
              <w:start w:w="140" w:type="dxa"/>
              <w:end w:w="100" w:type="dxa"/>
            </w:tcMar>
          </w:tcPr>
          <w:p>
            <w:r>
              <w:rPr>
                <w:rFonts w:ascii="Segoe UI" w:hAnsi="Segoe UI"/>
                <w:b w:val="0"/>
                <w:i w:val="0"/>
                <w:color w:val="1A2340"/>
                <w:sz w:val="21"/>
              </w:rPr>
              <w:t>On-Demand (fully asynchronous) — no live class meetings required</w:t>
            </w:r>
          </w:p>
        </w:tc>
      </w:tr>
    </w:tbl>
    <w:p>
      <w:pPr>
        <w:spacing w:after="4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080"/>
      </w:tblGrid>
      <w:tr>
        <w:tc>
          <w:tcPr>
            <w:tcW w:type="dxa" w:w="10080"/>
            <w:shd w:val="clear" w:color="auto" w:fill="FDF3E3"/>
            <w:tcMar>
              <w:top w:w="140" w:type="dxa"/>
              <w:bottom w:w="140" w:type="dxa"/>
              <w:start w:w="180" w:type="dxa"/>
              <w:end w:w="180" w:type="dxa"/>
            </w:tcMar>
          </w:tcPr>
          <w:p>
            <w:r>
              <w:rPr>
                <w:rFonts w:ascii="Segoe UI" w:hAnsi="Segoe UI"/>
                <w:b/>
                <w:i w:val="0"/>
                <w:color w:val="C7922C"/>
                <w:sz w:val="20"/>
              </w:rPr>
              <w:t xml:space="preserve">About this syllabus.  </w:t>
            </w:r>
            <w:r>
              <w:rPr>
                <w:rFonts w:ascii="Segoe UI" w:hAnsi="Segoe UI"/>
                <w:b w:val="0"/>
                <w:i w:val="0"/>
                <w:color w:val="1A2340"/>
                <w:sz w:val="20"/>
              </w:rPr>
              <w:t>This is the plan for the course as designed. It is a full-year middle-school course; On-Demand scholars pace through 37 modules across the four quarters of their enrolled year, working asynchronously online — no scheduled class meetings are required. Exact pacing and a few activities may vary from term to term. Your facilitator will confirm any specifics for your section.</w:t>
            </w:r>
          </w:p>
        </w:tc>
      </w:tr>
    </w:tbl>
    <w:p>
      <w:pPr>
        <w:spacing w:before="320" w:after="120"/>
        <w:pBdr>
          <w:bottom w:val="single" w:sz="12" w:space="4" w:color="C7922C"/>
        </w:pBdr>
      </w:pPr>
      <w:r>
        <w:rPr>
          <w:rFonts w:ascii="Segoe UI" w:hAnsi="Segoe UI"/>
          <w:b/>
          <w:i w:val="0"/>
          <w:color w:val="0E1C42"/>
          <w:sz w:val="26"/>
        </w:rPr>
        <w:t>COURSE OVERVIEW</w:t>
      </w:r>
    </w:p>
    <w:p>
      <w:pPr>
        <w:spacing w:after="120"/>
      </w:pPr>
      <w:r>
        <w:rPr>
          <w:rFonts w:ascii="Segoe UI" w:hAnsi="Segoe UI"/>
          <w:b w:val="0"/>
          <w:i w:val="0"/>
          <w:color w:val="1A2340"/>
          <w:sz w:val="22"/>
        </w:rPr>
        <w:t>M/J Music Theory 2 continues where Music Theory 1 leaves off. Scholars who have completed a first year of theory — staff reading, key signatures, major scales, triads, and Roman numeral analysis — now push into territory working musicians use every day: minor keys in all three forms, the ancient modes, seventh chords, species counterpoint, classical forms, jazz and world-music harmony, and a capstone composition of their own. The course is built around Open Music Theory v2, a free open-access textbook, and MuseScore, free notation software, so no purchased materials are required.</w:t>
      </w:r>
    </w:p>
    <w:p>
      <w:pPr>
        <w:spacing w:after="80"/>
      </w:pPr>
      <w:r>
        <w:rPr>
          <w:rFonts w:ascii="Segoe UI" w:hAnsi="Segoe UI"/>
          <w:b/>
          <w:i w:val="0"/>
          <w:color w:val="C7922C"/>
          <w:sz w:val="20"/>
        </w:rPr>
        <w:t>WHAT SCHOLARS WILL LEARN TO DO</w:t>
      </w:r>
    </w:p>
    <w:p>
      <w:pPr>
        <w:pStyle w:val="ListBullet"/>
        <w:spacing w:after="80"/>
      </w:pPr>
      <w:r>
        <w:rPr>
          <w:rFonts w:ascii="Segoe UI" w:hAnsi="Segoe UI"/>
          <w:b w:val="0"/>
          <w:i w:val="0"/>
          <w:color w:val="1A2340"/>
          <w:sz w:val="22"/>
        </w:rPr>
        <w:t>Write and recognize minor scales in natural, harmonic, and melodic form, and navigate minor key signatures.</w:t>
      </w:r>
    </w:p>
    <w:p>
      <w:pPr>
        <w:pStyle w:val="ListBullet"/>
        <w:spacing w:after="80"/>
      </w:pPr>
      <w:r>
        <w:rPr>
          <w:rFonts w:ascii="Segoe UI" w:hAnsi="Segoe UI"/>
          <w:b w:val="0"/>
          <w:i w:val="0"/>
          <w:color w:val="1A2340"/>
          <w:sz w:val="22"/>
        </w:rPr>
        <w:t>Identify the diatonic modes and use modal mixture (borrowed chords) in analysis and composition.</w:t>
      </w:r>
    </w:p>
    <w:p>
      <w:pPr>
        <w:pStyle w:val="ListBullet"/>
        <w:spacing w:after="80"/>
      </w:pPr>
      <w:r>
        <w:rPr>
          <w:rFonts w:ascii="Segoe UI" w:hAnsi="Segoe UI"/>
          <w:b w:val="0"/>
          <w:i w:val="0"/>
          <w:color w:val="1A2340"/>
          <w:sz w:val="22"/>
        </w:rPr>
        <w:t>Build and resolve seventh chords, including inversions and predominant function.</w:t>
      </w:r>
    </w:p>
    <w:p>
      <w:pPr>
        <w:pStyle w:val="ListBullet"/>
        <w:spacing w:after="80"/>
      </w:pPr>
      <w:r>
        <w:rPr>
          <w:rFonts w:ascii="Segoe UI" w:hAnsi="Segoe UI"/>
          <w:b w:val="0"/>
          <w:i w:val="0"/>
          <w:color w:val="1A2340"/>
          <w:sz w:val="22"/>
        </w:rPr>
        <w:t>Compose and analyze two-voice species counterpoint.</w:t>
      </w:r>
    </w:p>
    <w:p>
      <w:pPr>
        <w:pStyle w:val="ListBullet"/>
        <w:spacing w:after="80"/>
      </w:pPr>
      <w:r>
        <w:rPr>
          <w:rFonts w:ascii="Segoe UI" w:hAnsi="Segoe UI"/>
          <w:b w:val="0"/>
          <w:i w:val="0"/>
          <w:color w:val="1A2340"/>
          <w:sz w:val="22"/>
        </w:rPr>
        <w:t>Recognize and diagram classical forms: binary, ternary, sonata, and rondo.</w:t>
      </w:r>
    </w:p>
    <w:p>
      <w:pPr>
        <w:pStyle w:val="ListBullet"/>
        <w:spacing w:after="80"/>
      </w:pPr>
      <w:r>
        <w:rPr>
          <w:rFonts w:ascii="Segoe UI" w:hAnsi="Segoe UI"/>
          <w:b w:val="0"/>
          <w:i w:val="0"/>
          <w:color w:val="1A2340"/>
          <w:sz w:val="22"/>
        </w:rPr>
        <w:t>Analyze jazz and popular-music harmony, and describe the historical development of jazz styles.</w:t>
      </w:r>
    </w:p>
    <w:p>
      <w:pPr>
        <w:pStyle w:val="ListBullet"/>
        <w:spacing w:after="80"/>
      </w:pPr>
      <w:r>
        <w:rPr>
          <w:rFonts w:ascii="Segoe UI" w:hAnsi="Segoe UI"/>
          <w:b w:val="0"/>
          <w:i w:val="0"/>
          <w:color w:val="1A2340"/>
          <w:sz w:val="22"/>
        </w:rPr>
        <w:t>Explore world-music rhythms and 20th-century compositional techniques.</w:t>
      </w:r>
    </w:p>
    <w:p>
      <w:pPr>
        <w:pStyle w:val="ListBullet"/>
        <w:spacing w:after="80"/>
      </w:pPr>
      <w:r>
        <w:rPr>
          <w:rFonts w:ascii="Segoe UI" w:hAnsi="Segoe UI"/>
          <w:b w:val="0"/>
          <w:i w:val="0"/>
          <w:color w:val="1A2340"/>
          <w:sz w:val="22"/>
        </w:rPr>
        <w:t>Apply secondary dominants, borrowed chords, and chromatic harmony in analysis and original composition.</w:t>
      </w:r>
    </w:p>
    <w:p>
      <w:pPr>
        <w:pStyle w:val="ListBullet"/>
        <w:spacing w:after="80"/>
      </w:pPr>
      <w:r>
        <w:rPr>
          <w:rFonts w:ascii="Segoe UI" w:hAnsi="Segoe UI"/>
          <w:b w:val="0"/>
          <w:i w:val="0"/>
          <w:color w:val="1A2340"/>
          <w:sz w:val="22"/>
        </w:rPr>
        <w:t>Compose, notate, and reflect on an original piece for a year-end portfolio.</w:t>
      </w:r>
    </w:p>
    <w:p>
      <w:pPr>
        <w:spacing w:before="320" w:after="120"/>
        <w:pBdr>
          <w:bottom w:val="single" w:sz="12" w:space="4" w:color="C7922C"/>
        </w:pBdr>
      </w:pPr>
      <w:r>
        <w:rPr>
          <w:rFonts w:ascii="Segoe UI" w:hAnsi="Segoe UI"/>
          <w:b/>
          <w:i w:val="0"/>
          <w:color w:val="0E1C42"/>
          <w:sz w:val="26"/>
        </w:rPr>
        <w:t>MAJOR ASSESSMENTS &amp; MILESTONES</w:t>
      </w:r>
    </w:p>
    <w:p>
      <w:pPr>
        <w:spacing w:after="160"/>
      </w:pPr>
      <w:r>
        <w:rPr>
          <w:rFonts w:ascii="Segoe UI" w:hAnsi="Segoe UI"/>
          <w:b w:val="0"/>
          <w:i w:val="0"/>
          <w:color w:val="6B7A99"/>
          <w:sz w:val="20"/>
        </w:rPr>
        <w:t>Every quarter builds to one teacher-graded assessment. Target dates below follow a sample full-year pacing; On-Demand scholars pace to their own enrolled term.</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520"/>
        <w:gridCol w:w="2520"/>
        <w:gridCol w:w="2520"/>
        <w:gridCol w:w="2520"/>
      </w:tblGrid>
      <w:tr>
        <w:tc>
          <w:tcPr>
            <w:tcW w:type="dxa" w:w="1872"/>
            <w:shd w:val="clear" w:color="auto" w:fill="0E1C42"/>
            <w:tcMar>
              <w:top w:w="80" w:type="dxa"/>
              <w:bottom w:w="80" w:type="dxa"/>
              <w:start w:w="100" w:type="dxa"/>
              <w:end w:w="100" w:type="dxa"/>
            </w:tcMar>
          </w:tcPr>
          <w:p>
            <w:r>
              <w:rPr>
                <w:rFonts w:ascii="Segoe UI" w:hAnsi="Segoe UI"/>
                <w:b/>
                <w:i w:val="0"/>
                <w:color w:val="FFFFFF"/>
                <w:sz w:val="19"/>
              </w:rPr>
              <w:t>Quarter / Module</w:t>
            </w:r>
          </w:p>
        </w:tc>
        <w:tc>
          <w:tcPr>
            <w:tcW w:type="dxa" w:w="3312"/>
            <w:shd w:val="clear" w:color="auto" w:fill="0E1C42"/>
            <w:tcMar>
              <w:top w:w="80" w:type="dxa"/>
              <w:bottom w:w="80" w:type="dxa"/>
              <w:start w:w="100" w:type="dxa"/>
              <w:end w:w="100" w:type="dxa"/>
            </w:tcMar>
          </w:tcPr>
          <w:p>
            <w:r>
              <w:rPr>
                <w:rFonts w:ascii="Segoe UI" w:hAnsi="Segoe UI"/>
                <w:b/>
                <w:i w:val="0"/>
                <w:color w:val="FFFFFF"/>
                <w:sz w:val="19"/>
              </w:rPr>
              <w:t>Assessment</w:t>
            </w:r>
          </w:p>
        </w:tc>
        <w:tc>
          <w:tcPr>
            <w:tcW w:type="dxa" w:w="1296"/>
            <w:shd w:val="clear" w:color="auto" w:fill="0E1C42"/>
            <w:tcMar>
              <w:top w:w="80" w:type="dxa"/>
              <w:bottom w:w="80" w:type="dxa"/>
              <w:start w:w="100" w:type="dxa"/>
              <w:end w:w="100" w:type="dxa"/>
            </w:tcMar>
          </w:tcPr>
          <w:p>
            <w:r>
              <w:rPr>
                <w:rFonts w:ascii="Segoe UI" w:hAnsi="Segoe UI"/>
                <w:b/>
                <w:i w:val="0"/>
                <w:color w:val="FFFFFF"/>
                <w:sz w:val="19"/>
              </w:rPr>
              <w:t>Weight</w:t>
            </w:r>
          </w:p>
        </w:tc>
        <w:tc>
          <w:tcPr>
            <w:tcW w:type="dxa" w:w="3744"/>
            <w:shd w:val="clear" w:color="auto" w:fill="0E1C42"/>
            <w:tcMar>
              <w:top w:w="80" w:type="dxa"/>
              <w:bottom w:w="80" w:type="dxa"/>
              <w:start w:w="100" w:type="dxa"/>
              <w:end w:w="100" w:type="dxa"/>
            </w:tcMar>
          </w:tcPr>
          <w:p>
            <w:r>
              <w:rPr>
                <w:rFonts w:ascii="Segoe UI" w:hAnsi="Segoe UI"/>
                <w:b/>
                <w:i w:val="0"/>
                <w:color w:val="FFFFFF"/>
                <w:sz w:val="19"/>
              </w:rPr>
              <w:t>What It Covers</w:t>
            </w:r>
          </w:p>
        </w:tc>
      </w:tr>
      <w:tr>
        <w:tc>
          <w:tcPr>
            <w:tcW w:type="dxa" w:w="1872"/>
            <w:shd w:val="clear" w:color="auto" w:fill="FFFFFF"/>
            <w:tcMar>
              <w:top w:w="70" w:type="dxa"/>
              <w:bottom w:w="70" w:type="dxa"/>
              <w:start w:w="100" w:type="dxa"/>
              <w:end w:w="100" w:type="dxa"/>
            </w:tcMar>
          </w:tcPr>
          <w:p>
            <w:r>
              <w:rPr>
                <w:rFonts w:ascii="Segoe UI" w:hAnsi="Segoe UI"/>
                <w:b w:val="0"/>
                <w:i w:val="0"/>
                <w:color w:val="1A2340"/>
                <w:sz w:val="19"/>
              </w:rPr>
              <w:t>Q1 · Module 9</w:t>
            </w:r>
          </w:p>
        </w:tc>
        <w:tc>
          <w:tcPr>
            <w:tcW w:type="dxa" w:w="3312"/>
            <w:shd w:val="clear" w:color="auto" w:fill="FFFFFF"/>
            <w:tcMar>
              <w:top w:w="70" w:type="dxa"/>
              <w:bottom w:w="70" w:type="dxa"/>
              <w:start w:w="100" w:type="dxa"/>
              <w:end w:w="100" w:type="dxa"/>
            </w:tcMar>
          </w:tcPr>
          <w:p>
            <w:r>
              <w:rPr>
                <w:rFonts w:ascii="Segoe UI" w:hAnsi="Segoe UI"/>
                <w:b/>
                <w:i w:val="0"/>
                <w:color w:val="1A2340"/>
                <w:sz w:val="19"/>
              </w:rPr>
              <w:t>Minor Keys, Modes, and Modal Mixture Assessment</w:t>
            </w:r>
          </w:p>
        </w:tc>
        <w:tc>
          <w:tcPr>
            <w:tcW w:type="dxa" w:w="1296"/>
            <w:shd w:val="clear" w:color="auto" w:fill="FFFFFF"/>
            <w:tcMar>
              <w:top w:w="70" w:type="dxa"/>
              <w:bottom w:w="70" w:type="dxa"/>
              <w:start w:w="100" w:type="dxa"/>
              <w:end w:w="100" w:type="dxa"/>
            </w:tcMar>
          </w:tcPr>
          <w:p>
            <w:r>
              <w:rPr>
                <w:rFonts w:ascii="Segoe UI" w:hAnsi="Segoe UI"/>
                <w:b w:val="0"/>
                <w:i w:val="0"/>
                <w:color w:val="1A2340"/>
                <w:sz w:val="19"/>
              </w:rPr>
              <w:t>~20% of Q1</w:t>
            </w:r>
          </w:p>
        </w:tc>
        <w:tc>
          <w:tcPr>
            <w:tcW w:type="dxa" w:w="3744"/>
            <w:shd w:val="clear" w:color="auto" w:fill="FFFFFF"/>
            <w:tcMar>
              <w:top w:w="70" w:type="dxa"/>
              <w:bottom w:w="70" w:type="dxa"/>
              <w:start w:w="100" w:type="dxa"/>
              <w:end w:w="100" w:type="dxa"/>
            </w:tcMar>
          </w:tcPr>
          <w:p>
            <w:r>
              <w:rPr>
                <w:rFonts w:ascii="Segoe UI" w:hAnsi="Segoe UI"/>
                <w:b w:val="0"/>
                <w:i w:val="0"/>
                <w:color w:val="1A2340"/>
                <w:sz w:val="19"/>
              </w:rPr>
              <w:t>Minor scale writing, modal ID, voice leading, borrowed-chord analysis, 4-measure SATB harmonization</w:t>
            </w:r>
          </w:p>
        </w:tc>
      </w:tr>
      <w:tr>
        <w:tc>
          <w:tcPr>
            <w:tcW w:type="dxa" w:w="1872"/>
            <w:shd w:val="clear" w:color="auto" w:fill="EEF1F8"/>
            <w:tcMar>
              <w:top w:w="70" w:type="dxa"/>
              <w:bottom w:w="70" w:type="dxa"/>
              <w:start w:w="100" w:type="dxa"/>
              <w:end w:w="100" w:type="dxa"/>
            </w:tcMar>
          </w:tcPr>
          <w:p>
            <w:r>
              <w:rPr>
                <w:rFonts w:ascii="Segoe UI" w:hAnsi="Segoe UI"/>
                <w:b w:val="0"/>
                <w:i w:val="0"/>
                <w:color w:val="1A2340"/>
                <w:sz w:val="19"/>
              </w:rPr>
              <w:t>Q2 · Module 18</w:t>
            </w:r>
          </w:p>
        </w:tc>
        <w:tc>
          <w:tcPr>
            <w:tcW w:type="dxa" w:w="3312"/>
            <w:shd w:val="clear" w:color="auto" w:fill="EEF1F8"/>
            <w:tcMar>
              <w:top w:w="70" w:type="dxa"/>
              <w:bottom w:w="70" w:type="dxa"/>
              <w:start w:w="100" w:type="dxa"/>
              <w:end w:w="100" w:type="dxa"/>
            </w:tcMar>
          </w:tcPr>
          <w:p>
            <w:r>
              <w:rPr>
                <w:rFonts w:ascii="Segoe UI" w:hAnsi="Segoe UI"/>
                <w:b/>
                <w:i w:val="0"/>
                <w:color w:val="1A2340"/>
                <w:sz w:val="19"/>
              </w:rPr>
              <w:t>Counterpoint, Form, and Jazz Assessment</w:t>
            </w:r>
          </w:p>
        </w:tc>
        <w:tc>
          <w:tcPr>
            <w:tcW w:type="dxa" w:w="1296"/>
            <w:shd w:val="clear" w:color="auto" w:fill="EEF1F8"/>
            <w:tcMar>
              <w:top w:w="70" w:type="dxa"/>
              <w:bottom w:w="70" w:type="dxa"/>
              <w:start w:w="100" w:type="dxa"/>
              <w:end w:w="100" w:type="dxa"/>
            </w:tcMar>
          </w:tcPr>
          <w:p>
            <w:r>
              <w:rPr>
                <w:rFonts w:ascii="Segoe UI" w:hAnsi="Segoe UI"/>
                <w:b w:val="0"/>
                <w:i w:val="0"/>
                <w:color w:val="1A2340"/>
                <w:sz w:val="19"/>
              </w:rPr>
              <w:t>~20% of Q2</w:t>
            </w:r>
          </w:p>
        </w:tc>
        <w:tc>
          <w:tcPr>
            <w:tcW w:type="dxa" w:w="3744"/>
            <w:shd w:val="clear" w:color="auto" w:fill="EEF1F8"/>
            <w:tcMar>
              <w:top w:w="70" w:type="dxa"/>
              <w:bottom w:w="70" w:type="dxa"/>
              <w:start w:w="100" w:type="dxa"/>
              <w:end w:w="100" w:type="dxa"/>
            </w:tcMar>
          </w:tcPr>
          <w:p>
            <w:r>
              <w:rPr>
                <w:rFonts w:ascii="Segoe UI" w:hAnsi="Segoe UI"/>
                <w:b w:val="0"/>
                <w:i w:val="0"/>
                <w:color w:val="1A2340"/>
                <w:sz w:val="19"/>
              </w:rPr>
              <w:t>Species counterpoint, classical form ID, jazz harmony analysis</w:t>
            </w:r>
          </w:p>
        </w:tc>
      </w:tr>
      <w:tr>
        <w:tc>
          <w:tcPr>
            <w:tcW w:type="dxa" w:w="1872"/>
            <w:shd w:val="clear" w:color="auto" w:fill="FFFFFF"/>
            <w:tcMar>
              <w:top w:w="70" w:type="dxa"/>
              <w:bottom w:w="70" w:type="dxa"/>
              <w:start w:w="100" w:type="dxa"/>
              <w:end w:w="100" w:type="dxa"/>
            </w:tcMar>
          </w:tcPr>
          <w:p>
            <w:r>
              <w:rPr>
                <w:rFonts w:ascii="Segoe UI" w:hAnsi="Segoe UI"/>
                <w:b w:val="0"/>
                <w:i w:val="0"/>
                <w:color w:val="1A2340"/>
                <w:sz w:val="19"/>
              </w:rPr>
              <w:t>Q3 · Module 27</w:t>
            </w:r>
          </w:p>
        </w:tc>
        <w:tc>
          <w:tcPr>
            <w:tcW w:type="dxa" w:w="3312"/>
            <w:shd w:val="clear" w:color="auto" w:fill="FFFFFF"/>
            <w:tcMar>
              <w:top w:w="70" w:type="dxa"/>
              <w:bottom w:w="70" w:type="dxa"/>
              <w:start w:w="100" w:type="dxa"/>
              <w:end w:w="100" w:type="dxa"/>
            </w:tcMar>
          </w:tcPr>
          <w:p>
            <w:r>
              <w:rPr>
                <w:rFonts w:ascii="Segoe UI" w:hAnsi="Segoe UI"/>
                <w:b/>
                <w:i w:val="0"/>
                <w:color w:val="1A2340"/>
                <w:sz w:val="19"/>
              </w:rPr>
              <w:t>Cross-Genre Analysis and Composition Assessment</w:t>
            </w:r>
          </w:p>
        </w:tc>
        <w:tc>
          <w:tcPr>
            <w:tcW w:type="dxa" w:w="1296"/>
            <w:shd w:val="clear" w:color="auto" w:fill="FFFFFF"/>
            <w:tcMar>
              <w:top w:w="70" w:type="dxa"/>
              <w:bottom w:w="70" w:type="dxa"/>
              <w:start w:w="100" w:type="dxa"/>
              <w:end w:w="100" w:type="dxa"/>
            </w:tcMar>
          </w:tcPr>
          <w:p>
            <w:r>
              <w:rPr>
                <w:rFonts w:ascii="Segoe UI" w:hAnsi="Segoe UI"/>
                <w:b w:val="0"/>
                <w:i w:val="0"/>
                <w:color w:val="1A2340"/>
                <w:sz w:val="19"/>
              </w:rPr>
              <w:t>~15–20% of Q3</w:t>
            </w:r>
          </w:p>
        </w:tc>
        <w:tc>
          <w:tcPr>
            <w:tcW w:type="dxa" w:w="3744"/>
            <w:shd w:val="clear" w:color="auto" w:fill="FFFFFF"/>
            <w:tcMar>
              <w:top w:w="70" w:type="dxa"/>
              <w:bottom w:w="70" w:type="dxa"/>
              <w:start w:w="100" w:type="dxa"/>
              <w:end w:w="100" w:type="dxa"/>
            </w:tcMar>
          </w:tcPr>
          <w:p>
            <w:r>
              <w:rPr>
                <w:rFonts w:ascii="Segoe UI" w:hAnsi="Segoe UI"/>
                <w:b w:val="0"/>
                <w:i w:val="0"/>
                <w:color w:val="1A2340"/>
                <w:sz w:val="19"/>
              </w:rPr>
              <w:t>Modulation, popular/world-music styles, an original cross-genre composition</w:t>
            </w:r>
          </w:p>
        </w:tc>
      </w:tr>
      <w:tr>
        <w:tc>
          <w:tcPr>
            <w:tcW w:type="dxa" w:w="1872"/>
            <w:shd w:val="clear" w:color="auto" w:fill="EEF1F8"/>
            <w:tcMar>
              <w:top w:w="70" w:type="dxa"/>
              <w:bottom w:w="70" w:type="dxa"/>
              <w:start w:w="100" w:type="dxa"/>
              <w:end w:w="100" w:type="dxa"/>
            </w:tcMar>
          </w:tcPr>
          <w:p>
            <w:r>
              <w:rPr>
                <w:rFonts w:ascii="Segoe UI" w:hAnsi="Segoe UI"/>
                <w:b w:val="0"/>
                <w:i w:val="0"/>
                <w:color w:val="1A2340"/>
                <w:sz w:val="19"/>
              </w:rPr>
              <w:t>Q4 · Module 36</w:t>
            </w:r>
          </w:p>
        </w:tc>
        <w:tc>
          <w:tcPr>
            <w:tcW w:type="dxa" w:w="3312"/>
            <w:shd w:val="clear" w:color="auto" w:fill="EEF1F8"/>
            <w:tcMar>
              <w:top w:w="70" w:type="dxa"/>
              <w:bottom w:w="70" w:type="dxa"/>
              <w:start w:w="100" w:type="dxa"/>
              <w:end w:w="100" w:type="dxa"/>
            </w:tcMar>
          </w:tcPr>
          <w:p>
            <w:r>
              <w:rPr>
                <w:rFonts w:ascii="Segoe UI" w:hAnsi="Segoe UI"/>
                <w:b/>
                <w:i w:val="0"/>
                <w:color w:val="1A2340"/>
                <w:sz w:val="19"/>
              </w:rPr>
              <w:t>Capstone: Harmony and Composition Assessment</w:t>
            </w:r>
          </w:p>
        </w:tc>
        <w:tc>
          <w:tcPr>
            <w:tcW w:type="dxa" w:w="1296"/>
            <w:shd w:val="clear" w:color="auto" w:fill="EEF1F8"/>
            <w:tcMar>
              <w:top w:w="70" w:type="dxa"/>
              <w:bottom w:w="70" w:type="dxa"/>
              <w:start w:w="100" w:type="dxa"/>
              <w:end w:w="100" w:type="dxa"/>
            </w:tcMar>
          </w:tcPr>
          <w:p>
            <w:r>
              <w:rPr>
                <w:rFonts w:ascii="Segoe UI" w:hAnsi="Segoe UI"/>
                <w:b w:val="0"/>
                <w:i w:val="0"/>
                <w:color w:val="1A2340"/>
                <w:sz w:val="19"/>
              </w:rPr>
              <w:t>~20% of Q4</w:t>
            </w:r>
          </w:p>
        </w:tc>
        <w:tc>
          <w:tcPr>
            <w:tcW w:type="dxa" w:w="3744"/>
            <w:shd w:val="clear" w:color="auto" w:fill="EEF1F8"/>
            <w:tcMar>
              <w:top w:w="70" w:type="dxa"/>
              <w:bottom w:w="70" w:type="dxa"/>
              <w:start w:w="100" w:type="dxa"/>
              <w:end w:w="100" w:type="dxa"/>
            </w:tcMar>
          </w:tcPr>
          <w:p>
            <w:r>
              <w:rPr>
                <w:rFonts w:ascii="Segoe UI" w:hAnsi="Segoe UI"/>
                <w:b w:val="0"/>
                <w:i w:val="0"/>
                <w:color w:val="1A2340"/>
                <w:sz w:val="19"/>
              </w:rPr>
              <w:t>Comprehensive harmonic analysis and a chromatic-harmony composition</w:t>
            </w:r>
          </w:p>
        </w:tc>
      </w:tr>
      <w:tr>
        <w:tc>
          <w:tcPr>
            <w:tcW w:type="dxa" w:w="1872"/>
            <w:shd w:val="clear" w:color="auto" w:fill="FFFFFF"/>
            <w:tcMar>
              <w:top w:w="70" w:type="dxa"/>
              <w:bottom w:w="70" w:type="dxa"/>
              <w:start w:w="100" w:type="dxa"/>
              <w:end w:w="100" w:type="dxa"/>
            </w:tcMar>
          </w:tcPr>
          <w:p>
            <w:r>
              <w:rPr>
                <w:rFonts w:ascii="Segoe UI" w:hAnsi="Segoe UI"/>
                <w:b w:val="0"/>
                <w:i w:val="0"/>
                <w:color w:val="1A2340"/>
                <w:sz w:val="19"/>
              </w:rPr>
              <w:t>Q4 · Module 37</w:t>
            </w:r>
          </w:p>
        </w:tc>
        <w:tc>
          <w:tcPr>
            <w:tcW w:type="dxa" w:w="3312"/>
            <w:shd w:val="clear" w:color="auto" w:fill="FFFFFF"/>
            <w:tcMar>
              <w:top w:w="70" w:type="dxa"/>
              <w:bottom w:w="70" w:type="dxa"/>
              <w:start w:w="100" w:type="dxa"/>
              <w:end w:w="100" w:type="dxa"/>
            </w:tcMar>
          </w:tcPr>
          <w:p>
            <w:r>
              <w:rPr>
                <w:rFonts w:ascii="Segoe UI" w:hAnsi="Segoe UI"/>
                <w:b/>
                <w:i w:val="0"/>
                <w:color w:val="1A2340"/>
                <w:sz w:val="19"/>
              </w:rPr>
              <w:t>Theory II Year-End Portfolio</w:t>
            </w:r>
          </w:p>
        </w:tc>
        <w:tc>
          <w:tcPr>
            <w:tcW w:type="dxa" w:w="1296"/>
            <w:shd w:val="clear" w:color="auto" w:fill="FFFFFF"/>
            <w:tcMar>
              <w:top w:w="70" w:type="dxa"/>
              <w:bottom w:w="70" w:type="dxa"/>
              <w:start w:w="100" w:type="dxa"/>
              <w:end w:w="100" w:type="dxa"/>
            </w:tcMar>
          </w:tcPr>
          <w:p>
            <w:r>
              <w:rPr>
                <w:rFonts w:ascii="Segoe UI" w:hAnsi="Segoe UI"/>
                <w:b w:val="0"/>
                <w:i w:val="0"/>
                <w:color w:val="1A2340"/>
                <w:sz w:val="19"/>
              </w:rPr>
              <w:t>~25% of Q4</w:t>
            </w:r>
          </w:p>
        </w:tc>
        <w:tc>
          <w:tcPr>
            <w:tcW w:type="dxa" w:w="3744"/>
            <w:shd w:val="clear" w:color="auto" w:fill="FFFFFF"/>
            <w:tcMar>
              <w:top w:w="70" w:type="dxa"/>
              <w:bottom w:w="70" w:type="dxa"/>
              <w:start w:w="100" w:type="dxa"/>
              <w:end w:w="100" w:type="dxa"/>
            </w:tcMar>
          </w:tcPr>
          <w:p>
            <w:r>
              <w:rPr>
                <w:rFonts w:ascii="Segoe UI" w:hAnsi="Segoe UI"/>
                <w:b w:val="0"/>
                <w:i w:val="0"/>
                <w:color w:val="1A2340"/>
                <w:sz w:val="19"/>
              </w:rPr>
              <w:t>A curated portfolio of the year’s best work with a recorded reflective walkthrough</w:t>
            </w:r>
          </w:p>
        </w:tc>
      </w:tr>
    </w:tbl>
    <w:p>
      <w:pPr>
        <w:spacing w:before="320" w:after="120"/>
        <w:pBdr>
          <w:bottom w:val="single" w:sz="12" w:space="4" w:color="C7922C"/>
        </w:pBdr>
      </w:pPr>
      <w:r>
        <w:rPr>
          <w:rFonts w:ascii="Segoe UI" w:hAnsi="Segoe UI"/>
          <w:b/>
          <w:i w:val="0"/>
          <w:color w:val="0E1C42"/>
          <w:sz w:val="26"/>
        </w:rPr>
        <w:t>IMPORTANT DATES — 2026–2027</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520"/>
        <w:gridCol w:w="2520"/>
        <w:gridCol w:w="2520"/>
        <w:gridCol w:w="2520"/>
      </w:tblGrid>
      <w:tr>
        <w:tc>
          <w:tcPr>
            <w:tcW w:type="dxa" w:w="1584"/>
            <w:tcMar>
              <w:top w:w="50" w:type="dxa"/>
              <w:bottom w:w="50" w:type="dxa"/>
              <w:start w:w="60" w:type="dxa"/>
              <w:end w:w="60" w:type="dxa"/>
            </w:tcMar>
          </w:tcPr>
          <w:p>
            <w:r>
              <w:rPr>
                <w:rFonts w:ascii="Segoe UI" w:hAnsi="Segoe UI"/>
                <w:b/>
                <w:i w:val="0"/>
                <w:color w:val="0E1C42"/>
                <w:sz w:val="19"/>
              </w:rPr>
              <w:t>Aug 12, 2026</w:t>
            </w:r>
          </w:p>
        </w:tc>
        <w:tc>
          <w:tcPr>
            <w:tcW w:type="dxa" w:w="3600"/>
            <w:tcMar>
              <w:top w:w="50" w:type="dxa"/>
              <w:bottom w:w="50" w:type="dxa"/>
              <w:start w:w="60" w:type="dxa"/>
              <w:end w:w="60" w:type="dxa"/>
            </w:tcMar>
          </w:tcPr>
          <w:p>
            <w:r>
              <w:rPr>
                <w:rFonts w:ascii="Segoe UI" w:hAnsi="Segoe UI"/>
                <w:b w:val="0"/>
                <w:i w:val="0"/>
                <w:color w:val="1A2340"/>
                <w:sz w:val="19"/>
              </w:rPr>
              <w:t>First day of school</w:t>
            </w:r>
          </w:p>
        </w:tc>
        <w:tc>
          <w:tcPr>
            <w:tcW w:type="dxa" w:w="1584"/>
            <w:tcMar>
              <w:top w:w="50" w:type="dxa"/>
              <w:bottom w:w="50" w:type="dxa"/>
              <w:start w:w="60" w:type="dxa"/>
              <w:end w:w="60" w:type="dxa"/>
            </w:tcMar>
          </w:tcPr>
          <w:p>
            <w:r>
              <w:rPr>
                <w:rFonts w:ascii="Segoe UI" w:hAnsi="Segoe UI"/>
                <w:b/>
                <w:i w:val="0"/>
                <w:color w:val="0E1C42"/>
                <w:sz w:val="19"/>
              </w:rPr>
              <w:t>Sep 7</w:t>
            </w:r>
          </w:p>
        </w:tc>
        <w:tc>
          <w:tcPr>
            <w:tcW w:type="dxa" w:w="3456"/>
            <w:tcMar>
              <w:top w:w="50" w:type="dxa"/>
              <w:bottom w:w="50" w:type="dxa"/>
              <w:start w:w="60" w:type="dxa"/>
              <w:end w:w="60" w:type="dxa"/>
            </w:tcMar>
          </w:tcPr>
          <w:p>
            <w:r>
              <w:rPr>
                <w:rFonts w:ascii="Segoe UI" w:hAnsi="Segoe UI"/>
                <w:b w:val="0"/>
                <w:i w:val="0"/>
                <w:color w:val="1A2340"/>
                <w:sz w:val="19"/>
              </w:rPr>
              <w:t>Holiday (Labor Day)</w:t>
            </w:r>
          </w:p>
        </w:tc>
      </w:tr>
      <w:tr>
        <w:tc>
          <w:tcPr>
            <w:tcW w:type="dxa" w:w="1584"/>
            <w:tcMar>
              <w:top w:w="50" w:type="dxa"/>
              <w:bottom w:w="50" w:type="dxa"/>
              <w:start w:w="60" w:type="dxa"/>
              <w:end w:w="60" w:type="dxa"/>
            </w:tcMar>
          </w:tcPr>
          <w:p>
            <w:r>
              <w:rPr>
                <w:rFonts w:ascii="Segoe UI" w:hAnsi="Segoe UI"/>
                <w:b/>
                <w:i w:val="0"/>
                <w:color w:val="0E1C42"/>
                <w:sz w:val="19"/>
              </w:rPr>
              <w:t>Oct 9</w:t>
            </w:r>
          </w:p>
        </w:tc>
        <w:tc>
          <w:tcPr>
            <w:tcW w:type="dxa" w:w="3600"/>
            <w:tcMar>
              <w:top w:w="50" w:type="dxa"/>
              <w:bottom w:w="50" w:type="dxa"/>
              <w:start w:w="60" w:type="dxa"/>
              <w:end w:w="60" w:type="dxa"/>
            </w:tcMar>
          </w:tcPr>
          <w:p>
            <w:r>
              <w:rPr>
                <w:rFonts w:ascii="Segoe UI" w:hAnsi="Segoe UI"/>
                <w:b w:val="0"/>
                <w:i w:val="0"/>
                <w:color w:val="1A2340"/>
                <w:sz w:val="19"/>
              </w:rPr>
              <w:t>Quarter 1 ends</w:t>
            </w:r>
          </w:p>
        </w:tc>
        <w:tc>
          <w:tcPr>
            <w:tcW w:type="dxa" w:w="1584"/>
            <w:tcMar>
              <w:top w:w="50" w:type="dxa"/>
              <w:bottom w:w="50" w:type="dxa"/>
              <w:start w:w="60" w:type="dxa"/>
              <w:end w:w="60" w:type="dxa"/>
            </w:tcMar>
          </w:tcPr>
          <w:p>
            <w:r>
              <w:rPr>
                <w:rFonts w:ascii="Segoe UI" w:hAnsi="Segoe UI"/>
                <w:b/>
                <w:i w:val="0"/>
                <w:color w:val="0E1C42"/>
                <w:sz w:val="19"/>
              </w:rPr>
              <w:t>Oct 12</w:t>
            </w:r>
          </w:p>
        </w:tc>
        <w:tc>
          <w:tcPr>
            <w:tcW w:type="dxa" w:w="3456"/>
            <w:tcMar>
              <w:top w:w="50" w:type="dxa"/>
              <w:bottom w:w="50" w:type="dxa"/>
              <w:start w:w="60" w:type="dxa"/>
              <w:end w:w="60" w:type="dxa"/>
            </w:tcMar>
          </w:tcPr>
          <w:p>
            <w:r>
              <w:rPr>
                <w:rFonts w:ascii="Segoe UI" w:hAnsi="Segoe UI"/>
                <w:b w:val="0"/>
                <w:i w:val="0"/>
                <w:color w:val="1A2340"/>
                <w:sz w:val="19"/>
              </w:rPr>
              <w:t>Holiday (Columbus Day)</w:t>
            </w:r>
          </w:p>
        </w:tc>
      </w:tr>
      <w:tr>
        <w:tc>
          <w:tcPr>
            <w:tcW w:type="dxa" w:w="1584"/>
            <w:tcMar>
              <w:top w:w="50" w:type="dxa"/>
              <w:bottom w:w="50" w:type="dxa"/>
              <w:start w:w="60" w:type="dxa"/>
              <w:end w:w="60" w:type="dxa"/>
            </w:tcMar>
          </w:tcPr>
          <w:p>
            <w:r>
              <w:rPr>
                <w:rFonts w:ascii="Segoe UI" w:hAnsi="Segoe UI"/>
                <w:b/>
                <w:i w:val="0"/>
                <w:color w:val="0E1C42"/>
                <w:sz w:val="19"/>
              </w:rPr>
              <w:t>Nov 11</w:t>
            </w:r>
          </w:p>
        </w:tc>
        <w:tc>
          <w:tcPr>
            <w:tcW w:type="dxa" w:w="3600"/>
            <w:tcMar>
              <w:top w:w="50" w:type="dxa"/>
              <w:bottom w:w="50" w:type="dxa"/>
              <w:start w:w="60" w:type="dxa"/>
              <w:end w:w="60" w:type="dxa"/>
            </w:tcMar>
          </w:tcPr>
          <w:p>
            <w:r>
              <w:rPr>
                <w:rFonts w:ascii="Segoe UI" w:hAnsi="Segoe UI"/>
                <w:b w:val="0"/>
                <w:i w:val="0"/>
                <w:color w:val="1A2340"/>
                <w:sz w:val="19"/>
              </w:rPr>
              <w:t>Holiday (Veterans' Day)</w:t>
            </w:r>
          </w:p>
        </w:tc>
        <w:tc>
          <w:tcPr>
            <w:tcW w:type="dxa" w:w="1584"/>
            <w:tcMar>
              <w:top w:w="50" w:type="dxa"/>
              <w:bottom w:w="50" w:type="dxa"/>
              <w:start w:w="60" w:type="dxa"/>
              <w:end w:w="60" w:type="dxa"/>
            </w:tcMar>
          </w:tcPr>
          <w:p>
            <w:r>
              <w:rPr>
                <w:rFonts w:ascii="Segoe UI" w:hAnsi="Segoe UI"/>
                <w:b/>
                <w:i w:val="0"/>
                <w:color w:val="0E1C42"/>
                <w:sz w:val="19"/>
              </w:rPr>
              <w:t>Nov 23–27</w:t>
            </w:r>
          </w:p>
        </w:tc>
        <w:tc>
          <w:tcPr>
            <w:tcW w:type="dxa" w:w="3456"/>
            <w:tcMar>
              <w:top w:w="50" w:type="dxa"/>
              <w:bottom w:w="50" w:type="dxa"/>
              <w:start w:w="60" w:type="dxa"/>
              <w:end w:w="60" w:type="dxa"/>
            </w:tcMar>
          </w:tcPr>
          <w:p>
            <w:r>
              <w:rPr>
                <w:rFonts w:ascii="Segoe UI" w:hAnsi="Segoe UI"/>
                <w:b w:val="0"/>
                <w:i w:val="0"/>
                <w:color w:val="1A2340"/>
                <w:sz w:val="19"/>
              </w:rPr>
              <w:t>Thanksgiving break</w:t>
            </w:r>
          </w:p>
        </w:tc>
      </w:tr>
      <w:tr>
        <w:tc>
          <w:tcPr>
            <w:tcW w:type="dxa" w:w="1584"/>
            <w:tcMar>
              <w:top w:w="50" w:type="dxa"/>
              <w:bottom w:w="50" w:type="dxa"/>
              <w:start w:w="60" w:type="dxa"/>
              <w:end w:w="60" w:type="dxa"/>
            </w:tcMar>
          </w:tcPr>
          <w:p>
            <w:r>
              <w:rPr>
                <w:rFonts w:ascii="Segoe UI" w:hAnsi="Segoe UI"/>
                <w:b/>
                <w:i w:val="0"/>
                <w:color w:val="0E1C42"/>
                <w:sz w:val="19"/>
              </w:rPr>
              <w:t>Dec 18</w:t>
            </w:r>
          </w:p>
        </w:tc>
        <w:tc>
          <w:tcPr>
            <w:tcW w:type="dxa" w:w="3600"/>
            <w:tcMar>
              <w:top w:w="50" w:type="dxa"/>
              <w:bottom w:w="50" w:type="dxa"/>
              <w:start w:w="60" w:type="dxa"/>
              <w:end w:w="60" w:type="dxa"/>
            </w:tcMar>
          </w:tcPr>
          <w:p>
            <w:r>
              <w:rPr>
                <w:rFonts w:ascii="Segoe UI" w:hAnsi="Segoe UI"/>
                <w:b w:val="0"/>
                <w:i w:val="0"/>
                <w:color w:val="1A2340"/>
                <w:sz w:val="19"/>
              </w:rPr>
              <w:t>Quarter 2 ends · fall semester ends</w:t>
            </w:r>
          </w:p>
        </w:tc>
        <w:tc>
          <w:tcPr>
            <w:tcW w:type="dxa" w:w="1584"/>
            <w:tcMar>
              <w:top w:w="50" w:type="dxa"/>
              <w:bottom w:w="50" w:type="dxa"/>
              <w:start w:w="60" w:type="dxa"/>
              <w:end w:w="60" w:type="dxa"/>
            </w:tcMar>
          </w:tcPr>
          <w:p>
            <w:r>
              <w:rPr>
                <w:rFonts w:ascii="Segoe UI" w:hAnsi="Segoe UI"/>
                <w:b/>
                <w:i w:val="0"/>
                <w:color w:val="0E1C42"/>
                <w:sz w:val="19"/>
              </w:rPr>
              <w:t>Dec 21–Jan 1</w:t>
            </w:r>
          </w:p>
        </w:tc>
        <w:tc>
          <w:tcPr>
            <w:tcW w:type="dxa" w:w="3456"/>
            <w:tcMar>
              <w:top w:w="50" w:type="dxa"/>
              <w:bottom w:w="50" w:type="dxa"/>
              <w:start w:w="60" w:type="dxa"/>
              <w:end w:w="60" w:type="dxa"/>
            </w:tcMar>
          </w:tcPr>
          <w:p>
            <w:r>
              <w:rPr>
                <w:rFonts w:ascii="Segoe UI" w:hAnsi="Segoe UI"/>
                <w:b w:val="0"/>
                <w:i w:val="0"/>
                <w:color w:val="1A2340"/>
                <w:sz w:val="19"/>
              </w:rPr>
              <w:t>Winter break</w:t>
            </w:r>
          </w:p>
        </w:tc>
      </w:tr>
      <w:tr>
        <w:tc>
          <w:tcPr>
            <w:tcW w:type="dxa" w:w="1584"/>
            <w:tcMar>
              <w:top w:w="50" w:type="dxa"/>
              <w:bottom w:w="50" w:type="dxa"/>
              <w:start w:w="60" w:type="dxa"/>
              <w:end w:w="60" w:type="dxa"/>
            </w:tcMar>
          </w:tcPr>
          <w:p>
            <w:r>
              <w:rPr>
                <w:rFonts w:ascii="Segoe UI" w:hAnsi="Segoe UI"/>
                <w:b/>
                <w:i w:val="0"/>
                <w:color w:val="0E1C42"/>
                <w:sz w:val="19"/>
              </w:rPr>
              <w:t>Jan 5, 2027</w:t>
            </w:r>
          </w:p>
        </w:tc>
        <w:tc>
          <w:tcPr>
            <w:tcW w:type="dxa" w:w="3600"/>
            <w:tcMar>
              <w:top w:w="50" w:type="dxa"/>
              <w:bottom w:w="50" w:type="dxa"/>
              <w:start w:w="60" w:type="dxa"/>
              <w:end w:w="60" w:type="dxa"/>
            </w:tcMar>
          </w:tcPr>
          <w:p>
            <w:r>
              <w:rPr>
                <w:rFonts w:ascii="Segoe UI" w:hAnsi="Segoe UI"/>
                <w:b w:val="0"/>
                <w:i w:val="0"/>
                <w:color w:val="1A2340"/>
                <w:sz w:val="19"/>
              </w:rPr>
              <w:t>Classes resume</w:t>
            </w:r>
          </w:p>
        </w:tc>
        <w:tc>
          <w:tcPr>
            <w:tcW w:type="dxa" w:w="1584"/>
            <w:tcMar>
              <w:top w:w="50" w:type="dxa"/>
              <w:bottom w:w="50" w:type="dxa"/>
              <w:start w:w="60" w:type="dxa"/>
              <w:end w:w="60" w:type="dxa"/>
            </w:tcMar>
          </w:tcPr>
          <w:p>
            <w:r>
              <w:rPr>
                <w:rFonts w:ascii="Segoe UI" w:hAnsi="Segoe UI"/>
                <w:b/>
                <w:i w:val="0"/>
                <w:color w:val="0E1C42"/>
                <w:sz w:val="19"/>
              </w:rPr>
              <w:t>Jan 18</w:t>
            </w:r>
          </w:p>
        </w:tc>
        <w:tc>
          <w:tcPr>
            <w:tcW w:type="dxa" w:w="3456"/>
            <w:tcMar>
              <w:top w:w="50" w:type="dxa"/>
              <w:bottom w:w="50" w:type="dxa"/>
              <w:start w:w="60" w:type="dxa"/>
              <w:end w:w="60" w:type="dxa"/>
            </w:tcMar>
          </w:tcPr>
          <w:p>
            <w:r>
              <w:rPr>
                <w:rFonts w:ascii="Segoe UI" w:hAnsi="Segoe UI"/>
                <w:b w:val="0"/>
                <w:i w:val="0"/>
                <w:color w:val="1A2340"/>
                <w:sz w:val="19"/>
              </w:rPr>
              <w:t>Holiday (MLK Day)</w:t>
            </w:r>
          </w:p>
        </w:tc>
      </w:tr>
      <w:tr>
        <w:tc>
          <w:tcPr>
            <w:tcW w:type="dxa" w:w="1584"/>
            <w:tcMar>
              <w:top w:w="50" w:type="dxa"/>
              <w:bottom w:w="50" w:type="dxa"/>
              <w:start w:w="60" w:type="dxa"/>
              <w:end w:w="60" w:type="dxa"/>
            </w:tcMar>
          </w:tcPr>
          <w:p>
            <w:r>
              <w:rPr>
                <w:rFonts w:ascii="Segoe UI" w:hAnsi="Segoe UI"/>
                <w:b/>
                <w:i w:val="0"/>
                <w:color w:val="0E1C42"/>
                <w:sz w:val="19"/>
              </w:rPr>
              <w:t>Feb 15</w:t>
            </w:r>
          </w:p>
        </w:tc>
        <w:tc>
          <w:tcPr>
            <w:tcW w:type="dxa" w:w="3600"/>
            <w:tcMar>
              <w:top w:w="50" w:type="dxa"/>
              <w:bottom w:w="50" w:type="dxa"/>
              <w:start w:w="60" w:type="dxa"/>
              <w:end w:w="60" w:type="dxa"/>
            </w:tcMar>
          </w:tcPr>
          <w:p>
            <w:r>
              <w:rPr>
                <w:rFonts w:ascii="Segoe UI" w:hAnsi="Segoe UI"/>
                <w:b w:val="0"/>
                <w:i w:val="0"/>
                <w:color w:val="1A2340"/>
                <w:sz w:val="19"/>
              </w:rPr>
              <w:t>Holiday (Presidents’ Day)</w:t>
            </w:r>
          </w:p>
        </w:tc>
        <w:tc>
          <w:tcPr>
            <w:tcW w:type="dxa" w:w="1584"/>
            <w:tcMar>
              <w:top w:w="50" w:type="dxa"/>
              <w:bottom w:w="50" w:type="dxa"/>
              <w:start w:w="60" w:type="dxa"/>
              <w:end w:w="60" w:type="dxa"/>
            </w:tcMar>
          </w:tcPr>
          <w:p>
            <w:r>
              <w:rPr>
                <w:rFonts w:ascii="Segoe UI" w:hAnsi="Segoe UI"/>
                <w:b/>
                <w:i w:val="0"/>
                <w:color w:val="0E1C42"/>
                <w:sz w:val="19"/>
              </w:rPr>
              <w:t>Mar 5</w:t>
            </w:r>
          </w:p>
        </w:tc>
        <w:tc>
          <w:tcPr>
            <w:tcW w:type="dxa" w:w="3456"/>
            <w:tcMar>
              <w:top w:w="50" w:type="dxa"/>
              <w:bottom w:w="50" w:type="dxa"/>
              <w:start w:w="60" w:type="dxa"/>
              <w:end w:w="60" w:type="dxa"/>
            </w:tcMar>
          </w:tcPr>
          <w:p>
            <w:r>
              <w:rPr>
                <w:rFonts w:ascii="Segoe UI" w:hAnsi="Segoe UI"/>
                <w:b w:val="0"/>
                <w:i w:val="0"/>
                <w:color w:val="1A2340"/>
                <w:sz w:val="19"/>
              </w:rPr>
              <w:t>Quarter 3 ends</w:t>
            </w:r>
          </w:p>
        </w:tc>
      </w:tr>
      <w:tr>
        <w:tc>
          <w:tcPr>
            <w:tcW w:type="dxa" w:w="1584"/>
            <w:tcMar>
              <w:top w:w="50" w:type="dxa"/>
              <w:bottom w:w="50" w:type="dxa"/>
              <w:start w:w="60" w:type="dxa"/>
              <w:end w:w="60" w:type="dxa"/>
            </w:tcMar>
          </w:tcPr>
          <w:p>
            <w:r>
              <w:rPr>
                <w:rFonts w:ascii="Segoe UI" w:hAnsi="Segoe UI"/>
                <w:b/>
                <w:i w:val="0"/>
                <w:color w:val="0E1C42"/>
                <w:sz w:val="19"/>
              </w:rPr>
              <w:t>Mar 26–Apr 5</w:t>
            </w:r>
          </w:p>
        </w:tc>
        <w:tc>
          <w:tcPr>
            <w:tcW w:type="dxa" w:w="3600"/>
            <w:tcMar>
              <w:top w:w="50" w:type="dxa"/>
              <w:bottom w:w="50" w:type="dxa"/>
              <w:start w:w="60" w:type="dxa"/>
              <w:end w:w="60" w:type="dxa"/>
            </w:tcMar>
          </w:tcPr>
          <w:p>
            <w:r>
              <w:rPr>
                <w:rFonts w:ascii="Segoe UI" w:hAnsi="Segoe UI"/>
                <w:b w:val="0"/>
                <w:i w:val="0"/>
                <w:color w:val="1A2340"/>
                <w:sz w:val="19"/>
              </w:rPr>
              <w:t>Spring break</w:t>
            </w:r>
          </w:p>
        </w:tc>
        <w:tc>
          <w:tcPr>
            <w:tcW w:type="dxa" w:w="1584"/>
            <w:tcMar>
              <w:top w:w="50" w:type="dxa"/>
              <w:bottom w:w="50" w:type="dxa"/>
              <w:start w:w="60" w:type="dxa"/>
              <w:end w:w="60" w:type="dxa"/>
            </w:tcMar>
          </w:tcPr>
          <w:p>
            <w:r>
              <w:rPr>
                <w:rFonts w:ascii="Segoe UI" w:hAnsi="Segoe UI"/>
                <w:b/>
                <w:i w:val="0"/>
                <w:color w:val="0E1C42"/>
                <w:sz w:val="19"/>
              </w:rPr>
              <w:t>Apr 6</w:t>
            </w:r>
          </w:p>
        </w:tc>
        <w:tc>
          <w:tcPr>
            <w:tcW w:type="dxa" w:w="3456"/>
            <w:tcMar>
              <w:top w:w="50" w:type="dxa"/>
              <w:bottom w:w="50" w:type="dxa"/>
              <w:start w:w="60" w:type="dxa"/>
              <w:end w:w="60" w:type="dxa"/>
            </w:tcMar>
          </w:tcPr>
          <w:p>
            <w:r>
              <w:rPr>
                <w:rFonts w:ascii="Segoe UI" w:hAnsi="Segoe UI"/>
                <w:b w:val="0"/>
                <w:i w:val="0"/>
                <w:color w:val="1A2340"/>
                <w:sz w:val="19"/>
              </w:rPr>
              <w:t>Classes resume</w:t>
            </w:r>
          </w:p>
        </w:tc>
      </w:tr>
      <w:tr>
        <w:tc>
          <w:tcPr>
            <w:tcW w:type="dxa" w:w="1584"/>
            <w:tcMar>
              <w:top w:w="50" w:type="dxa"/>
              <w:bottom w:w="50" w:type="dxa"/>
              <w:start w:w="60" w:type="dxa"/>
              <w:end w:w="60" w:type="dxa"/>
            </w:tcMar>
          </w:tcPr>
          <w:p>
            <w:r>
              <w:rPr>
                <w:rFonts w:ascii="Segoe UI" w:hAnsi="Segoe UI"/>
                <w:b/>
                <w:i w:val="0"/>
                <w:color w:val="0E1C42"/>
                <w:sz w:val="19"/>
              </w:rPr>
              <w:t>May 28, 2027</w:t>
            </w:r>
          </w:p>
        </w:tc>
        <w:tc>
          <w:tcPr>
            <w:tcW w:type="dxa" w:w="3600"/>
            <w:tcMar>
              <w:top w:w="50" w:type="dxa"/>
              <w:bottom w:w="50" w:type="dxa"/>
              <w:start w:w="60" w:type="dxa"/>
              <w:end w:w="60" w:type="dxa"/>
            </w:tcMar>
          </w:tcPr>
          <w:p>
            <w:r>
              <w:rPr>
                <w:rFonts w:ascii="Segoe UI" w:hAnsi="Segoe UI"/>
                <w:b w:val="0"/>
                <w:i w:val="0"/>
                <w:color w:val="1A2340"/>
                <w:sz w:val="19"/>
              </w:rPr>
              <w:t>Quarter 4 ends · last day of school</w:t>
            </w:r>
          </w:p>
        </w:tc>
        <w:tc>
          <w:tcPr>
            <w:tcW w:type="dxa" w:w="1584"/>
            <w:tcMar>
              <w:top w:w="50" w:type="dxa"/>
              <w:bottom w:w="50" w:type="dxa"/>
              <w:start w:w="60" w:type="dxa"/>
              <w:end w:w="60" w:type="dxa"/>
            </w:tcMar>
          </w:tcPr>
          <w:p>
            <w:r>
              <w:rPr>
                <w:rFonts w:ascii="Segoe UI" w:hAnsi="Segoe UI"/>
                <w:b/>
                <w:i w:val="0"/>
                <w:color w:val="0E1C42"/>
                <w:sz w:val="19"/>
              </w:rPr>
              <w:t>May 31</w:t>
            </w:r>
          </w:p>
        </w:tc>
        <w:tc>
          <w:tcPr>
            <w:tcW w:type="dxa" w:w="3456"/>
            <w:tcMar>
              <w:top w:w="50" w:type="dxa"/>
              <w:bottom w:w="50" w:type="dxa"/>
              <w:start w:w="60" w:type="dxa"/>
              <w:end w:w="60" w:type="dxa"/>
            </w:tcMar>
          </w:tcPr>
          <w:p>
            <w:r>
              <w:rPr>
                <w:rFonts w:ascii="Segoe UI" w:hAnsi="Segoe UI"/>
                <w:b w:val="0"/>
                <w:i w:val="0"/>
                <w:color w:val="1A2340"/>
                <w:sz w:val="19"/>
              </w:rPr>
              <w:t>Holiday (Memorial Day)</w:t>
            </w:r>
          </w:p>
        </w:tc>
      </w:tr>
    </w:tbl>
    <w:p>
      <w:pPr>
        <w:spacing w:before="320" w:after="120"/>
        <w:pBdr>
          <w:bottom w:val="single" w:sz="12" w:space="4" w:color="C7922C"/>
        </w:pBdr>
      </w:pPr>
      <w:r>
        <w:rPr>
          <w:rFonts w:ascii="Segoe UI" w:hAnsi="Segoe UI"/>
          <w:b/>
          <w:i w:val="0"/>
          <w:color w:val="0E1C42"/>
          <w:sz w:val="26"/>
        </w:rPr>
        <w:t>ASSESSMENT &amp; GRADING</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360"/>
        <w:gridCol w:w="3360"/>
        <w:gridCol w:w="3360"/>
      </w:tblGrid>
      <w:tr>
        <w:tc>
          <w:tcPr>
            <w:tcW w:type="dxa" w:w="3360"/>
            <w:shd w:val="clear" w:color="auto" w:fill="EEF1F8"/>
            <w:tcMar>
              <w:top w:w="140" w:type="dxa"/>
              <w:bottom w:w="140" w:type="dxa"/>
              <w:start w:w="140" w:type="dxa"/>
              <w:end w:w="140" w:type="dxa"/>
            </w:tcMar>
          </w:tcPr>
          <w:p>
            <w:r>
              <w:rPr>
                <w:rFonts w:ascii="Segoe UI" w:hAnsi="Segoe UI"/>
                <w:b/>
                <w:i w:val="0"/>
                <w:color w:val="C7922C"/>
                <w:sz w:val="40"/>
              </w:rPr>
              <w:t>60%</w:t>
            </w:r>
          </w:p>
          <w:p>
            <w:r>
              <w:rPr>
                <w:rFonts w:ascii="Segoe UI" w:hAnsi="Segoe UI"/>
                <w:b w:val="0"/>
                <w:i w:val="0"/>
                <w:color w:val="1A2340"/>
                <w:sz w:val="19"/>
              </w:rPr>
              <w:t>Practice &amp; theory checks (auto-graded, unlimited attempts)</w:t>
            </w:r>
          </w:p>
        </w:tc>
        <w:tc>
          <w:tcPr>
            <w:tcW w:type="dxa" w:w="3360"/>
            <w:shd w:val="clear" w:color="auto" w:fill="EEF1F8"/>
            <w:tcMar>
              <w:top w:w="140" w:type="dxa"/>
              <w:bottom w:w="140" w:type="dxa"/>
              <w:start w:w="140" w:type="dxa"/>
              <w:end w:w="140" w:type="dxa"/>
            </w:tcMar>
          </w:tcPr>
          <w:p>
            <w:r>
              <w:rPr>
                <w:rFonts w:ascii="Segoe UI" w:hAnsi="Segoe UI"/>
                <w:b/>
                <w:i w:val="0"/>
                <w:color w:val="C7922C"/>
                <w:sz w:val="40"/>
              </w:rPr>
              <w:t>25%</w:t>
            </w:r>
          </w:p>
          <w:p>
            <w:r>
              <w:rPr>
                <w:rFonts w:ascii="Segoe UI" w:hAnsi="Segoe UI"/>
                <w:b w:val="0"/>
                <w:i w:val="0"/>
                <w:color w:val="1A2340"/>
                <w:sz w:val="19"/>
              </w:rPr>
              <w:t>Discussions &amp; module reflections</w:t>
            </w:r>
          </w:p>
        </w:tc>
        <w:tc>
          <w:tcPr>
            <w:tcW w:type="dxa" w:w="3360"/>
            <w:shd w:val="clear" w:color="auto" w:fill="EEF1F8"/>
            <w:tcMar>
              <w:top w:w="140" w:type="dxa"/>
              <w:bottom w:w="140" w:type="dxa"/>
              <w:start w:w="140" w:type="dxa"/>
              <w:end w:w="140" w:type="dxa"/>
            </w:tcMar>
          </w:tcPr>
          <w:p>
            <w:r>
              <w:rPr>
                <w:rFonts w:ascii="Segoe UI" w:hAnsi="Segoe UI"/>
                <w:b/>
                <w:i w:val="0"/>
                <w:color w:val="C7922C"/>
                <w:sz w:val="40"/>
              </w:rPr>
              <w:t>15%</w:t>
            </w:r>
          </w:p>
          <w:p>
            <w:r>
              <w:rPr>
                <w:rFonts w:ascii="Segoe UI" w:hAnsi="Segoe UI"/>
                <w:b w:val="0"/>
                <w:i w:val="0"/>
                <w:color w:val="1A2340"/>
                <w:sz w:val="19"/>
              </w:rPr>
              <w:t>Major quarterly assessments (teacher-graded)</w:t>
            </w:r>
          </w:p>
        </w:tc>
      </w:tr>
    </w:tbl>
    <w:p>
      <w:pPr>
        <w:spacing w:after="200"/>
      </w:pPr>
      <w:r>
        <w:rPr>
          <w:rFonts w:ascii="Segoe UI" w:hAnsi="Segoe UI"/>
          <w:b w:val="0"/>
          <w:i w:val="0"/>
          <w:color w:val="6B7A99"/>
          <w:sz w:val="19"/>
        </w:rPr>
        <w:t>Ungraded intro/outro survey wrappers each module capture your confidence and questions — they do not count toward your grade but help your facilitator know where to help.</w:t>
      </w:r>
    </w:p>
    <w:p>
      <w:pPr>
        <w:spacing w:before="320" w:after="120"/>
        <w:pBdr>
          <w:bottom w:val="single" w:sz="12" w:space="4" w:color="C7922C"/>
        </w:pBdr>
      </w:pPr>
      <w:r>
        <w:rPr>
          <w:rFonts w:ascii="Segoe UI" w:hAnsi="Segoe UI"/>
          <w:b/>
          <w:i w:val="0"/>
          <w:color w:val="0E1C42"/>
          <w:sz w:val="26"/>
        </w:rPr>
        <w:t>HOW THIS COURSE IS DELIVERED</w:t>
      </w:r>
    </w:p>
    <w:p>
      <w:pPr>
        <w:spacing w:after="80"/>
      </w:pPr>
      <w:r>
        <w:rPr>
          <w:rFonts w:ascii="Segoe UI" w:hAnsi="Segoe UI"/>
          <w:b/>
          <w:i w:val="0"/>
          <w:color w:val="0E1C42"/>
          <w:sz w:val="21"/>
        </w:rPr>
        <w:t>ON-DEMAND (ASYNCHRONOUS) LEARNING</w:t>
      </w:r>
    </w:p>
    <w:p>
      <w:pPr>
        <w:spacing w:after="120"/>
      </w:pPr>
      <w:r>
        <w:rPr>
          <w:rFonts w:ascii="Segoe UI" w:hAnsi="Segoe UI"/>
          <w:b w:val="0"/>
          <w:i w:val="0"/>
          <w:color w:val="1A2340"/>
          <w:sz w:val="21"/>
        </w:rPr>
        <w:t>You move through the course at your own pace within each quarter, guided by due dates that keep you on track. All assignments for a quarter open at its start and close at its end. There is no grade penalty for missing an individual due date — but any assignment not completed by the end of the quarter receives a zero, and assignments submitted in the final 14 days of a quarter receive a 10% deduction, so steady pacing matters.</w:t>
      </w:r>
    </w:p>
    <w:p>
      <w:pPr>
        <w:spacing w:after="120"/>
      </w:pPr>
      <w:r>
        <w:rPr>
          <w:rFonts w:ascii="Segoe UI" w:hAnsi="Segoe UI"/>
          <w:b w:val="0"/>
          <w:i w:val="0"/>
          <w:color w:val="1A2340"/>
          <w:sz w:val="21"/>
        </w:rPr>
        <w:t>Attendance is measured by assignment completion. Per school policy, a scholar who completes no assignment for ten consecutive school days, without notifying the school of an absence in advance, may be dropped from the course. Completion means a sincere attempt — real effort on real work.</w:t>
      </w:r>
    </w:p>
    <w:p>
      <w:pPr>
        <w:spacing w:after="120"/>
      </w:pPr>
      <w:r>
        <w:rPr>
          <w:rFonts w:ascii="Segoe UI" w:hAnsi="Segoe UI"/>
          <w:b w:val="0"/>
          <w:i/>
          <w:color w:val="1A2340"/>
          <w:sz w:val="21"/>
        </w:rPr>
        <w:t>You are never on your own. Your facilitator grades your work, gives feedback, and posts optional ungraded office hours in Canvas each week — see the announcements for the current schedule.</w:t>
      </w:r>
    </w:p>
    <w:p>
      <w:pPr>
        <w:spacing w:before="320" w:after="120"/>
        <w:pBdr>
          <w:bottom w:val="single" w:sz="12" w:space="4" w:color="C7922C"/>
        </w:pBdr>
      </w:pPr>
      <w:r>
        <w:rPr>
          <w:rFonts w:ascii="Segoe UI" w:hAnsi="Segoe UI"/>
          <w:b/>
          <w:i w:val="0"/>
          <w:color w:val="0E1C42"/>
          <w:sz w:val="26"/>
        </w:rPr>
        <w:t>WHAT YOU NEED &amp; STAYING CONNECTED</w:t>
      </w:r>
    </w:p>
    <w:p>
      <w:pPr>
        <w:pStyle w:val="ListBullet"/>
        <w:spacing w:after="80"/>
      </w:pPr>
      <w:r>
        <w:rPr>
          <w:rFonts w:ascii="Segoe UI" w:hAnsi="Segoe UI"/>
          <w:b w:val="0"/>
          <w:i w:val="0"/>
          <w:color w:val="1A2340"/>
          <w:sz w:val="22"/>
        </w:rPr>
        <w:t>A computer with reliable internet and access to Canvas.</w:t>
      </w:r>
    </w:p>
    <w:p>
      <w:pPr>
        <w:pStyle w:val="ListBullet"/>
        <w:spacing w:after="80"/>
      </w:pPr>
      <w:r>
        <w:rPr>
          <w:rFonts w:ascii="Segoe UI" w:hAnsi="Segoe UI"/>
          <w:b w:val="0"/>
          <w:i w:val="0"/>
          <w:color w:val="1A2340"/>
          <w:sz w:val="22"/>
        </w:rPr>
        <w:t>MuseScore (free at musescore.org) — your notation software for composition work.</w:t>
      </w:r>
    </w:p>
    <w:p>
      <w:pPr>
        <w:pStyle w:val="ListBullet"/>
        <w:spacing w:after="80"/>
      </w:pPr>
      <w:r>
        <w:rPr>
          <w:rFonts w:ascii="Segoe UI" w:hAnsi="Segoe UI"/>
          <w:b w:val="0"/>
          <w:i w:val="0"/>
          <w:color w:val="1A2340"/>
          <w:sz w:val="22"/>
        </w:rPr>
        <w:t>A way to record audio (a phone voice memo app, a computer microphone, or MuseScore’s built-in audio export) — several composition and sight-singing assignments require you to submit a recording of your own performance.</w:t>
      </w:r>
    </w:p>
    <w:p>
      <w:pPr>
        <w:pStyle w:val="ListBullet"/>
        <w:spacing w:after="80"/>
      </w:pPr>
      <w:r>
        <w:rPr>
          <w:rFonts w:ascii="Segoe UI" w:hAnsi="Segoe UI"/>
          <w:b w:val="0"/>
          <w:i w:val="0"/>
          <w:color w:val="1A2340"/>
          <w:sz w:val="22"/>
        </w:rPr>
        <w:t>Headphones, for ear-training and listening exercises.</w:t>
      </w:r>
    </w:p>
    <w:p>
      <w:pPr>
        <w:pStyle w:val="ListBullet"/>
        <w:spacing w:after="80"/>
      </w:pPr>
      <w:r>
        <w:rPr>
          <w:rFonts w:ascii="Segoe UI" w:hAnsi="Segoe UI"/>
          <w:b w:val="0"/>
          <w:i w:val="0"/>
          <w:color w:val="1A2340"/>
          <w:sz w:val="22"/>
        </w:rPr>
        <w:t>Open Music Theory v2 (free at viva.pressbooks.pub/openmusictheory) — your course textbook; every reading is linked directly in the lesson.</w:t>
      </w:r>
    </w:p>
    <w:p>
      <w:pPr>
        <w:pStyle w:val="ListBullet"/>
        <w:spacing w:after="80"/>
      </w:pPr>
      <w:r>
        <w:rPr>
          <w:rFonts w:ascii="Segoe UI" w:hAnsi="Segoe UI"/>
          <w:b w:val="0"/>
          <w:i w:val="0"/>
          <w:color w:val="1A2340"/>
          <w:sz w:val="22"/>
        </w:rPr>
        <w:t>A Theory notebook (digital Word document or paper) for working out exercises.</w:t>
      </w:r>
    </w:p>
    <w:p>
      <w:pPr>
        <w:spacing w:after="120"/>
      </w:pPr>
      <w:r>
        <w:rPr>
          <w:rFonts w:ascii="Segoe UI" w:hAnsi="Segoe UI"/>
          <w:b w:val="0"/>
          <w:i w:val="0"/>
          <w:color w:val="1A2340"/>
          <w:sz w:val="21"/>
        </w:rPr>
        <w:t>Staying connected. Updates about this course are posted on the course’s Canvas page; school-wide updates are posted in your Homeroom Canvas course. Check both regularly. Your facilitator is glad to help with the material or to talk through your plans — reach out any time through Canvas messaging.</w:t>
      </w:r>
    </w:p>
    <w:p>
      <w:pPr>
        <w:spacing w:before="320" w:after="120"/>
        <w:pBdr>
          <w:bottom w:val="single" w:sz="12" w:space="4" w:color="C7922C"/>
        </w:pBdr>
      </w:pPr>
      <w:r>
        <w:rPr>
          <w:rFonts w:ascii="Segoe UI" w:hAnsi="Segoe UI"/>
          <w:b/>
          <w:i w:val="0"/>
          <w:color w:val="0E1C42"/>
          <w:sz w:val="26"/>
        </w:rPr>
        <w:t>APPROPRIATE USE OF AI</w:t>
      </w:r>
    </w:p>
    <w:p>
      <w:pPr>
        <w:spacing w:after="120"/>
      </w:pPr>
      <w:r>
        <w:rPr>
          <w:rFonts w:ascii="Segoe UI" w:hAnsi="Segoe UI"/>
          <w:b w:val="0"/>
          <w:i w:val="0"/>
          <w:color w:val="1A2340"/>
          <w:sz w:val="21"/>
        </w:rPr>
        <w:t>Optima scholars are preparing for a world shaped by artificial intelligence, and learning to use these tools with good judgment is part of that preparation. You are welcome to use AI tools to support your learning — to explain a concept a different way, check your understanding, or brainstorm — unless a particular assignment says otherwise. What AI may never do is the thinking or the work an assignment asks of you: a composition, a self-assessment, an analysis, or a discussion post must be genuinely your own. Submitting AI-generated work as if it were your own is dishonest and counts as an insincere attempt. When you do use an AI tool on an assignment, say so briefly. Above all, build the underlying skill yourself — the goal is for you to be able to judge whether an AI’s answer is any good, which you can only do if you can do the work without it.</w:t>
      </w:r>
    </w:p>
    <w:p>
      <w:pPr>
        <w:spacing w:before="320" w:after="120"/>
        <w:pBdr>
          <w:bottom w:val="single" w:sz="12" w:space="4" w:color="C7922C"/>
        </w:pBdr>
      </w:pPr>
      <w:r>
        <w:rPr>
          <w:rFonts w:ascii="Segoe UI" w:hAnsi="Segoe UI"/>
          <w:b/>
          <w:i w:val="0"/>
          <w:color w:val="0E1C42"/>
          <w:sz w:val="26"/>
        </w:rPr>
        <w:t>BEING AN OPTIMA SCHOLAR</w:t>
      </w:r>
    </w:p>
    <w:p>
      <w:pPr>
        <w:spacing w:after="120"/>
      </w:pPr>
      <w:r>
        <w:rPr>
          <w:rFonts w:ascii="Segoe UI" w:hAnsi="Segoe UI"/>
          <w:b w:val="0"/>
          <w:i w:val="0"/>
          <w:color w:val="1A2340"/>
          <w:sz w:val="21"/>
        </w:rPr>
        <w:t>Optima’s mission is an excellent, virtue-centered education, and virtue is at the center of this course as much as any other. Every scholar is expected to practice the seven virtues that shape life at Optima — courage, courtesy, honesty, perseverance, self-government, service, and responsibility. In practice that means: do your own honest work; treat everyone you meet in, through, or because of this course with respect, in writing and in discussion; engage actively rather than passively; and take responsibility for your own pacing and progress. You belong to a community of scholars, not only to a course.</w:t>
      </w:r>
    </w:p>
    <w:p>
      <w:pPr>
        <w:spacing w:after="40"/>
      </w:pPr>
    </w:p>
    <w:p>
      <w:pPr>
        <w:spacing w:after="120"/>
        <w:jc w:val="center"/>
      </w:pPr>
      <w:r>
        <w:rPr>
          <w:rFonts w:ascii="Segoe UI" w:hAnsi="Segoe UI"/>
          <w:b w:val="0"/>
          <w:i w:val="0"/>
          <w:color w:val="6B7A99"/>
          <w:sz w:val="17"/>
        </w:rPr>
        <w:t>M/J Music Theory 2 · Florida course 1300010 · Full-year middle-school course · Optima Academy Online, 2026–2027. Built from the course content (37 modules) and the board-approved 2026–2027 academic calendar. School calendar dates may be adjusted by the school.</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