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426"/>
      </w:tblGrid>
      <w:tr>
        <w:tc>
          <w:tcPr>
            <w:tcW w:type="dxa" w:w="10426"/>
            <w:shd w:val="clear" w:color="auto" w:fill="FDF3E3"/>
            <w:tcMar>
              <w:top w:w="140" w:type="dxa"/>
              <w:bottom w:w="140" w:type="dxa"/>
              <w:start w:w="200" w:type="dxa"/>
              <w:end w:w="200" w:type="dxa"/>
            </w:tcMar>
          </w:tcPr>
          <w:p>
            <w:r>
              <w:rPr>
                <w:rFonts w:ascii="Segoe UI" w:hAnsi="Segoe UI" w:eastAsia="Segoe UI"/>
                <w:b/>
                <w:i w:val="0"/>
                <w:color w:val="8A6010"/>
                <w:sz w:val="21"/>
              </w:rPr>
              <w:t>HOW TO USE THIS FILE — READ FIRST, THEN DELETE THIS BOX</w:t>
              <w:br/>
            </w:r>
            <w:r>
              <w:rPr>
                <w:rFonts w:ascii="Segoe UI" w:hAnsi="Segoe UI" w:eastAsia="Segoe UI"/>
                <w:b w:val="0"/>
                <w:i w:val="0"/>
                <w:color w:val="6B4F1D"/>
                <w:sz w:val="19"/>
              </w:rPr>
              <w:t>This is an editable Word document, not a locked PDF — you can fill it in yourself, no other software needed. Every yellow-highlighted spot is a placeholder for you to personalize: your name, email, and office hours. Click each highlighted phrase, type over it, then select the new text and remove the yellow highlight (Home tab → Text Highlight Color → No Color). Check the Important Dates and Big Projects sections against your section's actual pacing before sharing with students. Delete this box once you're done.</w:t>
            </w:r>
          </w:p>
        </w:tc>
      </w:tr>
    </w:tbl>
    <w:p>
      <w:pPr>
        <w:spacing w:after="40"/>
      </w:pPr>
    </w:p>
    <w:tbl>
      <w:tblPr>
        <w:tblW w:type="auto" w:w="0"/>
        <w:tblLook w:firstColumn="1" w:firstRow="1" w:lastColumn="0" w:lastRow="0" w:noHBand="0" w:noVBand="1" w:val="04A0"/>
      </w:tblPr>
      <w:tblGrid>
        <w:gridCol w:w="10426"/>
      </w:tblGrid>
      <w:tr>
        <w:tc>
          <w:tcPr>
            <w:tcW w:type="dxa" w:w="10426"/>
            <w:shd w:val="clear" w:color="auto" w:fill="0E1C42"/>
            <w:tcMar>
              <w:top w:w="220" w:type="dxa"/>
              <w:bottom w:w="220" w:type="dxa"/>
              <w:start w:w="260" w:type="dxa"/>
              <w:end w:w="260" w:type="dxa"/>
            </w:tcMar>
          </w:tcPr>
          <w:p>
            <w:r>
              <w:rPr>
                <w:rFonts w:ascii="Segoe UI" w:hAnsi="Segoe UI" w:eastAsia="Segoe UI"/>
                <w:b/>
                <w:i w:val="0"/>
                <w:color w:val="FFFFFF"/>
                <w:sz w:val="52"/>
              </w:rPr>
              <w:t>Music Intermediate I</w:t>
              <w:br/>
            </w:r>
          </w:p>
          <w:p>
            <w:r>
              <w:rPr>
                <w:rFonts w:ascii="Segoe UI" w:hAnsi="Segoe UI" w:eastAsia="Segoe UI"/>
                <w:b/>
                <w:i w:val="0"/>
                <w:color w:val="55C8E8"/>
                <w:sz w:val="20"/>
              </w:rPr>
              <w:t>OPTIMA ACADEMY ONLINE  ·  COURSE SYLLABUS  ·  2026–2027</w:t>
            </w:r>
          </w:p>
          <w:p>
            <w:r>
              <w:rPr>
                <w:rFonts w:ascii="Segoe UI" w:hAnsi="Segoe UI" w:eastAsia="Segoe UI"/>
                <w:b w:val="0"/>
                <w:i w:val="0"/>
                <w:color w:val="9FB2D6"/>
                <w:sz w:val="20"/>
              </w:rPr>
              <w:t>Full Year  ·  Grade 3  ·  On-Demand &amp; Live (VR Campus)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2448"/>
        <w:gridCol w:w="7056"/>
      </w:tblGrid>
      <w:tr>
        <w:tc>
          <w:tcPr>
            <w:tcW w:type="dxa" w:w="5213"/>
            <w:shd w:val="clear" w:color="auto" w:fill="EEF1F8"/>
            <w:tcMar>
              <w:top w:w="60" w:type="dxa"/>
              <w:bottom w:w="60" w:type="dxa"/>
              <w:start w:w="120" w:type="dxa"/>
              <w:end w:w="120" w:type="dxa"/>
            </w:tcMar>
          </w:tcPr>
          <w:p>
            <w:r>
              <w:rPr>
                <w:rFonts w:ascii="Segoe UI" w:hAnsi="Segoe UI" w:eastAsia="Segoe UI"/>
                <w:b/>
                <w:i w:val="0"/>
                <w:color w:val="6B7494"/>
                <w:sz w:val="17"/>
              </w:rPr>
              <w:t>FACILITATOR</w:t>
            </w:r>
          </w:p>
        </w:tc>
        <w:tc>
          <w:tcPr>
            <w:tcW w:type="dxa" w:w="5213"/>
            <w:shd w:val="clear" w:color="auto" w:fill="EEF1F8"/>
            <w:tcMar>
              <w:top w:w="60" w:type="dxa"/>
              <w:bottom w:w="60" w:type="dxa"/>
              <w:start w:w="120" w:type="dxa"/>
              <w:end w:w="120" w:type="dxa"/>
            </w:tcMar>
          </w:tcPr>
          <w:p>
            <w:r>
              <w:rPr>
                <w:rFonts w:ascii="Segoe UI" w:hAnsi="Segoe UI" w:eastAsia="Segoe UI"/>
                <w:b/>
                <w:i w:val="0"/>
                <w:color w:val="0E1C42"/>
                <w:sz w:val="21"/>
                <w:highlight w:val="yellow"/>
              </w:rPr>
              <w:t>[Teacher Name — enter here]</w:t>
            </w:r>
          </w:p>
        </w:tc>
      </w:tr>
      <w:tr>
        <w:tc>
          <w:tcPr>
            <w:tcW w:type="dxa" w:w="5213"/>
            <w:shd w:val="clear" w:color="auto" w:fill="EEF1F8"/>
            <w:tcMar>
              <w:top w:w="60" w:type="dxa"/>
              <w:bottom w:w="60" w:type="dxa"/>
              <w:start w:w="120" w:type="dxa"/>
              <w:end w:w="120" w:type="dxa"/>
            </w:tcMar>
          </w:tcPr>
          <w:p>
            <w:r>
              <w:rPr>
                <w:rFonts w:ascii="Segoe UI" w:hAnsi="Segoe UI" w:eastAsia="Segoe UI"/>
                <w:b/>
                <w:i w:val="0"/>
                <w:color w:val="6B7494"/>
                <w:sz w:val="17"/>
              </w:rPr>
              <w:t>EMAIL &amp; OFFICE HOURS</w:t>
            </w:r>
          </w:p>
        </w:tc>
        <w:tc>
          <w:tcPr>
            <w:tcW w:type="dxa" w:w="5213"/>
            <w:shd w:val="clear" w:color="auto" w:fill="EEF1F8"/>
            <w:tcMar>
              <w:top w:w="60" w:type="dxa"/>
              <w:bottom w:w="60" w:type="dxa"/>
              <w:start w:w="120" w:type="dxa"/>
              <w:end w:w="120" w:type="dxa"/>
            </w:tcMar>
          </w:tcPr>
          <w:p>
            <w:r>
              <w:rPr>
                <w:rFonts w:ascii="Segoe UI" w:hAnsi="Segoe UI" w:eastAsia="Segoe UI"/>
                <w:b/>
                <w:i w:val="0"/>
                <w:color w:val="0E1C42"/>
                <w:sz w:val="21"/>
                <w:highlight w:val="yellow"/>
              </w:rPr>
              <w:t>[teacher email—enter here]</w:t>
            </w:r>
            <w:r>
              <w:rPr>
                <w:rFonts w:ascii="Segoe UI" w:hAnsi="Segoe UI" w:eastAsia="Segoe UI"/>
                <w:b/>
                <w:i w:val="0"/>
                <w:color w:val="0E1C42"/>
                <w:sz w:val="21"/>
              </w:rPr>
              <w:t xml:space="preserve">  ·  </w:t>
            </w:r>
            <w:r>
              <w:rPr>
                <w:rFonts w:ascii="Segoe UI" w:hAnsi="Segoe UI" w:eastAsia="Segoe UI"/>
                <w:b/>
                <w:i w:val="0"/>
                <w:color w:val="0E1C42"/>
                <w:sz w:val="21"/>
                <w:highlight w:val="yellow"/>
              </w:rPr>
              <w:t>[Office hours, e.g. Tuesdays 3:00–4:00 PM, posted in Canvas]</w:t>
            </w:r>
          </w:p>
        </w:tc>
      </w:tr>
      <w:tr>
        <w:tc>
          <w:tcPr>
            <w:tcW w:type="dxa" w:w="5213"/>
            <w:shd w:val="clear" w:color="auto" w:fill="EEF1F8"/>
            <w:tcMar>
              <w:top w:w="60" w:type="dxa"/>
              <w:bottom w:w="60" w:type="dxa"/>
              <w:start w:w="120" w:type="dxa"/>
              <w:end w:w="120" w:type="dxa"/>
            </w:tcMar>
          </w:tcPr>
          <w:p>
            <w:r>
              <w:rPr>
                <w:rFonts w:ascii="Segoe UI" w:hAnsi="Segoe UI" w:eastAsia="Segoe UI"/>
                <w:b/>
                <w:i w:val="0"/>
                <w:color w:val="6B7494"/>
                <w:sz w:val="17"/>
              </w:rPr>
              <w:t>FLORIDA COURSE</w:t>
            </w:r>
          </w:p>
        </w:tc>
        <w:tc>
          <w:tcPr>
            <w:tcW w:type="dxa" w:w="5213"/>
            <w:shd w:val="clear" w:color="auto" w:fill="EEF1F8"/>
            <w:tcMar>
              <w:top w:w="60" w:type="dxa"/>
              <w:bottom w:w="60" w:type="dxa"/>
              <w:start w:w="120" w:type="dxa"/>
              <w:end w:w="120" w:type="dxa"/>
            </w:tcMar>
          </w:tcPr>
          <w:p>
            <w:r>
              <w:rPr>
                <w:rFonts w:ascii="Segoe UI" w:hAnsi="Segoe UI" w:eastAsia="Segoe UI"/>
                <w:b/>
                <w:i w:val="0"/>
                <w:color w:val="0E1C42"/>
                <w:sz w:val="21"/>
              </w:rPr>
              <w:t>Florida 5013090 (CPALMS) · Full-year course</w:t>
            </w:r>
          </w:p>
        </w:tc>
      </w:tr>
      <w:tr>
        <w:tc>
          <w:tcPr>
            <w:tcW w:type="dxa" w:w="5213"/>
            <w:shd w:val="clear" w:color="auto" w:fill="EEF1F8"/>
            <w:tcMar>
              <w:top w:w="60" w:type="dxa"/>
              <w:bottom w:w="60" w:type="dxa"/>
              <w:start w:w="120" w:type="dxa"/>
              <w:end w:w="120" w:type="dxa"/>
            </w:tcMar>
          </w:tcPr>
          <w:p>
            <w:r>
              <w:rPr>
                <w:rFonts w:ascii="Segoe UI" w:hAnsi="Segoe UI" w:eastAsia="Segoe UI"/>
                <w:b/>
                <w:i w:val="0"/>
                <w:color w:val="6B7494"/>
                <w:sz w:val="17"/>
              </w:rPr>
              <w:t>GRADE LEVEL</w:t>
            </w:r>
          </w:p>
        </w:tc>
        <w:tc>
          <w:tcPr>
            <w:tcW w:type="dxa" w:w="5213"/>
            <w:shd w:val="clear" w:color="auto" w:fill="EEF1F8"/>
            <w:tcMar>
              <w:top w:w="60" w:type="dxa"/>
              <w:bottom w:w="60" w:type="dxa"/>
              <w:start w:w="120" w:type="dxa"/>
              <w:end w:w="120" w:type="dxa"/>
            </w:tcMar>
          </w:tcPr>
          <w:p>
            <w:r>
              <w:rPr>
                <w:rFonts w:ascii="Segoe UI" w:hAnsi="Segoe UI" w:eastAsia="Segoe UI"/>
                <w:b/>
                <w:i w:val="0"/>
                <w:color w:val="0E1C42"/>
                <w:sz w:val="21"/>
              </w:rPr>
              <w:t>Grade 3 (students in Grades 4–5 new to the sequence may also enroll per CPALMS guidance)</w:t>
            </w:r>
          </w:p>
        </w:tc>
      </w:tr>
      <w:tr>
        <w:tc>
          <w:tcPr>
            <w:tcW w:type="dxa" w:w="5213"/>
            <w:shd w:val="clear" w:color="auto" w:fill="EEF1F8"/>
            <w:tcMar>
              <w:top w:w="60" w:type="dxa"/>
              <w:bottom w:w="60" w:type="dxa"/>
              <w:start w:w="120" w:type="dxa"/>
              <w:end w:w="120" w:type="dxa"/>
            </w:tcMar>
          </w:tcPr>
          <w:p>
            <w:r>
              <w:rPr>
                <w:rFonts w:ascii="Segoe UI" w:hAnsi="Segoe UI" w:eastAsia="Segoe UI"/>
                <w:b/>
                <w:i w:val="0"/>
                <w:color w:val="6B7494"/>
                <w:sz w:val="17"/>
              </w:rPr>
              <w:t>FORMAT</w:t>
            </w:r>
          </w:p>
        </w:tc>
        <w:tc>
          <w:tcPr>
            <w:tcW w:type="dxa" w:w="5213"/>
            <w:shd w:val="clear" w:color="auto" w:fill="EEF1F8"/>
            <w:tcMar>
              <w:top w:w="60" w:type="dxa"/>
              <w:bottom w:w="60" w:type="dxa"/>
              <w:start w:w="120" w:type="dxa"/>
              <w:end w:w="120" w:type="dxa"/>
            </w:tcMar>
          </w:tcPr>
          <w:p>
            <w:r>
              <w:rPr>
                <w:rFonts w:ascii="Segoe UI" w:hAnsi="Segoe UI" w:eastAsia="Segoe UI"/>
                <w:b/>
                <w:i w:val="0"/>
                <w:color w:val="0E1C42"/>
                <w:sz w:val="21"/>
              </w:rPr>
              <w:t>On-Demand (also offered live on the VR campus)</w:t>
            </w:r>
          </w:p>
        </w:tc>
      </w:tr>
    </w:tbl>
    <w:p>
      <w:pPr>
        <w:spacing w:after="40"/>
      </w:pPr>
    </w:p>
    <w:tbl>
      <w:tblPr>
        <w:tblW w:type="auto" w:w="0"/>
        <w:tblLook w:firstColumn="1" w:firstRow="1" w:lastColumn="0" w:lastRow="0" w:noHBand="0" w:noVBand="1" w:val="04A0"/>
      </w:tblPr>
      <w:tblGrid>
        <w:gridCol w:w="10426"/>
      </w:tblGrid>
      <w:tr>
        <w:tc>
          <w:tcPr>
            <w:tcW w:type="dxa" w:w="10426"/>
            <w:shd w:val="clear" w:color="auto" w:fill="FDF3E3"/>
            <w:tcMar>
              <w:top w:w="120" w:type="dxa"/>
              <w:bottom w:w="120" w:type="dxa"/>
              <w:start w:w="200" w:type="dxa"/>
              <w:end w:w="200" w:type="dxa"/>
            </w:tcMar>
          </w:tcPr>
          <w:p>
            <w:r>
              <w:rPr>
                <w:rFonts w:ascii="Segoe UI" w:hAnsi="Segoe UI" w:eastAsia="Segoe UI"/>
                <w:b/>
                <w:i w:val="0"/>
                <w:color w:val="8A6010"/>
                <w:sz w:val="19"/>
              </w:rPr>
              <w:t xml:space="preserve">About this syllabus.  </w:t>
            </w:r>
            <w:r>
              <w:rPr>
                <w:rFonts w:ascii="Segoe UI" w:hAnsi="Segoe UI" w:eastAsia="Segoe UI"/>
                <w:b w:val="0"/>
                <w:i w:val="0"/>
                <w:color w:val="6B4F1D"/>
                <w:sz w:val="19"/>
              </w:rPr>
              <w:t>This is the plan for the course as designed. It is a full-year Grade 3 music course; On-Demand scholars pace through 37 modules across the four quarters of their enrolled year. On-Demand and Live-section scholars share the same content and expectations; exact pacing, scheduled dates, and a few activities may vary from section to section and term to term. Your facilitator will confirm the specifics for your section.</w:t>
            </w:r>
          </w:p>
        </w:tc>
      </w:tr>
    </w:tbl>
    <w:p>
      <w:pPr>
        <w:spacing w:before="360" w:after="120"/>
        <w:pBdr>
          <w:bottom w:val="single" w:sz="18" w:space="4" w:color="C7922C"/>
        </w:pBdr>
      </w:pPr>
      <w:r>
        <w:rPr>
          <w:rFonts w:ascii="Segoe UI" w:hAnsi="Segoe UI" w:eastAsia="Segoe UI"/>
          <w:b/>
          <w:i w:val="0"/>
          <w:color w:val="0E1C42"/>
          <w:sz w:val="26"/>
        </w:rPr>
        <w:t>COURSE OVERVIEW</w:t>
      </w:r>
    </w:p>
    <w:p>
      <w:pPr>
        <w:spacing w:after="200"/>
      </w:pPr>
      <w:r>
        <w:rPr>
          <w:rFonts w:ascii="Segoe UI" w:hAnsi="Segoe UI" w:eastAsia="Segoe UI"/>
          <w:b w:val="0"/>
          <w:i w:val="0"/>
          <w:sz w:val="21"/>
        </w:rPr>
        <w:t>Music Intermediate I is a full-year music course for Grade 3 scholars, built around the five parameters of music: rhythm, melody, harmony, tone, and expressive qualities. Across 37 modules and four quarters, scholars build music literacy — reading and singing in the treble clef, learning the instrument families of the orchestra, and meeting significant composers and musical styles from Mozart and Beethoven to jazz, pop, and K-Pop. Every module pairs a short interactive lesson with a real recorded example, a self-check quiz, and a written or performance assignment, and each quarter closes with a Live VR Experience where scholars gather with their class on Optima's VR campus. Scholars keep a personal Music Journal all year — a running record of vocabulary, listening notes, and reflections that grows with every module.</w:t>
      </w:r>
    </w:p>
    <w:p>
      <w:pPr>
        <w:spacing w:after="80"/>
      </w:pPr>
      <w:r>
        <w:rPr>
          <w:rFonts w:ascii="Segoe UI" w:hAnsi="Segoe UI" w:eastAsia="Segoe UI"/>
          <w:b/>
          <w:i w:val="0"/>
          <w:color w:val="C7922C"/>
          <w:sz w:val="22"/>
        </w:rPr>
        <w:t>What Scholars Will Learn to Do</w:t>
      </w:r>
    </w:p>
    <w:p>
      <w:pPr>
        <w:pStyle w:val="ListBullet"/>
        <w:spacing w:after="80"/>
      </w:pPr>
      <w:r>
        <w:rPr>
          <w:rFonts w:ascii="Segoe UI" w:hAnsi="Segoe UI" w:eastAsia="Segoe UI"/>
          <w:b w:val="0"/>
          <w:i w:val="0"/>
          <w:sz w:val="21"/>
        </w:rPr>
        <w:t>Identify and describe the five parameters of music: rhythm, melody, harmony, tone, and expressive qualities.</w:t>
      </w:r>
    </w:p>
    <w:p>
      <w:pPr>
        <w:pStyle w:val="ListBullet"/>
        <w:spacing w:after="80"/>
      </w:pPr>
      <w:r>
        <w:rPr>
          <w:rFonts w:ascii="Segoe UI" w:hAnsi="Segoe UI" w:eastAsia="Segoe UI"/>
          <w:b w:val="0"/>
          <w:i w:val="0"/>
          <w:sz w:val="21"/>
        </w:rPr>
        <w:t>Describe how tempo, dynamics, and expressive qualities affect the mood and character of a musical work.</w:t>
      </w:r>
    </w:p>
    <w:p>
      <w:pPr>
        <w:pStyle w:val="ListBullet"/>
        <w:spacing w:after="80"/>
      </w:pPr>
      <w:r>
        <w:rPr>
          <w:rFonts w:ascii="Segoe UI" w:hAnsi="Segoe UI" w:eastAsia="Segoe UI"/>
          <w:b w:val="0"/>
          <w:i w:val="0"/>
          <w:sz w:val="21"/>
        </w:rPr>
        <w:t>Read and interpret basic music notation in the treble clef, including note values and simple rhythmic patterns.</w:t>
      </w:r>
    </w:p>
    <w:p>
      <w:pPr>
        <w:pStyle w:val="ListBullet"/>
        <w:spacing w:after="80"/>
      </w:pPr>
      <w:r>
        <w:rPr>
          <w:rFonts w:ascii="Segoe UI" w:hAnsi="Segoe UI" w:eastAsia="Segoe UI"/>
          <w:b w:val="0"/>
          <w:i w:val="0"/>
          <w:sz w:val="21"/>
        </w:rPr>
        <w:t>Sing simple melodies and the C-major scale with correct pitch and rhythm.</w:t>
      </w:r>
    </w:p>
    <w:p>
      <w:pPr>
        <w:pStyle w:val="ListBullet"/>
        <w:spacing w:after="80"/>
      </w:pPr>
      <w:r>
        <w:rPr>
          <w:rFonts w:ascii="Segoe UI" w:hAnsi="Segoe UI" w:eastAsia="Segoe UI"/>
          <w:b w:val="0"/>
          <w:i w:val="0"/>
          <w:sz w:val="21"/>
        </w:rPr>
        <w:t>Identify families of orchestral instruments (strings, woodwinds, brass, percussion) and representative instruments in each.</w:t>
      </w:r>
    </w:p>
    <w:p>
      <w:pPr>
        <w:pStyle w:val="ListBullet"/>
        <w:spacing w:after="80"/>
      </w:pPr>
      <w:r>
        <w:rPr>
          <w:rFonts w:ascii="Segoe UI" w:hAnsi="Segoe UI" w:eastAsia="Segoe UI"/>
          <w:b w:val="0"/>
          <w:i w:val="0"/>
          <w:sz w:val="21"/>
        </w:rPr>
        <w:t>Analyze music from a variety of styles and genres (jazz, pop, K-Pop, classical) using correct music vocabulary.</w:t>
      </w:r>
    </w:p>
    <w:p>
      <w:pPr>
        <w:pStyle w:val="ListBullet"/>
        <w:spacing w:after="80"/>
      </w:pPr>
      <w:r>
        <w:rPr>
          <w:rFonts w:ascii="Segoe UI" w:hAnsi="Segoe UI" w:eastAsia="Segoe UI"/>
          <w:b w:val="0"/>
          <w:i w:val="0"/>
          <w:sz w:val="21"/>
        </w:rPr>
        <w:t>Identify significant composers and performers — including Mozart, Beethoven, Louis Armstrong, and Dave Brubeck — and describe key works.</w:t>
      </w:r>
    </w:p>
    <w:p>
      <w:pPr>
        <w:pStyle w:val="ListBullet"/>
        <w:spacing w:after="80"/>
      </w:pPr>
      <w:r>
        <w:rPr>
          <w:rFonts w:ascii="Segoe UI" w:hAnsi="Segoe UI" w:eastAsia="Segoe UI"/>
          <w:b w:val="0"/>
          <w:i w:val="0"/>
          <w:sz w:val="21"/>
        </w:rPr>
        <w:t>Demonstrate basic conducting patterns and describe how beat and meter function in music.</w:t>
      </w:r>
    </w:p>
    <w:p>
      <w:pPr>
        <w:spacing w:before="360" w:after="120"/>
        <w:pBdr>
          <w:bottom w:val="single" w:sz="18" w:space="4" w:color="C7922C"/>
        </w:pBdr>
      </w:pPr>
      <w:r>
        <w:rPr>
          <w:rFonts w:ascii="Segoe UI" w:hAnsi="Segoe UI" w:eastAsia="Segoe UI"/>
          <w:b/>
          <w:i w:val="0"/>
          <w:color w:val="0E1C42"/>
          <w:sz w:val="26"/>
        </w:rPr>
        <w:t>BIG PROJECTS &amp; MILESTONES</w:t>
      </w:r>
    </w:p>
    <w:p>
      <w:pPr>
        <w:spacing w:after="120"/>
      </w:pPr>
      <w:r>
        <w:rPr>
          <w:rFonts w:ascii="Segoe UI" w:hAnsi="Segoe UI" w:eastAsia="Segoe UI"/>
          <w:b w:val="0"/>
          <w:i w:val="0"/>
          <w:color w:val="6B7494"/>
          <w:sz w:val="19"/>
        </w:rPr>
        <w:t>Semester 1 builds toward these milestones. Target dates below follow a sample pacing; On-Demand scholars pace to their own enrolled term and Live sections follow the class schedule, keeping each milestone roughly in order.</w:t>
      </w:r>
    </w:p>
    <w:tbl>
      <w:tblPr>
        <w:tblStyle w:val="TableGrid"/>
        <w:tblW w:type="auto" w:w="0"/>
        <w:tblLook w:firstColumn="1" w:firstRow="1" w:lastColumn="0" w:lastRow="0" w:noHBand="0" w:noVBand="1" w:val="04A0"/>
      </w:tblPr>
      <w:tblGrid>
        <w:gridCol w:w="2606"/>
        <w:gridCol w:w="2606"/>
        <w:gridCol w:w="2606"/>
        <w:gridCol w:w="2606"/>
      </w:tblGrid>
      <w:tr>
        <w:tc>
          <w:tcPr>
            <w:tcW w:type="dxa" w:w="2606"/>
            <w:shd w:val="clear" w:color="auto" w:fill="0E1C42"/>
            <w:tcMar>
              <w:top w:w="60" w:type="dxa"/>
              <w:bottom w:w="60" w:type="dxa"/>
              <w:start w:w="100" w:type="dxa"/>
              <w:end w:w="100" w:type="dxa"/>
            </w:tcMar>
          </w:tcPr>
          <w:p>
            <w:r>
              <w:rPr>
                <w:rFonts w:ascii="Segoe UI" w:hAnsi="Segoe UI" w:eastAsia="Segoe UI"/>
                <w:b/>
                <w:i w:val="0"/>
                <w:color w:val="FFFFFF"/>
                <w:sz w:val="18"/>
              </w:rPr>
              <w:t>Project / Milestone</w:t>
            </w:r>
          </w:p>
        </w:tc>
        <w:tc>
          <w:tcPr>
            <w:tcW w:type="dxa" w:w="2606"/>
            <w:shd w:val="clear" w:color="auto" w:fill="0E1C42"/>
            <w:tcMar>
              <w:top w:w="60" w:type="dxa"/>
              <w:bottom w:w="60" w:type="dxa"/>
              <w:start w:w="100" w:type="dxa"/>
              <w:end w:w="100" w:type="dxa"/>
            </w:tcMar>
          </w:tcPr>
          <w:p>
            <w:r>
              <w:rPr>
                <w:rFonts w:ascii="Segoe UI" w:hAnsi="Segoe UI" w:eastAsia="Segoe UI"/>
                <w:b/>
                <w:i w:val="0"/>
                <w:color w:val="FFFFFF"/>
                <w:sz w:val="18"/>
              </w:rPr>
              <w:t>Course Place</w:t>
            </w:r>
          </w:p>
        </w:tc>
        <w:tc>
          <w:tcPr>
            <w:tcW w:type="dxa" w:w="2606"/>
            <w:shd w:val="clear" w:color="auto" w:fill="0E1C42"/>
            <w:tcMar>
              <w:top w:w="60" w:type="dxa"/>
              <w:bottom w:w="60" w:type="dxa"/>
              <w:start w:w="100" w:type="dxa"/>
              <w:end w:w="100" w:type="dxa"/>
            </w:tcMar>
          </w:tcPr>
          <w:p>
            <w:r>
              <w:rPr>
                <w:rFonts w:ascii="Segoe UI" w:hAnsi="Segoe UI" w:eastAsia="Segoe UI"/>
                <w:b/>
                <w:i w:val="0"/>
                <w:color w:val="FFFFFF"/>
                <w:sz w:val="18"/>
              </w:rPr>
              <w:t>Sample Target</w:t>
            </w:r>
          </w:p>
        </w:tc>
        <w:tc>
          <w:tcPr>
            <w:tcW w:type="dxa" w:w="2606"/>
            <w:shd w:val="clear" w:color="auto" w:fill="0E1C42"/>
            <w:tcMar>
              <w:top w:w="60" w:type="dxa"/>
              <w:bottom w:w="60" w:type="dxa"/>
              <w:start w:w="100" w:type="dxa"/>
              <w:end w:w="100" w:type="dxa"/>
            </w:tcMar>
          </w:tcPr>
          <w:p>
            <w:r>
              <w:rPr>
                <w:rFonts w:ascii="Segoe UI" w:hAnsi="Segoe UI" w:eastAsia="Segoe UI"/>
                <w:b/>
                <w:i w:val="0"/>
                <w:color w:val="FFFFFF"/>
                <w:sz w:val="18"/>
              </w:rPr>
              <w:t>What You Turn In</w:t>
            </w:r>
          </w:p>
        </w:tc>
      </w:tr>
      <w:tr>
        <w:tc>
          <w:tcPr>
            <w:tcW w:type="dxa" w:w="2606"/>
            <w:shd w:val="clear" w:color="auto" w:fill="FFFFFF"/>
            <w:tcMar>
              <w:top w:w="60" w:type="dxa"/>
              <w:bottom w:w="60" w:type="dxa"/>
              <w:start w:w="100" w:type="dxa"/>
              <w:end w:w="100" w:type="dxa"/>
            </w:tcMar>
          </w:tcPr>
          <w:p>
            <w:r>
              <w:rPr>
                <w:rFonts w:ascii="Segoe UI" w:hAnsi="Segoe UI" w:eastAsia="Segoe UI"/>
                <w:b/>
                <w:i w:val="0"/>
                <w:color w:val="0E1C42"/>
                <w:sz w:val="18"/>
              </w:rPr>
              <w:t>Melody Composition &amp; VR Melody Performance</w:t>
            </w:r>
          </w:p>
        </w:tc>
        <w:tc>
          <w:tcPr>
            <w:tcW w:type="dxa" w:w="2606"/>
            <w:shd w:val="clear" w:color="auto" w:fill="FFFFFF"/>
            <w:tcMar>
              <w:top w:w="60" w:type="dxa"/>
              <w:bottom w:w="60" w:type="dxa"/>
              <w:start w:w="100" w:type="dxa"/>
              <w:end w:w="100" w:type="dxa"/>
            </w:tcMar>
          </w:tcPr>
          <w:p>
            <w:r>
              <w:rPr>
                <w:rFonts w:ascii="Segoe UI" w:hAnsi="Segoe UI" w:eastAsia="Segoe UI"/>
                <w:b w:val="0"/>
                <w:i w:val="0"/>
                <w:color w:val="2A3656"/>
                <w:sz w:val="18"/>
              </w:rPr>
              <w:t>Module 4 · Week 4</w:t>
            </w:r>
          </w:p>
        </w:tc>
        <w:tc>
          <w:tcPr>
            <w:tcW w:type="dxa" w:w="2606"/>
            <w:shd w:val="clear" w:color="auto" w:fill="FFFFFF"/>
            <w:tcMar>
              <w:top w:w="60" w:type="dxa"/>
              <w:bottom w:w="60" w:type="dxa"/>
              <w:start w:w="100" w:type="dxa"/>
              <w:end w:w="100" w:type="dxa"/>
            </w:tcMar>
          </w:tcPr>
          <w:p>
            <w:r>
              <w:rPr>
                <w:rFonts w:ascii="Segoe UI" w:hAnsi="Segoe UI" w:eastAsia="Segoe UI"/>
                <w:b w:val="0"/>
                <w:i w:val="0"/>
                <w:color w:val="2A3656"/>
                <w:sz w:val="18"/>
              </w:rPr>
              <w:t>by Sep 4 (Q1)</w:t>
            </w:r>
          </w:p>
        </w:tc>
        <w:tc>
          <w:tcPr>
            <w:tcW w:type="dxa" w:w="2606"/>
            <w:shd w:val="clear" w:color="auto" w:fill="FFFFFF"/>
            <w:tcMar>
              <w:top w:w="60" w:type="dxa"/>
              <w:bottom w:w="60" w:type="dxa"/>
              <w:start w:w="100" w:type="dxa"/>
              <w:end w:w="100" w:type="dxa"/>
            </w:tcMar>
          </w:tcPr>
          <w:p>
            <w:r>
              <w:rPr>
                <w:rFonts w:ascii="Segoe UI" w:hAnsi="Segoe UI" w:eastAsia="Segoe UI"/>
                <w:b w:val="0"/>
                <w:i w:val="0"/>
                <w:color w:val="2A3656"/>
                <w:sz w:val="18"/>
              </w:rPr>
              <w:t>An original melody, built in Chrome Music Lab or performed on voice/instrument, recorded and submitted, plus a solo VR performance of it.</w:t>
            </w:r>
          </w:p>
        </w:tc>
      </w:tr>
      <w:tr>
        <w:tc>
          <w:tcPr>
            <w:tcW w:type="dxa" w:w="2606"/>
            <w:shd w:val="clear" w:color="auto" w:fill="F6F8FC"/>
            <w:tcMar>
              <w:top w:w="60" w:type="dxa"/>
              <w:bottom w:w="60" w:type="dxa"/>
              <w:start w:w="100" w:type="dxa"/>
              <w:end w:w="100" w:type="dxa"/>
            </w:tcMar>
          </w:tcPr>
          <w:p>
            <w:r>
              <w:rPr>
                <w:rFonts w:ascii="Segoe UI" w:hAnsi="Segoe UI" w:eastAsia="Segoe UI"/>
                <w:b/>
                <w:i w:val="0"/>
                <w:color w:val="0E1C42"/>
                <w:sz w:val="18"/>
              </w:rPr>
              <w:t>Q1 Review, Quiz &amp; Live VR Experience</w:t>
            </w:r>
          </w:p>
        </w:tc>
        <w:tc>
          <w:tcPr>
            <w:tcW w:type="dxa" w:w="2606"/>
            <w:shd w:val="clear" w:color="auto" w:fill="F6F8FC"/>
            <w:tcMar>
              <w:top w:w="60" w:type="dxa"/>
              <w:bottom w:w="60" w:type="dxa"/>
              <w:start w:w="100" w:type="dxa"/>
              <w:end w:w="100" w:type="dxa"/>
            </w:tcMar>
          </w:tcPr>
          <w:p>
            <w:r>
              <w:rPr>
                <w:rFonts w:ascii="Segoe UI" w:hAnsi="Segoe UI" w:eastAsia="Segoe UI"/>
                <w:b w:val="0"/>
                <w:i w:val="0"/>
                <w:color w:val="2A3656"/>
                <w:sz w:val="18"/>
              </w:rPr>
              <w:t>Module 9 · Week 9</w:t>
            </w:r>
          </w:p>
        </w:tc>
        <w:tc>
          <w:tcPr>
            <w:tcW w:type="dxa" w:w="2606"/>
            <w:shd w:val="clear" w:color="auto" w:fill="F6F8FC"/>
            <w:tcMar>
              <w:top w:w="60" w:type="dxa"/>
              <w:bottom w:w="60" w:type="dxa"/>
              <w:start w:w="100" w:type="dxa"/>
              <w:end w:w="100" w:type="dxa"/>
            </w:tcMar>
          </w:tcPr>
          <w:p>
            <w:r>
              <w:rPr>
                <w:rFonts w:ascii="Segoe UI" w:hAnsi="Segoe UI" w:eastAsia="Segoe UI"/>
                <w:b w:val="0"/>
                <w:i w:val="0"/>
                <w:color w:val="2A3656"/>
                <w:sz w:val="18"/>
              </w:rPr>
              <w:t>by Oct 9 (Q1 ends)</w:t>
            </w:r>
          </w:p>
        </w:tc>
        <w:tc>
          <w:tcPr>
            <w:tcW w:type="dxa" w:w="2606"/>
            <w:shd w:val="clear" w:color="auto" w:fill="F6F8FC"/>
            <w:tcMar>
              <w:top w:w="60" w:type="dxa"/>
              <w:bottom w:w="60" w:type="dxa"/>
              <w:start w:w="100" w:type="dxa"/>
              <w:end w:w="100" w:type="dxa"/>
            </w:tcMar>
          </w:tcPr>
          <w:p>
            <w:r>
              <w:rPr>
                <w:rFonts w:ascii="Segoe UI" w:hAnsi="Segoe UI" w:eastAsia="Segoe UI"/>
                <w:b w:val="0"/>
                <w:i w:val="0"/>
                <w:color w:val="2A3656"/>
                <w:sz w:val="18"/>
              </w:rPr>
              <w:t>The Quarter 1 cumulative quiz and a synchronous Live VR Experience with the class; a short reflection submitted afterward.</w:t>
            </w:r>
          </w:p>
        </w:tc>
      </w:tr>
      <w:tr>
        <w:tc>
          <w:tcPr>
            <w:tcW w:type="dxa" w:w="2606"/>
            <w:shd w:val="clear" w:color="auto" w:fill="FFFFFF"/>
            <w:tcMar>
              <w:top w:w="60" w:type="dxa"/>
              <w:bottom w:w="60" w:type="dxa"/>
              <w:start w:w="100" w:type="dxa"/>
              <w:end w:w="100" w:type="dxa"/>
            </w:tcMar>
          </w:tcPr>
          <w:p>
            <w:r>
              <w:rPr>
                <w:rFonts w:ascii="Segoe UI" w:hAnsi="Segoe UI" w:eastAsia="Segoe UI"/>
                <w:b/>
                <w:i w:val="0"/>
                <w:color w:val="0E1C42"/>
                <w:sz w:val="18"/>
              </w:rPr>
              <w:t>Sing the C-Major Scale</w:t>
            </w:r>
          </w:p>
        </w:tc>
        <w:tc>
          <w:tcPr>
            <w:tcW w:type="dxa" w:w="2606"/>
            <w:shd w:val="clear" w:color="auto" w:fill="FFFFFF"/>
            <w:tcMar>
              <w:top w:w="60" w:type="dxa"/>
              <w:bottom w:w="60" w:type="dxa"/>
              <w:start w:w="100" w:type="dxa"/>
              <w:end w:w="100" w:type="dxa"/>
            </w:tcMar>
          </w:tcPr>
          <w:p>
            <w:r>
              <w:rPr>
                <w:rFonts w:ascii="Segoe UI" w:hAnsi="Segoe UI" w:eastAsia="Segoe UI"/>
                <w:b w:val="0"/>
                <w:i w:val="0"/>
                <w:color w:val="2A3656"/>
                <w:sz w:val="18"/>
              </w:rPr>
              <w:t>Module 10 · Week 10</w:t>
            </w:r>
          </w:p>
        </w:tc>
        <w:tc>
          <w:tcPr>
            <w:tcW w:type="dxa" w:w="2606"/>
            <w:shd w:val="clear" w:color="auto" w:fill="FFFFFF"/>
            <w:tcMar>
              <w:top w:w="60" w:type="dxa"/>
              <w:bottom w:w="60" w:type="dxa"/>
              <w:start w:w="100" w:type="dxa"/>
              <w:end w:w="100" w:type="dxa"/>
            </w:tcMar>
          </w:tcPr>
          <w:p>
            <w:r>
              <w:rPr>
                <w:rFonts w:ascii="Segoe UI" w:hAnsi="Segoe UI" w:eastAsia="Segoe UI"/>
                <w:b w:val="0"/>
                <w:i w:val="0"/>
                <w:color w:val="2A3656"/>
                <w:sz w:val="18"/>
              </w:rPr>
              <w:t>by Oct 23</w:t>
            </w:r>
          </w:p>
        </w:tc>
        <w:tc>
          <w:tcPr>
            <w:tcW w:type="dxa" w:w="2606"/>
            <w:shd w:val="clear" w:color="auto" w:fill="FFFFFF"/>
            <w:tcMar>
              <w:top w:w="60" w:type="dxa"/>
              <w:bottom w:w="60" w:type="dxa"/>
              <w:start w:w="100" w:type="dxa"/>
              <w:end w:w="100" w:type="dxa"/>
            </w:tcMar>
          </w:tcPr>
          <w:p>
            <w:r>
              <w:rPr>
                <w:rFonts w:ascii="Segoe UI" w:hAnsi="Segoe UI" w:eastAsia="Segoe UI"/>
                <w:b w:val="0"/>
                <w:i w:val="0"/>
                <w:color w:val="2A3656"/>
                <w:sz w:val="18"/>
              </w:rPr>
              <w:t>A recorded performance singing the C-major scale with correct pitch, note names, and rhythm.</w:t>
            </w:r>
          </w:p>
        </w:tc>
      </w:tr>
      <w:tr>
        <w:tc>
          <w:tcPr>
            <w:tcW w:type="dxa" w:w="2606"/>
            <w:shd w:val="clear" w:color="auto" w:fill="F6F8FC"/>
            <w:tcMar>
              <w:top w:w="60" w:type="dxa"/>
              <w:bottom w:w="60" w:type="dxa"/>
              <w:start w:w="100" w:type="dxa"/>
              <w:end w:w="100" w:type="dxa"/>
            </w:tcMar>
          </w:tcPr>
          <w:p>
            <w:r>
              <w:rPr>
                <w:rFonts w:ascii="Segoe UI" w:hAnsi="Segoe UI" w:eastAsia="Segoe UI"/>
                <w:b/>
                <w:i w:val="0"/>
                <w:color w:val="0E1C42"/>
                <w:sz w:val="18"/>
              </w:rPr>
              <w:t>Semester 1 Review, Holiday Music &amp; Live VR Experience</w:t>
            </w:r>
          </w:p>
        </w:tc>
        <w:tc>
          <w:tcPr>
            <w:tcW w:type="dxa" w:w="2606"/>
            <w:shd w:val="clear" w:color="auto" w:fill="F6F8FC"/>
            <w:tcMar>
              <w:top w:w="60" w:type="dxa"/>
              <w:bottom w:w="60" w:type="dxa"/>
              <w:start w:w="100" w:type="dxa"/>
              <w:end w:w="100" w:type="dxa"/>
            </w:tcMar>
          </w:tcPr>
          <w:p>
            <w:r>
              <w:rPr>
                <w:rFonts w:ascii="Segoe UI" w:hAnsi="Segoe UI" w:eastAsia="Segoe UI"/>
                <w:b w:val="0"/>
                <w:i w:val="0"/>
                <w:color w:val="2A3656"/>
                <w:sz w:val="18"/>
              </w:rPr>
              <w:t>Module 18 · Week 18</w:t>
            </w:r>
          </w:p>
        </w:tc>
        <w:tc>
          <w:tcPr>
            <w:tcW w:type="dxa" w:w="2606"/>
            <w:shd w:val="clear" w:color="auto" w:fill="F6F8FC"/>
            <w:tcMar>
              <w:top w:w="60" w:type="dxa"/>
              <w:bottom w:w="60" w:type="dxa"/>
              <w:start w:w="100" w:type="dxa"/>
              <w:end w:w="100" w:type="dxa"/>
            </w:tcMar>
          </w:tcPr>
          <w:p>
            <w:r>
              <w:rPr>
                <w:rFonts w:ascii="Segoe UI" w:hAnsi="Segoe UI" w:eastAsia="Segoe UI"/>
                <w:b w:val="0"/>
                <w:i w:val="0"/>
                <w:color w:val="2A3656"/>
                <w:sz w:val="18"/>
              </w:rPr>
              <w:t>by Dec 18 (Q2 ends)</w:t>
            </w:r>
          </w:p>
        </w:tc>
        <w:tc>
          <w:tcPr>
            <w:tcW w:type="dxa" w:w="2606"/>
            <w:shd w:val="clear" w:color="auto" w:fill="F6F8FC"/>
            <w:tcMar>
              <w:top w:w="60" w:type="dxa"/>
              <w:bottom w:w="60" w:type="dxa"/>
              <w:start w:w="100" w:type="dxa"/>
              <w:end w:w="100" w:type="dxa"/>
            </w:tcMar>
          </w:tcPr>
          <w:p>
            <w:r>
              <w:rPr>
                <w:rFonts w:ascii="Segoe UI" w:hAnsi="Segoe UI" w:eastAsia="Segoe UI"/>
                <w:b w:val="0"/>
                <w:i w:val="0"/>
                <w:color w:val="2A3656"/>
                <w:sz w:val="18"/>
              </w:rPr>
              <w:t>A comprehensive Semester 1 review performance/reading response and a second Live VR Experience with the class.</w:t>
            </w:r>
          </w:p>
        </w:tc>
      </w:tr>
    </w:tbl>
    <w:p>
      <w:pPr>
        <w:spacing w:before="360" w:after="120"/>
        <w:pBdr>
          <w:bottom w:val="single" w:sz="18" w:space="4" w:color="C7922C"/>
        </w:pBdr>
      </w:pPr>
      <w:r>
        <w:rPr>
          <w:rFonts w:ascii="Segoe UI" w:hAnsi="Segoe UI" w:eastAsia="Segoe UI"/>
          <w:b/>
          <w:i w:val="0"/>
          <w:color w:val="0E1C42"/>
          <w:sz w:val="26"/>
        </w:rPr>
        <w:t>IMPORTANT DATES — 2026–2027 (SEMESTER 1)</w:t>
      </w:r>
    </w:p>
    <w:tbl>
      <w:tblPr>
        <w:tblStyle w:val="TableGrid"/>
        <w:tblW w:type="auto" w:w="0"/>
        <w:tblLook w:firstColumn="1" w:firstRow="1" w:lastColumn="0" w:lastRow="0" w:noHBand="0" w:noVBand="1" w:val="04A0"/>
      </w:tblPr>
      <w:tblGrid>
        <w:gridCol w:w="2606"/>
        <w:gridCol w:w="2606"/>
        <w:gridCol w:w="2606"/>
        <w:gridCol w:w="2606"/>
      </w:tblGrid>
      <w:tr>
        <w:tc>
          <w:tcPr>
            <w:tcW w:type="dxa" w:w="2606"/>
            <w:tcMar>
              <w:top w:w="50" w:type="dxa"/>
              <w:bottom w:w="50" w:type="dxa"/>
              <w:start w:w="90" w:type="dxa"/>
              <w:end w:w="90" w:type="dxa"/>
            </w:tcMar>
          </w:tcPr>
          <w:p>
            <w:r>
              <w:rPr>
                <w:rFonts w:ascii="Segoe UI" w:hAnsi="Segoe UI" w:eastAsia="Segoe UI"/>
                <w:b/>
                <w:i w:val="0"/>
                <w:color w:val="0E1C42"/>
                <w:sz w:val="18"/>
              </w:rPr>
              <w:t>Aug 12, 2026</w:t>
            </w:r>
          </w:p>
        </w:tc>
        <w:tc>
          <w:tcPr>
            <w:tcW w:type="dxa" w:w="2606"/>
            <w:tcMar>
              <w:top w:w="50" w:type="dxa"/>
              <w:bottom w:w="50" w:type="dxa"/>
              <w:start w:w="90" w:type="dxa"/>
              <w:end w:w="90" w:type="dxa"/>
            </w:tcMar>
          </w:tcPr>
          <w:p>
            <w:r>
              <w:rPr>
                <w:rFonts w:ascii="Segoe UI" w:hAnsi="Segoe UI" w:eastAsia="Segoe UI"/>
                <w:b w:val="0"/>
                <w:i w:val="0"/>
                <w:color w:val="2A3656"/>
                <w:sz w:val="18"/>
              </w:rPr>
              <w:t>First day of school</w:t>
            </w:r>
          </w:p>
        </w:tc>
        <w:tc>
          <w:tcPr>
            <w:tcW w:type="dxa" w:w="2606"/>
            <w:tcMar>
              <w:top w:w="50" w:type="dxa"/>
              <w:bottom w:w="50" w:type="dxa"/>
              <w:start w:w="90" w:type="dxa"/>
              <w:end w:w="90" w:type="dxa"/>
            </w:tcMar>
          </w:tcPr>
          <w:p>
            <w:r>
              <w:rPr>
                <w:rFonts w:ascii="Segoe UI" w:hAnsi="Segoe UI" w:eastAsia="Segoe UI"/>
                <w:b/>
                <w:i w:val="0"/>
                <w:color w:val="0E1C42"/>
                <w:sz w:val="18"/>
              </w:rPr>
              <w:t>Sep 7</w:t>
            </w:r>
          </w:p>
        </w:tc>
        <w:tc>
          <w:tcPr>
            <w:tcW w:type="dxa" w:w="2606"/>
            <w:tcMar>
              <w:top w:w="50" w:type="dxa"/>
              <w:bottom w:w="50" w:type="dxa"/>
              <w:start w:w="90" w:type="dxa"/>
              <w:end w:w="90" w:type="dxa"/>
            </w:tcMar>
          </w:tcPr>
          <w:p>
            <w:r>
              <w:rPr>
                <w:rFonts w:ascii="Segoe UI" w:hAnsi="Segoe UI" w:eastAsia="Segoe UI"/>
                <w:b w:val="0"/>
                <w:i w:val="0"/>
                <w:color w:val="2A3656"/>
                <w:sz w:val="18"/>
              </w:rPr>
              <w:t>Holiday (Labor Day)</w:t>
            </w:r>
          </w:p>
        </w:tc>
      </w:tr>
      <w:tr>
        <w:tc>
          <w:tcPr>
            <w:tcW w:type="dxa" w:w="2606"/>
            <w:tcMar>
              <w:top w:w="50" w:type="dxa"/>
              <w:bottom w:w="50" w:type="dxa"/>
              <w:start w:w="90" w:type="dxa"/>
              <w:end w:w="90" w:type="dxa"/>
            </w:tcMar>
          </w:tcPr>
          <w:p>
            <w:r>
              <w:rPr>
                <w:rFonts w:ascii="Segoe UI" w:hAnsi="Segoe UI" w:eastAsia="Segoe UI"/>
                <w:b/>
                <w:i w:val="0"/>
                <w:color w:val="0E1C42"/>
                <w:sz w:val="18"/>
              </w:rPr>
              <w:t>Oct 9</w:t>
            </w:r>
          </w:p>
        </w:tc>
        <w:tc>
          <w:tcPr>
            <w:tcW w:type="dxa" w:w="2606"/>
            <w:tcMar>
              <w:top w:w="50" w:type="dxa"/>
              <w:bottom w:w="50" w:type="dxa"/>
              <w:start w:w="90" w:type="dxa"/>
              <w:end w:w="90" w:type="dxa"/>
            </w:tcMar>
          </w:tcPr>
          <w:p>
            <w:r>
              <w:rPr>
                <w:rFonts w:ascii="Segoe UI" w:hAnsi="Segoe UI" w:eastAsia="Segoe UI"/>
                <w:b w:val="0"/>
                <w:i w:val="0"/>
                <w:color w:val="2A3656"/>
                <w:sz w:val="18"/>
              </w:rPr>
              <w:t>Quarter 1 ends</w:t>
            </w:r>
          </w:p>
        </w:tc>
        <w:tc>
          <w:tcPr>
            <w:tcW w:type="dxa" w:w="2606"/>
            <w:tcMar>
              <w:top w:w="50" w:type="dxa"/>
              <w:bottom w:w="50" w:type="dxa"/>
              <w:start w:w="90" w:type="dxa"/>
              <w:end w:w="90" w:type="dxa"/>
            </w:tcMar>
          </w:tcPr>
          <w:p>
            <w:r>
              <w:rPr>
                <w:rFonts w:ascii="Segoe UI" w:hAnsi="Segoe UI" w:eastAsia="Segoe UI"/>
                <w:b/>
                <w:i w:val="0"/>
                <w:color w:val="0E1C42"/>
                <w:sz w:val="18"/>
              </w:rPr>
              <w:t>Oct 12</w:t>
            </w:r>
          </w:p>
        </w:tc>
        <w:tc>
          <w:tcPr>
            <w:tcW w:type="dxa" w:w="2606"/>
            <w:tcMar>
              <w:top w:w="50" w:type="dxa"/>
              <w:bottom w:w="50" w:type="dxa"/>
              <w:start w:w="90" w:type="dxa"/>
              <w:end w:w="90" w:type="dxa"/>
            </w:tcMar>
          </w:tcPr>
          <w:p>
            <w:r>
              <w:rPr>
                <w:rFonts w:ascii="Segoe UI" w:hAnsi="Segoe UI" w:eastAsia="Segoe UI"/>
                <w:b w:val="0"/>
                <w:i w:val="0"/>
                <w:color w:val="2A3656"/>
                <w:sz w:val="18"/>
              </w:rPr>
              <w:t>Holiday (Columbus Day)</w:t>
            </w:r>
          </w:p>
        </w:tc>
      </w:tr>
      <w:tr>
        <w:tc>
          <w:tcPr>
            <w:tcW w:type="dxa" w:w="2606"/>
            <w:tcMar>
              <w:top w:w="50" w:type="dxa"/>
              <w:bottom w:w="50" w:type="dxa"/>
              <w:start w:w="90" w:type="dxa"/>
              <w:end w:w="90" w:type="dxa"/>
            </w:tcMar>
          </w:tcPr>
          <w:p>
            <w:r>
              <w:rPr>
                <w:rFonts w:ascii="Segoe UI" w:hAnsi="Segoe UI" w:eastAsia="Segoe UI"/>
                <w:b/>
                <w:i w:val="0"/>
                <w:color w:val="0E1C42"/>
                <w:sz w:val="18"/>
              </w:rPr>
              <w:t>Nov 11</w:t>
            </w:r>
          </w:p>
        </w:tc>
        <w:tc>
          <w:tcPr>
            <w:tcW w:type="dxa" w:w="2606"/>
            <w:tcMar>
              <w:top w:w="50" w:type="dxa"/>
              <w:bottom w:w="50" w:type="dxa"/>
              <w:start w:w="90" w:type="dxa"/>
              <w:end w:w="90" w:type="dxa"/>
            </w:tcMar>
          </w:tcPr>
          <w:p>
            <w:r>
              <w:rPr>
                <w:rFonts w:ascii="Segoe UI" w:hAnsi="Segoe UI" w:eastAsia="Segoe UI"/>
                <w:b w:val="0"/>
                <w:i w:val="0"/>
                <w:color w:val="2A3656"/>
                <w:sz w:val="18"/>
              </w:rPr>
              <w:t>Holiday (Veterans' Day)</w:t>
            </w:r>
          </w:p>
        </w:tc>
        <w:tc>
          <w:tcPr>
            <w:tcW w:type="dxa" w:w="2606"/>
            <w:tcMar>
              <w:top w:w="50" w:type="dxa"/>
              <w:bottom w:w="50" w:type="dxa"/>
              <w:start w:w="90" w:type="dxa"/>
              <w:end w:w="90" w:type="dxa"/>
            </w:tcMar>
          </w:tcPr>
          <w:p>
            <w:r>
              <w:rPr>
                <w:rFonts w:ascii="Segoe UI" w:hAnsi="Segoe UI" w:eastAsia="Segoe UI"/>
                <w:b/>
                <w:i w:val="0"/>
                <w:color w:val="0E1C42"/>
                <w:sz w:val="18"/>
              </w:rPr>
              <w:t>Nov 23–27</w:t>
            </w:r>
          </w:p>
        </w:tc>
        <w:tc>
          <w:tcPr>
            <w:tcW w:type="dxa" w:w="2606"/>
            <w:tcMar>
              <w:top w:w="50" w:type="dxa"/>
              <w:bottom w:w="50" w:type="dxa"/>
              <w:start w:w="90" w:type="dxa"/>
              <w:end w:w="90" w:type="dxa"/>
            </w:tcMar>
          </w:tcPr>
          <w:p>
            <w:r>
              <w:rPr>
                <w:rFonts w:ascii="Segoe UI" w:hAnsi="Segoe UI" w:eastAsia="Segoe UI"/>
                <w:b w:val="0"/>
                <w:i w:val="0"/>
                <w:color w:val="2A3656"/>
                <w:sz w:val="18"/>
              </w:rPr>
              <w:t>Thanksgiving break</w:t>
            </w:r>
          </w:p>
        </w:tc>
      </w:tr>
      <w:tr>
        <w:tc>
          <w:tcPr>
            <w:tcW w:type="dxa" w:w="2606"/>
            <w:tcMar>
              <w:top w:w="50" w:type="dxa"/>
              <w:bottom w:w="50" w:type="dxa"/>
              <w:start w:w="90" w:type="dxa"/>
              <w:end w:w="90" w:type="dxa"/>
            </w:tcMar>
          </w:tcPr>
          <w:p>
            <w:r>
              <w:rPr>
                <w:rFonts w:ascii="Segoe UI" w:hAnsi="Segoe UI" w:eastAsia="Segoe UI"/>
                <w:b/>
                <w:i w:val="0"/>
                <w:color w:val="0E1C42"/>
                <w:sz w:val="18"/>
              </w:rPr>
              <w:t>Dec 18</w:t>
            </w:r>
          </w:p>
        </w:tc>
        <w:tc>
          <w:tcPr>
            <w:tcW w:type="dxa" w:w="2606"/>
            <w:tcMar>
              <w:top w:w="50" w:type="dxa"/>
              <w:bottom w:w="50" w:type="dxa"/>
              <w:start w:w="90" w:type="dxa"/>
              <w:end w:w="90" w:type="dxa"/>
            </w:tcMar>
          </w:tcPr>
          <w:p>
            <w:r>
              <w:rPr>
                <w:rFonts w:ascii="Segoe UI" w:hAnsi="Segoe UI" w:eastAsia="Segoe UI"/>
                <w:b w:val="0"/>
                <w:i w:val="0"/>
                <w:color w:val="2A3656"/>
                <w:sz w:val="18"/>
              </w:rPr>
              <w:t>Quarter 2 ends · fall semester ends</w:t>
            </w:r>
          </w:p>
        </w:tc>
        <w:tc>
          <w:tcPr>
            <w:tcW w:type="dxa" w:w="2606"/>
            <w:tcMar>
              <w:top w:w="50" w:type="dxa"/>
              <w:bottom w:w="50" w:type="dxa"/>
              <w:start w:w="90" w:type="dxa"/>
              <w:end w:w="90" w:type="dxa"/>
            </w:tcMar>
          </w:tcPr>
          <w:p>
            <w:r>
              <w:rPr>
                <w:rFonts w:ascii="Segoe UI" w:hAnsi="Segoe UI" w:eastAsia="Segoe UI"/>
                <w:b/>
                <w:i w:val="0"/>
                <w:color w:val="0E1C42"/>
                <w:sz w:val="18"/>
              </w:rPr>
              <w:t>Dec 21–Jan 1</w:t>
            </w:r>
          </w:p>
        </w:tc>
        <w:tc>
          <w:tcPr>
            <w:tcW w:type="dxa" w:w="2606"/>
            <w:tcMar>
              <w:top w:w="50" w:type="dxa"/>
              <w:bottom w:w="50" w:type="dxa"/>
              <w:start w:w="90" w:type="dxa"/>
              <w:end w:w="90" w:type="dxa"/>
            </w:tcMar>
          </w:tcPr>
          <w:p>
            <w:r>
              <w:rPr>
                <w:rFonts w:ascii="Segoe UI" w:hAnsi="Segoe UI" w:eastAsia="Segoe UI"/>
                <w:b w:val="0"/>
                <w:i w:val="0"/>
                <w:color w:val="2A3656"/>
                <w:sz w:val="18"/>
              </w:rPr>
              <w:t>Winter break</w:t>
            </w:r>
          </w:p>
        </w:tc>
      </w:tr>
      <w:tr>
        <w:tc>
          <w:tcPr>
            <w:tcW w:type="dxa" w:w="2606"/>
            <w:tcMar>
              <w:top w:w="50" w:type="dxa"/>
              <w:bottom w:w="50" w:type="dxa"/>
              <w:start w:w="90" w:type="dxa"/>
              <w:end w:w="90" w:type="dxa"/>
            </w:tcMar>
          </w:tcPr>
          <w:p>
            <w:r>
              <w:rPr>
                <w:rFonts w:ascii="Segoe UI" w:hAnsi="Segoe UI" w:eastAsia="Segoe UI"/>
                <w:b/>
                <w:i w:val="0"/>
                <w:color w:val="0E1C42"/>
                <w:sz w:val="18"/>
              </w:rPr>
              <w:t>Jan 5, 2027</w:t>
            </w:r>
          </w:p>
        </w:tc>
        <w:tc>
          <w:tcPr>
            <w:tcW w:type="dxa" w:w="2606"/>
            <w:tcMar>
              <w:top w:w="50" w:type="dxa"/>
              <w:bottom w:w="50" w:type="dxa"/>
              <w:start w:w="90" w:type="dxa"/>
              <w:end w:w="90" w:type="dxa"/>
            </w:tcMar>
          </w:tcPr>
          <w:p>
            <w:r>
              <w:rPr>
                <w:rFonts w:ascii="Segoe UI" w:hAnsi="Segoe UI" w:eastAsia="Segoe UI"/>
                <w:b w:val="0"/>
                <w:i w:val="0"/>
                <w:color w:val="2A3656"/>
                <w:sz w:val="18"/>
              </w:rPr>
              <w:t>Classes resume (Semester 2 begins)</w:t>
            </w:r>
          </w:p>
        </w:tc>
        <w:tc>
          <w:tcPr>
            <w:tcW w:type="dxa" w:w="2606"/>
            <w:tcMar>
              <w:top w:w="50" w:type="dxa"/>
              <w:bottom w:w="50" w:type="dxa"/>
              <w:start w:w="90" w:type="dxa"/>
              <w:end w:w="90" w:type="dxa"/>
            </w:tcMar>
          </w:tcPr>
          <w:p>
            <w:r>
              <w:rPr>
                <w:rFonts w:ascii="Segoe UI" w:hAnsi="Segoe UI" w:eastAsia="Segoe UI"/>
                <w:b/>
                <w:i w:val="0"/>
                <w:color w:val="0E1C42"/>
                <w:sz w:val="18"/>
              </w:rPr>
            </w:r>
          </w:p>
        </w:tc>
        <w:tc>
          <w:tcPr>
            <w:tcW w:type="dxa" w:w="2606"/>
            <w:tcMar>
              <w:top w:w="50" w:type="dxa"/>
              <w:bottom w:w="50" w:type="dxa"/>
              <w:start w:w="90" w:type="dxa"/>
              <w:end w:w="90" w:type="dxa"/>
            </w:tcMar>
          </w:tcPr>
          <w:p>
            <w:r>
              <w:rPr>
                <w:rFonts w:ascii="Segoe UI" w:hAnsi="Segoe UI" w:eastAsia="Segoe UI"/>
                <w:b w:val="0"/>
                <w:i w:val="0"/>
                <w:color w:val="2A3656"/>
                <w:sz w:val="18"/>
              </w:rPr>
            </w:r>
          </w:p>
        </w:tc>
      </w:tr>
      <w:tr>
        <w:tc>
          <w:tcPr>
            <w:tcW w:type="dxa" w:w="2606"/>
          </w:tcPr>
          <w:p/>
        </w:tc>
        <w:tc>
          <w:tcPr>
            <w:tcW w:type="dxa" w:w="2606"/>
          </w:tcPr>
          <w:p/>
        </w:tc>
        <w:tc>
          <w:tcPr>
            <w:tcW w:type="dxa" w:w="2606"/>
          </w:tcPr>
          <w:p/>
        </w:tc>
        <w:tc>
          <w:tcPr>
            <w:tcW w:type="dxa" w:w="2606"/>
          </w:tcPr>
          <w:p/>
        </w:tc>
      </w:tr>
    </w:tbl>
    <w:p>
      <w:pPr>
        <w:spacing w:before="360" w:after="120"/>
        <w:pBdr>
          <w:bottom w:val="single" w:sz="18" w:space="4" w:color="C7922C"/>
        </w:pBdr>
      </w:pPr>
      <w:r>
        <w:rPr>
          <w:rFonts w:ascii="Segoe UI" w:hAnsi="Segoe UI" w:eastAsia="Segoe UI"/>
          <w:b/>
          <w:i w:val="0"/>
          <w:color w:val="0E1C42"/>
          <w:sz w:val="26"/>
        </w:rPr>
        <w:t>ASSESSMENT &amp; GRADING</w:t>
      </w:r>
    </w:p>
    <w:tbl>
      <w:tblPr>
        <w:tblStyle w:val="TableGrid"/>
        <w:tblW w:type="auto" w:w="0"/>
        <w:tblLook w:firstColumn="1" w:firstRow="1" w:lastColumn="0" w:lastRow="0" w:noHBand="0" w:noVBand="1" w:val="04A0"/>
      </w:tblPr>
      <w:tblGrid>
        <w:gridCol w:w="2606"/>
        <w:gridCol w:w="2606"/>
        <w:gridCol w:w="2606"/>
        <w:gridCol w:w="2606"/>
      </w:tblGrid>
      <w:tr>
        <w:tc>
          <w:tcPr>
            <w:tcW w:type="dxa" w:w="2606"/>
            <w:shd w:val="clear" w:color="auto" w:fill="EEF1F8"/>
            <w:tcMar>
              <w:top w:w="120" w:type="dxa"/>
              <w:bottom w:w="120" w:type="dxa"/>
              <w:start w:w="100" w:type="dxa"/>
              <w:end w:w="100" w:type="dxa"/>
            </w:tcMar>
          </w:tcPr>
          <w:p>
            <w:r>
              <w:rPr>
                <w:rFonts w:ascii="Segoe UI" w:hAnsi="Segoe UI" w:eastAsia="Segoe UI"/>
                <w:b/>
                <w:i w:val="0"/>
                <w:color w:val="0E1C42"/>
                <w:sz w:val="36"/>
              </w:rPr>
              <w:t>45%</w:t>
            </w:r>
          </w:p>
          <w:p>
            <w:r>
              <w:rPr>
                <w:rFonts w:ascii="Segoe UI" w:hAnsi="Segoe UI" w:eastAsia="Segoe UI"/>
                <w:b w:val="0"/>
                <w:i w:val="0"/>
                <w:color w:val="44507A"/>
                <w:sz w:val="17"/>
              </w:rPr>
              <w:t>Module Assignments &amp; Performances</w:t>
            </w:r>
          </w:p>
        </w:tc>
        <w:tc>
          <w:tcPr>
            <w:tcW w:type="dxa" w:w="2606"/>
            <w:shd w:val="clear" w:color="auto" w:fill="EEF1F8"/>
            <w:tcMar>
              <w:top w:w="120" w:type="dxa"/>
              <w:bottom w:w="120" w:type="dxa"/>
              <w:start w:w="100" w:type="dxa"/>
              <w:end w:w="100" w:type="dxa"/>
            </w:tcMar>
          </w:tcPr>
          <w:p>
            <w:r>
              <w:rPr>
                <w:rFonts w:ascii="Segoe UI" w:hAnsi="Segoe UI" w:eastAsia="Segoe UI"/>
                <w:b/>
                <w:i w:val="0"/>
                <w:color w:val="0E1C42"/>
                <w:sz w:val="36"/>
              </w:rPr>
              <w:t>25%</w:t>
            </w:r>
          </w:p>
          <w:p>
            <w:r>
              <w:rPr>
                <w:rFonts w:ascii="Segoe UI" w:hAnsi="Segoe UI" w:eastAsia="Segoe UI"/>
                <w:b w:val="0"/>
                <w:i w:val="0"/>
                <w:color w:val="44507A"/>
                <w:sz w:val="17"/>
              </w:rPr>
              <w:t>Quizzes &amp; Quick Checks</w:t>
            </w:r>
          </w:p>
        </w:tc>
        <w:tc>
          <w:tcPr>
            <w:tcW w:type="dxa" w:w="2606"/>
            <w:shd w:val="clear" w:color="auto" w:fill="EEF1F8"/>
            <w:tcMar>
              <w:top w:w="120" w:type="dxa"/>
              <w:bottom w:w="120" w:type="dxa"/>
              <w:start w:w="100" w:type="dxa"/>
              <w:end w:w="100" w:type="dxa"/>
            </w:tcMar>
          </w:tcPr>
          <w:p>
            <w:r>
              <w:rPr>
                <w:rFonts w:ascii="Segoe UI" w:hAnsi="Segoe UI" w:eastAsia="Segoe UI"/>
                <w:b/>
                <w:i w:val="0"/>
                <w:color w:val="0E1C42"/>
                <w:sz w:val="36"/>
              </w:rPr>
              <w:t>15%</w:t>
            </w:r>
          </w:p>
          <w:p>
            <w:r>
              <w:rPr>
                <w:rFonts w:ascii="Segoe UI" w:hAnsi="Segoe UI" w:eastAsia="Segoe UI"/>
                <w:b w:val="0"/>
                <w:i w:val="0"/>
                <w:color w:val="44507A"/>
                <w:sz w:val="17"/>
              </w:rPr>
              <w:t>Live VR Experiences</w:t>
            </w:r>
          </w:p>
        </w:tc>
        <w:tc>
          <w:tcPr>
            <w:tcW w:type="dxa" w:w="2606"/>
            <w:shd w:val="clear" w:color="auto" w:fill="EEF1F8"/>
            <w:tcMar>
              <w:top w:w="120" w:type="dxa"/>
              <w:bottom w:w="120" w:type="dxa"/>
              <w:start w:w="100" w:type="dxa"/>
              <w:end w:w="100" w:type="dxa"/>
            </w:tcMar>
          </w:tcPr>
          <w:p>
            <w:r>
              <w:rPr>
                <w:rFonts w:ascii="Segoe UI" w:hAnsi="Segoe UI" w:eastAsia="Segoe UI"/>
                <w:b/>
                <w:i w:val="0"/>
                <w:color w:val="0E1C42"/>
                <w:sz w:val="36"/>
              </w:rPr>
              <w:t>15%</w:t>
            </w:r>
          </w:p>
          <w:p>
            <w:r>
              <w:rPr>
                <w:rFonts w:ascii="Segoe UI" w:hAnsi="Segoe UI" w:eastAsia="Segoe UI"/>
                <w:b w:val="0"/>
                <w:i w:val="0"/>
                <w:color w:val="44507A"/>
                <w:sz w:val="17"/>
              </w:rPr>
              <w:t>Reflections &amp; Module Completion</w:t>
            </w:r>
          </w:p>
        </w:tc>
      </w:tr>
    </w:tbl>
    <w:p>
      <w:pPr>
        <w:spacing w:before="360" w:after="120"/>
        <w:pBdr>
          <w:bottom w:val="single" w:sz="18" w:space="4" w:color="C7922C"/>
        </w:pBdr>
      </w:pPr>
      <w:r>
        <w:rPr>
          <w:rFonts w:ascii="Segoe UI" w:hAnsi="Segoe UI" w:eastAsia="Segoe UI"/>
          <w:b/>
          <w:i w:val="0"/>
          <w:color w:val="0E1C42"/>
          <w:sz w:val="26"/>
        </w:rPr>
        <w:t>HOW THIS COURSE IS DELIVERED</w:t>
      </w:r>
    </w:p>
    <w:p>
      <w:pPr>
        <w:spacing w:after="160"/>
      </w:pPr>
      <w:r>
        <w:rPr>
          <w:rFonts w:ascii="Segoe UI" w:hAnsi="Segoe UI" w:eastAsia="Segoe UI"/>
          <w:b w:val="0"/>
          <w:i w:val="0"/>
          <w:sz w:val="20"/>
        </w:rPr>
        <w:t>This course is offered in two formats that share the same content, assignments, and expectations: an On-Demand (asynchronous) section you pace yourself, and a Live (synchronous) section that meets on a schedule on Optima's VR campus. Find the one that matches your enrollment.</w:t>
      </w:r>
    </w:p>
    <w:tbl>
      <w:tblPr>
        <w:tblW w:type="auto" w:w="0"/>
        <w:tblLook w:firstColumn="1" w:firstRow="1" w:lastColumn="0" w:lastRow="0" w:noHBand="0" w:noVBand="1" w:val="04A0"/>
      </w:tblPr>
      <w:tblGrid>
        <w:gridCol w:w="10426"/>
      </w:tblGrid>
      <w:tr>
        <w:tc>
          <w:tcPr>
            <w:tcW w:type="dxa" w:w="10426"/>
            <w:shd w:val="clear" w:color="auto" w:fill="F6F8FC"/>
            <w:tcMar>
              <w:top w:w="100" w:type="dxa"/>
              <w:bottom w:w="100" w:type="dxa"/>
              <w:start w:w="180" w:type="dxa"/>
              <w:end w:w="180" w:type="dxa"/>
            </w:tcMar>
          </w:tcPr>
          <w:p>
            <w:r>
              <w:rPr>
                <w:rFonts w:ascii="Segoe UI" w:hAnsi="Segoe UI" w:eastAsia="Segoe UI"/>
                <w:b/>
                <w:i w:val="0"/>
                <w:color w:val="0E1C42"/>
                <w:sz w:val="21"/>
              </w:rPr>
              <w:t>On-Demand (Asynchronous) Learning</w:t>
              <w:br/>
            </w:r>
          </w:p>
          <w:p>
            <w:r>
              <w:rPr>
                <w:rFonts w:ascii="Segoe UI" w:hAnsi="Segoe UI" w:eastAsia="Segoe UI"/>
                <w:b w:val="0"/>
                <w:i w:val="0"/>
                <w:color w:val="2A3656"/>
                <w:sz w:val="19"/>
              </w:rPr>
              <w:t>You move through the course at your own pace within each quarter, guided by due dates that keep you on track. All assignments for a quarter open at its start and close at its end. There is no grade penalty for missing an individual due date, but any assignment not completed by the end of the quarter receives a zero, and assignments submitted in the final 14 days of a quarter receive a 10% deduction. Attendance is measured by assignment completion: a scholar who completes no assignment for ten consecutive school days, without notifying the school in advance, may be dropped from the course. A live facilitator grades your work, gives feedback, and hosts quarterly Live VR Experiences.</w:t>
            </w:r>
          </w:p>
        </w:tc>
      </w:tr>
    </w:tbl>
    <w:p>
      <w:pPr>
        <w:spacing w:after="40"/>
      </w:pPr>
    </w:p>
    <w:tbl>
      <w:tblPr>
        <w:tblW w:type="auto" w:w="0"/>
        <w:tblLook w:firstColumn="1" w:firstRow="1" w:lastColumn="0" w:lastRow="0" w:noHBand="0" w:noVBand="1" w:val="04A0"/>
      </w:tblPr>
      <w:tblGrid>
        <w:gridCol w:w="10426"/>
      </w:tblGrid>
      <w:tr>
        <w:tc>
          <w:tcPr>
            <w:tcW w:type="dxa" w:w="10426"/>
            <w:shd w:val="clear" w:color="auto" w:fill="F6F8FC"/>
            <w:tcMar>
              <w:top w:w="100" w:type="dxa"/>
              <w:bottom w:w="100" w:type="dxa"/>
              <w:start w:w="180" w:type="dxa"/>
              <w:end w:w="180" w:type="dxa"/>
            </w:tcMar>
          </w:tcPr>
          <w:p>
            <w:r>
              <w:rPr>
                <w:rFonts w:ascii="Segoe UI" w:hAnsi="Segoe UI" w:eastAsia="Segoe UI"/>
                <w:b/>
                <w:i w:val="0"/>
                <w:color w:val="0E1C42"/>
                <w:sz w:val="21"/>
              </w:rPr>
              <w:t>Live (Synchronous) Learning</w:t>
              <w:br/>
            </w:r>
          </w:p>
          <w:p>
            <w:r>
              <w:rPr>
                <w:rFonts w:ascii="Segoe UI" w:hAnsi="Segoe UI" w:eastAsia="Segoe UI"/>
                <w:b w:val="0"/>
                <w:i w:val="0"/>
                <w:color w:val="2A3656"/>
                <w:sz w:val="19"/>
              </w:rPr>
              <w:t>You join scheduled class meetings on Optima's VR campus, where your teacher leads instruction in real time and you learn alongside classmates. The readings, assignments, and projects are the same as the On-Demand course; what differs is the pacing, since a Live section moves through the material together on the class schedule. Attendance is measured by presence and participation. If you must miss a class, notify the school in advance; your teacher will let you know how to make up the work.</w:t>
            </w:r>
          </w:p>
        </w:tc>
      </w:tr>
    </w:tbl>
    <w:p>
      <w:pPr>
        <w:spacing w:after="40"/>
      </w:pPr>
    </w:p>
    <w:p>
      <w:pPr>
        <w:spacing w:before="360" w:after="120"/>
        <w:pBdr>
          <w:bottom w:val="single" w:sz="18" w:space="4" w:color="C7922C"/>
        </w:pBdr>
      </w:pPr>
      <w:r>
        <w:rPr>
          <w:rFonts w:ascii="Segoe UI" w:hAnsi="Segoe UI" w:eastAsia="Segoe UI"/>
          <w:b/>
          <w:i w:val="0"/>
          <w:color w:val="0E1C42"/>
          <w:sz w:val="26"/>
        </w:rPr>
        <w:t>APPROPRIATE USE OF AI</w:t>
      </w:r>
    </w:p>
    <w:p>
      <w:pPr>
        <w:spacing w:after="160"/>
      </w:pPr>
      <w:r>
        <w:rPr>
          <w:rFonts w:ascii="Segoe UI" w:hAnsi="Segoe UI" w:eastAsia="Segoe UI"/>
          <w:b w:val="0"/>
          <w:i w:val="0"/>
          <w:sz w:val="20"/>
        </w:rPr>
        <w:t>Optima scholars are preparing for a world shaped by artificial intelligence, and learning to use these tools with good judgment is part of that preparation. You are welcome to use AI tools to support your learning — to explain a concept a different way, check your understanding, or brainstorm — unless a particular assignment says otherwise. What AI may never do is the thinking or the work an assignment asks of you: a reflection, a written response, or a recorded performance must be genuinely your own. When you do use an AI tool on an assignment, say so briefly. Above all, build the underlying musical skill yourself.</w:t>
      </w:r>
    </w:p>
    <w:p>
      <w:pPr>
        <w:spacing w:before="360" w:after="120"/>
        <w:pBdr>
          <w:bottom w:val="single" w:sz="18" w:space="4" w:color="C7922C"/>
        </w:pBdr>
      </w:pPr>
      <w:r>
        <w:rPr>
          <w:rFonts w:ascii="Segoe UI" w:hAnsi="Segoe UI" w:eastAsia="Segoe UI"/>
          <w:b/>
          <w:i w:val="0"/>
          <w:color w:val="0E1C42"/>
          <w:sz w:val="26"/>
        </w:rPr>
        <w:t>LEARNING IN VIRTUAL REALITY</w:t>
      </w:r>
    </w:p>
    <w:p>
      <w:pPr>
        <w:spacing w:after="160"/>
      </w:pPr>
      <w:r>
        <w:rPr>
          <w:rFonts w:ascii="Segoe UI" w:hAnsi="Segoe UI" w:eastAsia="Segoe UI"/>
          <w:b w:val="0"/>
          <w:i w:val="0"/>
          <w:sz w:val="20"/>
        </w:rPr>
        <w:t>Optima is a virtual-reality school. Alongside your Canvas coursework, you will join a Live VR Experience each quarter, where you meet your teacher and classmates for music games, review activities, and live music-making you could not do in an ordinary on-demand lesson. Keep your headset charged and ready. If you ever cannot get into VR for a session, tell your facilitator — there is an alternative way to take part so you do not fall behind.</w:t>
      </w:r>
    </w:p>
    <w:p>
      <w:pPr>
        <w:spacing w:before="360" w:after="120"/>
        <w:pBdr>
          <w:bottom w:val="single" w:sz="18" w:space="4" w:color="C7922C"/>
        </w:pBdr>
      </w:pPr>
      <w:r>
        <w:rPr>
          <w:rFonts w:ascii="Segoe UI" w:hAnsi="Segoe UI" w:eastAsia="Segoe UI"/>
          <w:b/>
          <w:i w:val="0"/>
          <w:color w:val="0E1C42"/>
          <w:sz w:val="26"/>
        </w:rPr>
        <w:t>BEING AN OPTIMA SCHOLAR</w:t>
      </w:r>
    </w:p>
    <w:p>
      <w:pPr>
        <w:spacing w:after="160"/>
      </w:pPr>
      <w:r>
        <w:rPr>
          <w:rFonts w:ascii="Segoe UI" w:hAnsi="Segoe UI" w:eastAsia="Segoe UI"/>
          <w:b w:val="0"/>
          <w:i w:val="0"/>
          <w:sz w:val="20"/>
        </w:rPr>
        <w:t>Optima's mission is an excellent, virtue-centered education, and virtue is at the center of this course as much as any other. Every scholar is expected to practice the seven virtues that shape life at Optima — courage, courtesy, honesty, perseverance, self-government, service, and responsibility. In practice that means: do your own honest work, especially on recordings and reflections; treat everyone you meet in, through, or because of this course with respect; engage actively rather than passively; come to office hours to get help or meet your facilitator; and take responsibility for your own pacing and progress.</w:t>
      </w:r>
    </w:p>
    <w:p>
      <w:pPr>
        <w:spacing w:before="360" w:after="120"/>
        <w:pBdr>
          <w:bottom w:val="single" w:sz="18" w:space="4" w:color="C7922C"/>
        </w:pBdr>
      </w:pPr>
      <w:r>
        <w:rPr>
          <w:rFonts w:ascii="Segoe UI" w:hAnsi="Segoe UI" w:eastAsia="Segoe UI"/>
          <w:b/>
          <w:i w:val="0"/>
          <w:color w:val="0E1C42"/>
          <w:sz w:val="26"/>
        </w:rPr>
        <w:t>WHAT YOU NEED &amp; STAYING CONNECTED</w:t>
      </w:r>
    </w:p>
    <w:p>
      <w:pPr>
        <w:pStyle w:val="ListBullet"/>
        <w:spacing w:after="80"/>
      </w:pPr>
      <w:r>
        <w:rPr>
          <w:rFonts w:ascii="Segoe UI" w:hAnsi="Segoe UI" w:eastAsia="Segoe UI"/>
          <w:b w:val="0"/>
          <w:i w:val="0"/>
          <w:sz w:val="21"/>
        </w:rPr>
        <w:t>A computer with reliable internet and access to Canvas.</w:t>
      </w:r>
    </w:p>
    <w:p>
      <w:pPr>
        <w:pStyle w:val="ListBullet"/>
        <w:spacing w:after="80"/>
      </w:pPr>
      <w:r>
        <w:rPr>
          <w:rFonts w:ascii="Segoe UI" w:hAnsi="Segoe UI" w:eastAsia="Segoe UI"/>
          <w:b w:val="0"/>
          <w:i w:val="0"/>
          <w:sz w:val="21"/>
        </w:rPr>
        <w:t>A VR headset, charged and ready for the quarterly Live VR Experiences.</w:t>
      </w:r>
    </w:p>
    <w:p>
      <w:pPr>
        <w:pStyle w:val="ListBullet"/>
        <w:spacing w:after="80"/>
      </w:pPr>
      <w:r>
        <w:rPr>
          <w:rFonts w:ascii="Segoe UI" w:hAnsi="Segoe UI" w:eastAsia="Segoe UI"/>
          <w:b w:val="0"/>
          <w:i w:val="0"/>
          <w:sz w:val="21"/>
        </w:rPr>
        <w:t>Headphones or speakers (headphones strongly recommended for listening modules) and a microphone for recorded performances (a built-in device mic is fine).</w:t>
      </w:r>
    </w:p>
    <w:p>
      <w:pPr>
        <w:pStyle w:val="ListBullet"/>
        <w:spacing w:after="80"/>
      </w:pPr>
      <w:r>
        <w:rPr>
          <w:rFonts w:ascii="Segoe UI" w:hAnsi="Segoe UI" w:eastAsia="Segoe UI"/>
          <w:b w:val="0"/>
          <w:i w:val="0"/>
          <w:sz w:val="21"/>
        </w:rPr>
        <w:t>Microsoft 365 (Word) with OneDrive, for your Music Journal.</w:t>
      </w:r>
    </w:p>
    <w:p>
      <w:pPr>
        <w:spacing w:after="160"/>
      </w:pPr>
      <w:r>
        <w:rPr>
          <w:rFonts w:ascii="Segoe UI" w:hAnsi="Segoe UI" w:eastAsia="Segoe UI"/>
          <w:b w:val="0"/>
          <w:i w:val="0"/>
          <w:sz w:val="20"/>
        </w:rPr>
        <w:t>Staying connected. Updates about this course are posted on the course's Canvas page; school-wide updates are posted in your Homeroom Canvas course. Check both regularly. Your facilitator holds office hours and is glad to help with the material, meet you, or talk through your plans — come by, or reach out any time by email.</w:t>
      </w:r>
    </w:p>
    <w:p>
      <w:pPr>
        <w:spacing w:after="40"/>
      </w:pPr>
    </w:p>
    <w:p>
      <w:pPr>
        <w:jc w:val="center"/>
      </w:pPr>
      <w:r>
        <w:rPr>
          <w:rFonts w:ascii="Segoe UI" w:hAnsi="Segoe UI" w:eastAsia="Segoe UI"/>
          <w:b w:val="0"/>
          <w:i/>
          <w:color w:val="6B7494"/>
          <w:sz w:val="16"/>
        </w:rPr>
        <w:t>Music Intermediate I · Florida course 5013090 · Full-year Grade 3 course · Optima Academy Online, 2026–2027. Built from the course content (37 modules) and the board-approved 2026–2027 academic calendar. School calendar dates may be adjusted by the school.</w:t>
      </w:r>
    </w:p>
    <w:sectPr w:rsidR="00FC693F" w:rsidRPr="0006063C" w:rsidSect="00034616">
      <w:pgSz w:w="12240" w:h="15840"/>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