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20"/>
        <w:shd w:val="clear" w:color="auto" w:fill="0E1C42"/>
      </w:pPr>
      <w:r>
        <w:rPr>
          <w:rFonts w:ascii="Calibri" w:hAnsi="Calibri"/>
          <w:b/>
          <w:color w:val="55C8E8"/>
          <w:sz w:val="20"/>
          <w:szCs w:val="20"/>
        </w:rPr>
        <w:t xml:space="preserve">OPTIMA ACADEMY ONLINE</w:t>
      </w:r>
    </w:p>
    <w:p>
      <w:pPr>
        <w:spacing w:before="0" w:after="20"/>
        <w:shd w:val="clear" w:color="auto" w:fill="0E1C42"/>
      </w:pPr>
      <w:r>
        <w:rPr>
          <w:rFonts w:ascii="Calibri" w:hAnsi="Calibri"/>
          <w:b/>
          <w:color w:val="FFFFFF"/>
          <w:sz w:val="40"/>
          <w:szCs w:val="40"/>
        </w:rPr>
        <w:t xml:space="preserve">MUSIC INTERMEDIATE III</w:t>
      </w:r>
    </w:p>
    <w:p>
      <w:pPr>
        <w:spacing w:before="0" w:after="260"/>
        <w:shd w:val="clear" w:color="auto" w:fill="0E1C42"/>
      </w:pPr>
      <w:r>
        <w:rPr>
          <w:rFonts w:ascii="Calibri" w:hAnsi="Calibri"/>
          <w:color w:val="9FB2D6"/>
          <w:sz w:val="19"/>
          <w:szCs w:val="19"/>
        </w:rPr>
        <w:t xml:space="preserve">Course Syllabus 2026-2027  -  Florida Course 5013110  -  Grade 5  -  Full Year</w:t>
      </w:r>
    </w:p>
    <w:p>
      <w:pPr>
        <w:spacing w:before="260" w:after="120"/>
        <w:pBdr>
          <w:left w:val="single" w:sz="24" w:space="6" w:color="55C8E8"/>
        </w:pBdr>
        <w:ind w:left="120"/>
      </w:pPr>
      <w:r>
        <w:rPr>
          <w:rFonts w:ascii="Calibri" w:hAnsi="Calibri"/>
          <w:b/>
          <w:color w:val="0E1C42"/>
          <w:sz w:val="24"/>
          <w:szCs w:val="24"/>
        </w:rPr>
        <w:t xml:space="preserve">HOW TO CUSTOMIZE THIS SYLLABUS</w:t>
      </w:r>
    </w:p>
    <w:p>
      <w:pPr>
        <w:spacing w:before="0" w:after="200"/>
        <w:shd w:val="clear" w:color="auto" w:fill="FDF3E3"/>
      </w:pPr>
      <w:r>
        <w:rPr>
          <w:rFonts w:ascii="Calibri" w:hAnsi="Calibri"/>
          <w:sz w:val="21"/>
          <w:szCs w:val="21"/>
        </w:rPr>
        <w:t xml:space="preserve">This file is yours. Edit it directly in Word -- no other software, account, or help from Claude is needed. Find each </w:t>
      </w:r>
      <w:r>
        <w:rPr>
          <w:rFonts w:ascii="Calibri" w:hAnsi="Calibri"/>
          <w:b/>
          <w:color w:val="C7922C"/>
          <w:sz w:val="21"/>
          <w:szCs w:val="21"/>
        </w:rPr>
        <w:t xml:space="preserve">[bracketed placeholder]</w:t>
      </w:r>
      <w:r>
        <w:rPr>
          <w:rFonts w:ascii="Calibri" w:hAnsi="Calibri"/>
          <w:sz w:val="21"/>
          <w:szCs w:val="21"/>
        </w:rPr>
        <w:t xml:space="preserve"> below and replace it with your own information: your name, email, and your own weekly office hours or availability window. When you are done, delete this box, save the file, and upload it to your Canvas course (as a Syllabus page or a linked file). Everything outside the brackets is already final -- please do not change the shared school-wide sections (grading integrity, AI use, VR, and the seven virtues) without checking with Academic Design.</w:t>
      </w:r>
    </w:p>
    <w:tbl>
      <w:tblPr>
        <w:tblW w:w="0" w:type="auto"/>
        <w:tblBorders>
          <w:top w:val="single" w:sz="4" w:color="D0D9E8"/>
          <w:left w:val="single" w:sz="4" w:color="D0D9E8"/>
          <w:bottom w:val="single" w:sz="4" w:color="D0D9E8"/>
          <w:right w:val="single" w:sz="4" w:color="D0D9E8"/>
          <w:insideH w:val="single" w:sz="4" w:color="D0D9E8"/>
          <w:insideV w:val="single" w:sz="4" w:color="D0D9E8"/>
        </w:tblBorders>
      </w:tblPr>
      <w:tblGrid>
        <w:gridCol w:w="3200"/>
        <w:gridCol w:w="6300"/>
      </w:tblGrid>
      <w:tr>
        <w:tc>
          <w:tcPr>
            <w:tcW w:w="32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FACILITATOR</w:t>
            </w:r>
          </w:p>
        </w:tc>
        <w:tc>
          <w:tcPr>
            <w:tcW w:w="63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[Facilitator Name]</w:t>
            </w:r>
          </w:p>
        </w:tc>
      </w:tr>
      <w:tr>
        <w:tc>
          <w:tcPr>
            <w:tcW w:w="32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EMAIL</w:t>
            </w:r>
          </w:p>
        </w:tc>
        <w:tc>
          <w:tcPr>
            <w:tcW w:w="63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[facilitator email]</w:t>
            </w:r>
          </w:p>
        </w:tc>
      </w:tr>
      <w:tr>
        <w:tc>
          <w:tcPr>
            <w:tcW w:w="32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OFFICE HOURS / AVAILABILITY</w:t>
            </w:r>
          </w:p>
        </w:tc>
        <w:tc>
          <w:tcPr>
            <w:tcW w:w="63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[Enter your weekly office hours or availability window here]</w:t>
            </w:r>
          </w:p>
        </w:tc>
      </w:tr>
      <w:tr>
        <w:tc>
          <w:tcPr>
            <w:tcW w:w="32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FLORIDA COURSE</w:t>
            </w:r>
          </w:p>
        </w:tc>
        <w:tc>
          <w:tcPr>
            <w:tcW w:w="63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5013110  -  Full-year course</w:t>
            </w:r>
          </w:p>
        </w:tc>
      </w:tr>
      <w:tr>
        <w:tc>
          <w:tcPr>
            <w:tcW w:w="32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GRADE LEVEL</w:t>
            </w:r>
          </w:p>
        </w:tc>
        <w:tc>
          <w:tcPr>
            <w:tcW w:w="63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Grade 5</w:t>
            </w:r>
          </w:p>
        </w:tc>
      </w:tr>
      <w:tr>
        <w:tc>
          <w:tcPr>
            <w:tcW w:w="32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FORMAT</w:t>
            </w:r>
          </w:p>
        </w:tc>
        <w:tc>
          <w:tcPr>
            <w:tcW w:w="63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On-Demand (also offered live on the VR campus)</w:t>
            </w:r>
          </w:p>
        </w:tc>
      </w:tr>
    </w:tbl>
    <w:p>
      <w:pPr>
        <w:spacing w:before="0" w:after="160"/>
      </w:pPr>
    </w:p>
    <w:p>
      <w:pPr>
        <w:spacing w:before="0" w:after="200"/>
        <w:shd w:val="clear" w:color="auto" w:fill="FDF3E3"/>
      </w:pPr>
      <w:r>
        <w:rPr>
          <w:rFonts w:ascii="Calibri" w:hAnsi="Calibri"/>
          <w:b/>
          <w:sz w:val="21"/>
          <w:szCs w:val="21"/>
        </w:rPr>
        <w:t xml:space="preserve">About this syllabus. </w:t>
      </w:r>
      <w:r>
        <w:rPr>
          <w:rFonts w:ascii="Calibri" w:hAnsi="Calibri"/>
          <w:sz w:val="21"/>
          <w:szCs w:val="21"/>
        </w:rPr>
        <w:t xml:space="preserve">This is the plan for the course as designed. On-Demand and live-school sections share the same content and expectations; exact pacing, scheduled dates, and a few activities may vary from section to section and term to term. Your facilitator will confirm the specifics for your section.</w:t>
      </w:r>
    </w:p>
    <w:p>
      <w:pPr>
        <w:spacing w:before="260" w:after="120"/>
        <w:pBdr>
          <w:left w:val="single" w:sz="24" w:space="6" w:color="55C8E8"/>
        </w:pBdr>
        <w:ind w:left="120"/>
      </w:pPr>
      <w:r>
        <w:rPr>
          <w:rFonts w:ascii="Calibri" w:hAnsi="Calibri"/>
          <w:b/>
          <w:color w:val="0E1C42"/>
          <w:sz w:val="24"/>
          <w:szCs w:val="24"/>
        </w:rPr>
        <w:t xml:space="preserve">COURSE OVERVIEW</w:t>
      </w:r>
    </w:p>
    <w:p>
      <w:pPr>
        <w:spacing w:before="0" w:after="120"/>
      </w:pPr>
      <w:r>
        <w:rPr>
          <w:rFonts w:ascii="Calibri" w:hAnsi="Calibri"/>
          <w:sz w:val="21"/>
          <w:szCs w:val="21"/>
        </w:rPr>
        <w:t xml:space="preserve">Music Intermediate III is the culminating year of Optima's Grade 5 music sequence, building on the skills scholars developed in Music Intermediate I and II. Across four quarters and 37 weekly modules, scholars deepen their mastery of music literacy, music history, orchestral instrument families, ear training, and performance. Quarter 1 reviews the five parameters of music (rhythm, melody, harmony, tone, and expressive qualities); Quarter 2 builds music literacy through great composers -- Mozart, Beethoven, Louis Armstrong, and Dave Brubeck -- alongside pop and global styles; Quarter 3 deepens rhythm fluency, reading, and conducting while introducing the string family; Quarter 4 completes the woodwind, brass, and percussion families before scholars produce a 9-sub-page Final Music Review Project that reviews the whole year. Each week pairs a short interactive lesson with a Quick Check, a performance or written assignment, and a brief reflection scholars add to their own Music Journal.</w:t>
      </w:r>
    </w:p>
    <w:p>
      <w:pPr>
        <w:spacing w:before="0" w:after="120"/>
      </w:pPr>
      <w:r>
        <w:rPr>
          <w:rFonts w:ascii="Calibri" w:hAnsi="Calibri"/>
          <w:b/>
          <w:color w:val="C7922C"/>
          <w:sz w:val="21"/>
          <w:szCs w:val="21"/>
        </w:rPr>
        <w:t xml:space="preserve">What scholars will learn to do:</w:t>
      </w:r>
    </w:p>
    <w:p>
      <w:pPr>
        <w:spacing w:before="0" w:after="90"/>
        <w:ind w:left="360"/>
      </w:pPr>
      <w:r>
        <w:rPr>
          <w:rFonts w:ascii="Calibri" w:hAnsi="Calibri"/>
          <w:color w:val="0E1C42"/>
          <w:sz w:val="21"/>
          <w:szCs w:val="21"/>
        </w:rPr>
        <w:t xml:space="preserve">• </w:t>
      </w:r>
      <w:r>
        <w:rPr>
          <w:rFonts w:ascii="Calibri" w:hAnsi="Calibri"/>
          <w:sz w:val="21"/>
          <w:szCs w:val="21"/>
        </w:rPr>
        <w:t xml:space="preserve">Describe music using precise Grade 5 vocabulary -- its parameters, timbre, style, and genre.</w:t>
      </w:r>
    </w:p>
    <w:p>
      <w:pPr>
        <w:spacing w:before="0" w:after="90"/>
        <w:ind w:left="360"/>
      </w:pPr>
      <w:r>
        <w:rPr>
          <w:rFonts w:ascii="Calibri" w:hAnsi="Calibri"/>
          <w:color w:val="0E1C42"/>
          <w:sz w:val="21"/>
          <w:szCs w:val="21"/>
        </w:rPr>
        <w:t xml:space="preserve">• </w:t>
      </w:r>
      <w:r>
        <w:rPr>
          <w:rFonts w:ascii="Calibri" w:hAnsi="Calibri"/>
          <w:sz w:val="21"/>
          <w:szCs w:val="21"/>
        </w:rPr>
        <w:t xml:space="preserve">Explain how expressive elements such as dynamics, tempo, articulation, and phrasing shape a piece's character and mood.</w:t>
      </w:r>
    </w:p>
    <w:p>
      <w:pPr>
        <w:spacing w:before="0" w:after="90"/>
        <w:ind w:left="360"/>
      </w:pPr>
      <w:r>
        <w:rPr>
          <w:rFonts w:ascii="Calibri" w:hAnsi="Calibri"/>
          <w:color w:val="0E1C42"/>
          <w:sz w:val="21"/>
          <w:szCs w:val="21"/>
        </w:rPr>
        <w:t xml:space="preserve">• </w:t>
      </w:r>
      <w:r>
        <w:rPr>
          <w:rFonts w:ascii="Calibri" w:hAnsi="Calibri"/>
          <w:sz w:val="21"/>
          <w:szCs w:val="21"/>
        </w:rPr>
        <w:t xml:space="preserve">Describe the work and historical contributions of significant composers, including Mozart, Beethoven, Louis Armstrong, and Dave Brubeck.</w:t>
      </w:r>
    </w:p>
    <w:p>
      <w:pPr>
        <w:spacing w:before="0" w:after="90"/>
        <w:ind w:left="360"/>
      </w:pPr>
      <w:r>
        <w:rPr>
          <w:rFonts w:ascii="Calibri" w:hAnsi="Calibri"/>
          <w:color w:val="0E1C42"/>
          <w:sz w:val="21"/>
          <w:szCs w:val="21"/>
        </w:rPr>
        <w:t xml:space="preserve">• </w:t>
      </w:r>
      <w:r>
        <w:rPr>
          <w:rFonts w:ascii="Calibri" w:hAnsi="Calibri"/>
          <w:sz w:val="21"/>
          <w:szCs w:val="21"/>
        </w:rPr>
        <w:t xml:space="preserve">Place music in its cultural and historical context, across jazz, pop, K-Pop, and the Classical and Romantic eras.</w:t>
      </w:r>
    </w:p>
    <w:p>
      <w:pPr>
        <w:spacing w:before="0" w:after="90"/>
        <w:ind w:left="360"/>
      </w:pPr>
      <w:r>
        <w:rPr>
          <w:rFonts w:ascii="Calibri" w:hAnsi="Calibri"/>
          <w:color w:val="0E1C42"/>
          <w:sz w:val="21"/>
          <w:szCs w:val="21"/>
        </w:rPr>
        <w:t xml:space="preserve">• </w:t>
      </w:r>
      <w:r>
        <w:rPr>
          <w:rFonts w:ascii="Calibri" w:hAnsi="Calibri"/>
          <w:sz w:val="21"/>
          <w:szCs w:val="21"/>
        </w:rPr>
        <w:t xml:space="preserve">Identify musical form, phrase structure, and organizational elements in music they perform and hear.</w:t>
      </w:r>
    </w:p>
    <w:p>
      <w:pPr>
        <w:spacing w:before="0" w:after="90"/>
        <w:ind w:left="360"/>
      </w:pPr>
      <w:r>
        <w:rPr>
          <w:rFonts w:ascii="Calibri" w:hAnsi="Calibri"/>
          <w:color w:val="0E1C42"/>
          <w:sz w:val="21"/>
          <w:szCs w:val="21"/>
        </w:rPr>
        <w:t xml:space="preserve">• </w:t>
      </w:r>
      <w:r>
        <w:rPr>
          <w:rFonts w:ascii="Calibri" w:hAnsi="Calibri"/>
          <w:sz w:val="21"/>
          <w:szCs w:val="21"/>
        </w:rPr>
        <w:t xml:space="preserve">Read and perform rhythmic patterns with increasing fluency, including whole, half, quarter, and eighth notes.</w:t>
      </w:r>
    </w:p>
    <w:p>
      <w:pPr>
        <w:spacing w:before="0" w:after="90"/>
        <w:ind w:left="360"/>
      </w:pPr>
      <w:r>
        <w:rPr>
          <w:rFonts w:ascii="Calibri" w:hAnsi="Calibri"/>
          <w:color w:val="0E1C42"/>
          <w:sz w:val="21"/>
          <w:szCs w:val="21"/>
        </w:rPr>
        <w:t xml:space="preserve">• </w:t>
      </w:r>
      <w:r>
        <w:rPr>
          <w:rFonts w:ascii="Calibri" w:hAnsi="Calibri"/>
          <w:sz w:val="21"/>
          <w:szCs w:val="21"/>
        </w:rPr>
        <w:t xml:space="preserve">Read and perform melodic patterns on the treble clef staff, including accidentals and major scale passages.</w:t>
      </w:r>
    </w:p>
    <w:p>
      <w:pPr>
        <w:spacing w:before="0" w:after="90"/>
        <w:ind w:left="360"/>
      </w:pPr>
      <w:r>
        <w:rPr>
          <w:rFonts w:ascii="Calibri" w:hAnsi="Calibri"/>
          <w:color w:val="0E1C42"/>
          <w:sz w:val="21"/>
          <w:szCs w:val="21"/>
        </w:rPr>
        <w:t xml:space="preserve">• </w:t>
      </w:r>
      <w:r>
        <w:rPr>
          <w:rFonts w:ascii="Calibri" w:hAnsi="Calibri"/>
          <w:sz w:val="21"/>
          <w:szCs w:val="21"/>
        </w:rPr>
        <w:t xml:space="preserve">Sing or play with correct pitch, rhythm, and expression, and connect course skills to real-world musical and professional contexts.</w:t>
      </w:r>
    </w:p>
    <w:p>
      <w:pPr>
        <w:spacing w:before="260" w:after="120"/>
        <w:pBdr>
          <w:left w:val="single" w:sz="24" w:space="6" w:color="55C8E8"/>
        </w:pBdr>
        <w:ind w:left="120"/>
      </w:pPr>
      <w:r>
        <w:rPr>
          <w:rFonts w:ascii="Calibri" w:hAnsi="Calibri"/>
          <w:b/>
          <w:color w:val="0E1C42"/>
          <w:sz w:val="24"/>
          <w:szCs w:val="24"/>
        </w:rPr>
        <w:t xml:space="preserve">BIG PROJECTS AND MILESTONES</w:t>
      </w:r>
    </w:p>
    <w:p>
      <w:pPr>
        <w:spacing w:before="0" w:after="120"/>
      </w:pPr>
      <w:r>
        <w:rPr>
          <w:rFonts w:ascii="Calibri" w:hAnsi="Calibri"/>
          <w:sz w:val="21"/>
          <w:szCs w:val="21"/>
        </w:rPr>
        <w:t xml:space="preserve">The course builds toward a set of finished, real-world artifacts across the year. Target dates follow a sample full-year pacing; On-Demand scholars pace to their own enrolled term.</w:t>
      </w:r>
    </w:p>
    <w:tbl>
      <w:tblPr>
        <w:tblW w:w="0" w:type="auto"/>
        <w:tblBorders>
          <w:top w:val="single" w:sz="4" w:color="D0D9E8"/>
          <w:left w:val="single" w:sz="4" w:color="D0D9E8"/>
          <w:bottom w:val="single" w:sz="4" w:color="D0D9E8"/>
          <w:right w:val="single" w:sz="4" w:color="D0D9E8"/>
          <w:insideH w:val="single" w:sz="4" w:color="D0D9E8"/>
          <w:insideV w:val="single" w:sz="4" w:color="D0D9E8"/>
        </w:tblBorders>
      </w:tblPr>
      <w:tblGrid>
        <w:gridCol w:w="2600"/>
        <w:gridCol w:w="1700"/>
        <w:gridCol w:w="1600"/>
        <w:gridCol w:w="3600"/>
      </w:tblGrid>
      <w:tr>
        <w:tc>
          <w:tcPr>
            <w:tcW w:w="2600" w:type="dxa"/>
            <w:shd w:val="clear" w:color="auto" w:fill="0E1C42"/>
            <w:tcMar>
              <w:top w:w="60" w:type="dxa"/>
              <w:bottom w:w="60" w:type="dxa"/>
              <w:left w:w="100" w:type="dxa"/>
              <w:right w:w="100" w:type="dxa"/>
            </w:tcMar>
          </w:tcPr>
          <w:p>
            <w:pPr>
              <w:spacing w:before="0" w:after="0"/>
            </w:pPr>
            <w:r>
              <w:rPr>
                <w:rFonts w:ascii="Calibri" w:hAnsi="Calibri"/>
                <w:b/>
                <w:color w:val="FFFFFF"/>
                <w:sz w:val="20"/>
                <w:szCs w:val="20"/>
              </w:rPr>
              <w:t xml:space="preserve">Project / Milestone</w:t>
            </w:r>
          </w:p>
        </w:tc>
        <w:tc>
          <w:tcPr>
            <w:tcW w:w="1700" w:type="dxa"/>
            <w:shd w:val="clear" w:color="auto" w:fill="0E1C42"/>
            <w:tcMar>
              <w:top w:w="60" w:type="dxa"/>
              <w:bottom w:w="60" w:type="dxa"/>
              <w:left w:w="100" w:type="dxa"/>
              <w:right w:w="100" w:type="dxa"/>
            </w:tcMar>
          </w:tcPr>
          <w:p>
            <w:pPr>
              <w:spacing w:before="0" w:after="0"/>
            </w:pPr>
            <w:r>
              <w:rPr>
                <w:rFonts w:ascii="Calibri" w:hAnsi="Calibri"/>
                <w:b/>
                <w:color w:val="FFFFFF"/>
                <w:sz w:val="20"/>
                <w:szCs w:val="20"/>
              </w:rPr>
              <w:t xml:space="preserve">Course Place</w:t>
            </w:r>
          </w:p>
        </w:tc>
        <w:tc>
          <w:tcPr>
            <w:tcW w:w="1600" w:type="dxa"/>
            <w:shd w:val="clear" w:color="auto" w:fill="0E1C42"/>
            <w:tcMar>
              <w:top w:w="60" w:type="dxa"/>
              <w:bottom w:w="60" w:type="dxa"/>
              <w:left w:w="100" w:type="dxa"/>
              <w:right w:w="100" w:type="dxa"/>
            </w:tcMar>
          </w:tcPr>
          <w:p>
            <w:pPr>
              <w:spacing w:before="0" w:after="0"/>
            </w:pPr>
            <w:r>
              <w:rPr>
                <w:rFonts w:ascii="Calibri" w:hAnsi="Calibri"/>
                <w:b/>
                <w:color w:val="FFFFFF"/>
                <w:sz w:val="20"/>
                <w:szCs w:val="20"/>
              </w:rPr>
              <w:t xml:space="preserve">Sample Target</w:t>
            </w:r>
          </w:p>
        </w:tc>
        <w:tc>
          <w:tcPr>
            <w:tcW w:w="3600" w:type="dxa"/>
            <w:shd w:val="clear" w:color="auto" w:fill="0E1C42"/>
            <w:tcMar>
              <w:top w:w="60" w:type="dxa"/>
              <w:bottom w:w="60" w:type="dxa"/>
              <w:left w:w="100" w:type="dxa"/>
              <w:right w:w="100" w:type="dxa"/>
            </w:tcMar>
          </w:tcPr>
          <w:p>
            <w:pPr>
              <w:spacing w:before="0" w:after="0"/>
            </w:pPr>
            <w:r>
              <w:rPr>
                <w:rFonts w:ascii="Calibri" w:hAnsi="Calibri"/>
                <w:b/>
                <w:color w:val="FFFFFF"/>
                <w:sz w:val="20"/>
                <w:szCs w:val="20"/>
              </w:rPr>
              <w:t xml:space="preserve">What You Turn In</w:t>
            </w:r>
          </w:p>
        </w:tc>
      </w:tr>
      <w:tr>
        <w:tc>
          <w:tcPr>
            <w:tcW w:w="26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Quarter 1 Quiz &amp; Reflection</w:t>
            </w:r>
          </w:p>
        </w:tc>
        <w:tc>
          <w:tcPr>
            <w:tcW w:w="17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Module 9 - end of Q1</w:t>
            </w:r>
          </w:p>
        </w:tc>
        <w:tc>
          <w:tcPr>
            <w:tcW w:w="16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by Oct 9 (Q1 ends)</w:t>
            </w:r>
          </w:p>
        </w:tc>
        <w:tc>
          <w:tcPr>
            <w:tcW w:w="36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An 8-question review of the five parameters, plus a self-assessment of Q1 growth.</w:t>
            </w:r>
          </w:p>
        </w:tc>
      </w:tr>
      <w:tr>
        <w:tc>
          <w:tcPr>
            <w:tcW w:w="26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Pop Artist Essay</w:t>
            </w:r>
          </w:p>
        </w:tc>
        <w:tc>
          <w:tcPr>
            <w:tcW w:w="17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Module 17 - Quarter 2</w:t>
            </w:r>
          </w:p>
        </w:tc>
        <w:tc>
          <w:tcPr>
            <w:tcW w:w="16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by Dec 18 (Q2 ends)</w:t>
            </w:r>
          </w:p>
        </w:tc>
        <w:tc>
          <w:tcPr>
            <w:tcW w:w="36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A minimum one-page essay connecting a pop artist's music to verse-chorus form and the five parameters.</w:t>
            </w:r>
          </w:p>
        </w:tc>
      </w:tr>
      <w:tr>
        <w:tc>
          <w:tcPr>
            <w:tcW w:w="26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Semester 1 Self-Assessment</w:t>
            </w:r>
          </w:p>
        </w:tc>
        <w:tc>
          <w:tcPr>
            <w:tcW w:w="17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Module 18 - end of Q2</w:t>
            </w:r>
          </w:p>
        </w:tc>
        <w:tc>
          <w:tcPr>
            <w:tcW w:w="16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by Dec 18 (Q2 ends)</w:t>
            </w:r>
          </w:p>
        </w:tc>
        <w:tc>
          <w:tcPr>
            <w:tcW w:w="36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A three-part holiday performance recording, plus a confidence self-check across all five parameters.</w:t>
            </w:r>
          </w:p>
        </w:tc>
      </w:tr>
      <w:tr>
        <w:tc>
          <w:tcPr>
            <w:tcW w:w="26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Orchestra Strings &amp; Reading Challenge</w:t>
            </w:r>
          </w:p>
        </w:tc>
        <w:tc>
          <w:tcPr>
            <w:tcW w:w="17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Module 26 - Quarter 3</w:t>
            </w:r>
          </w:p>
        </w:tc>
        <w:tc>
          <w:tcPr>
            <w:tcW w:w="16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by Mar 5 (Q3 ends)</w:t>
            </w:r>
          </w:p>
        </w:tc>
        <w:tc>
          <w:tcPr>
            <w:tcW w:w="36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An advanced treble-clef reading challenge, plus fact recordings on violin, viola, cello, and double bass.</w:t>
            </w:r>
          </w:p>
        </w:tc>
      </w:tr>
      <w:tr>
        <w:tc>
          <w:tcPr>
            <w:tcW w:w="26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Final Music Review Project (course final)</w:t>
            </w:r>
          </w:p>
        </w:tc>
        <w:tc>
          <w:tcPr>
            <w:tcW w:w="17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Module 37 - Quarter 4</w:t>
            </w:r>
          </w:p>
        </w:tc>
        <w:tc>
          <w:tcPr>
            <w:tcW w:w="16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by May 28 (Q4 ends)</w:t>
            </w:r>
          </w:p>
        </w:tc>
        <w:tc>
          <w:tcPr>
            <w:tcW w:w="36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A 9-sub-page cumulative project reviewing strings, woodwinds, brass, percussion, notation, rhythm, treble clef, and music history.</w:t>
            </w:r>
          </w:p>
        </w:tc>
      </w:tr>
    </w:tbl>
    <w:p>
      <w:pPr>
        <w:spacing w:before="0" w:after="160"/>
      </w:pPr>
    </w:p>
    <w:p>
      <w:pPr>
        <w:spacing w:before="260" w:after="120"/>
        <w:pBdr>
          <w:left w:val="single" w:sz="24" w:space="6" w:color="55C8E8"/>
        </w:pBdr>
        <w:ind w:left="120"/>
      </w:pPr>
      <w:r>
        <w:rPr>
          <w:rFonts w:ascii="Calibri" w:hAnsi="Calibri"/>
          <w:b/>
          <w:color w:val="0E1C42"/>
          <w:sz w:val="24"/>
          <w:szCs w:val="24"/>
        </w:rPr>
        <w:t xml:space="preserve">IMPORTANT DATES -- 2026-2027</w:t>
      </w:r>
    </w:p>
    <w:tbl>
      <w:tblPr>
        <w:tblW w:w="0" w:type="auto"/>
        <w:tblBorders>
          <w:top w:val="single" w:sz="4" w:color="D0D9E8"/>
          <w:left w:val="single" w:sz="4" w:color="D0D9E8"/>
          <w:bottom w:val="single" w:sz="4" w:color="D0D9E8"/>
          <w:right w:val="single" w:sz="4" w:color="D0D9E8"/>
          <w:insideH w:val="single" w:sz="4" w:color="D0D9E8"/>
          <w:insideV w:val="single" w:sz="4" w:color="D0D9E8"/>
        </w:tblBorders>
      </w:tblPr>
      <w:tblGrid>
        <w:gridCol w:w="3000"/>
        <w:gridCol w:w="6500"/>
      </w:tblGrid>
      <w:tr>
        <w:tc>
          <w:tcPr>
            <w:tcW w:w="3000" w:type="dxa"/>
            <w:shd w:val="clear" w:color="auto" w:fill="0E1C42"/>
            <w:tcMar>
              <w:top w:w="60" w:type="dxa"/>
              <w:bottom w:w="60" w:type="dxa"/>
              <w:left w:w="100" w:type="dxa"/>
              <w:right w:w="100" w:type="dxa"/>
            </w:tcMar>
          </w:tcPr>
          <w:p>
            <w:pPr>
              <w:spacing w:before="0" w:after="0"/>
            </w:pPr>
            <w:r>
              <w:rPr>
                <w:rFonts w:ascii="Calibri" w:hAnsi="Calibri"/>
                <w:b/>
                <w:color w:val="FFFFFF"/>
                <w:sz w:val="20"/>
                <w:szCs w:val="20"/>
              </w:rPr>
              <w:t xml:space="preserve">Date</w:t>
            </w:r>
          </w:p>
        </w:tc>
        <w:tc>
          <w:tcPr>
            <w:tcW w:w="6500" w:type="dxa"/>
            <w:shd w:val="clear" w:color="auto" w:fill="0E1C42"/>
            <w:tcMar>
              <w:top w:w="60" w:type="dxa"/>
              <w:bottom w:w="60" w:type="dxa"/>
              <w:left w:w="100" w:type="dxa"/>
              <w:right w:w="100" w:type="dxa"/>
            </w:tcMar>
          </w:tcPr>
          <w:p>
            <w:pPr>
              <w:spacing w:before="0" w:after="0"/>
            </w:pPr>
            <w:r>
              <w:rPr>
                <w:rFonts w:ascii="Calibri" w:hAnsi="Calibri"/>
                <w:b/>
                <w:color w:val="FFFFFF"/>
                <w:sz w:val="20"/>
                <w:szCs w:val="20"/>
              </w:rPr>
              <w:t xml:space="preserve">What</w:t>
            </w:r>
          </w:p>
        </w:tc>
      </w:tr>
      <w:tr>
        <w:tc>
          <w:tcPr>
            <w:tcW w:w="30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Aug 12, 2026</w:t>
            </w:r>
          </w:p>
        </w:tc>
        <w:tc>
          <w:tcPr>
            <w:tcW w:w="65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First day of school</w:t>
            </w:r>
          </w:p>
        </w:tc>
      </w:tr>
      <w:tr>
        <w:tc>
          <w:tcPr>
            <w:tcW w:w="30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Sep 7</w:t>
            </w:r>
          </w:p>
        </w:tc>
        <w:tc>
          <w:tcPr>
            <w:tcW w:w="65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Holiday (Labor Day)</w:t>
            </w:r>
          </w:p>
        </w:tc>
      </w:tr>
      <w:tr>
        <w:tc>
          <w:tcPr>
            <w:tcW w:w="30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Oct 9</w:t>
            </w:r>
          </w:p>
        </w:tc>
        <w:tc>
          <w:tcPr>
            <w:tcW w:w="65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Quarter 1 ends</w:t>
            </w:r>
          </w:p>
        </w:tc>
      </w:tr>
      <w:tr>
        <w:tc>
          <w:tcPr>
            <w:tcW w:w="30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Oct 12</w:t>
            </w:r>
          </w:p>
        </w:tc>
        <w:tc>
          <w:tcPr>
            <w:tcW w:w="65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Holiday (Columbus Day)</w:t>
            </w:r>
          </w:p>
        </w:tc>
      </w:tr>
      <w:tr>
        <w:tc>
          <w:tcPr>
            <w:tcW w:w="30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Nov 11</w:t>
            </w:r>
          </w:p>
        </w:tc>
        <w:tc>
          <w:tcPr>
            <w:tcW w:w="65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Holiday (Veterans' Day)</w:t>
            </w:r>
          </w:p>
        </w:tc>
      </w:tr>
      <w:tr>
        <w:tc>
          <w:tcPr>
            <w:tcW w:w="30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Nov 23-27</w:t>
            </w:r>
          </w:p>
        </w:tc>
        <w:tc>
          <w:tcPr>
            <w:tcW w:w="65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Thanksgiving break</w:t>
            </w:r>
          </w:p>
        </w:tc>
      </w:tr>
      <w:tr>
        <w:tc>
          <w:tcPr>
            <w:tcW w:w="30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Dec 18</w:t>
            </w:r>
          </w:p>
        </w:tc>
        <w:tc>
          <w:tcPr>
            <w:tcW w:w="65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Quarter 2 ends - fall semester ends</w:t>
            </w:r>
          </w:p>
        </w:tc>
      </w:tr>
      <w:tr>
        <w:tc>
          <w:tcPr>
            <w:tcW w:w="30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Dec 21-Jan 1</w:t>
            </w:r>
          </w:p>
        </w:tc>
        <w:tc>
          <w:tcPr>
            <w:tcW w:w="65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Winter break</w:t>
            </w:r>
          </w:p>
        </w:tc>
      </w:tr>
      <w:tr>
        <w:tc>
          <w:tcPr>
            <w:tcW w:w="30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Jan 5, 2027</w:t>
            </w:r>
          </w:p>
        </w:tc>
        <w:tc>
          <w:tcPr>
            <w:tcW w:w="65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Classes resume</w:t>
            </w:r>
          </w:p>
        </w:tc>
      </w:tr>
      <w:tr>
        <w:tc>
          <w:tcPr>
            <w:tcW w:w="30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Jan 18</w:t>
            </w:r>
          </w:p>
        </w:tc>
        <w:tc>
          <w:tcPr>
            <w:tcW w:w="65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Holiday (MLK Day)</w:t>
            </w:r>
          </w:p>
        </w:tc>
      </w:tr>
      <w:tr>
        <w:tc>
          <w:tcPr>
            <w:tcW w:w="30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Feb 15</w:t>
            </w:r>
          </w:p>
        </w:tc>
        <w:tc>
          <w:tcPr>
            <w:tcW w:w="65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Holiday (Presidents' Day)</w:t>
            </w:r>
          </w:p>
        </w:tc>
      </w:tr>
      <w:tr>
        <w:tc>
          <w:tcPr>
            <w:tcW w:w="30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Mar 5</w:t>
            </w:r>
          </w:p>
        </w:tc>
        <w:tc>
          <w:tcPr>
            <w:tcW w:w="65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Quarter 3 ends</w:t>
            </w:r>
          </w:p>
        </w:tc>
      </w:tr>
      <w:tr>
        <w:tc>
          <w:tcPr>
            <w:tcW w:w="30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Mar 26-Apr 5</w:t>
            </w:r>
          </w:p>
        </w:tc>
        <w:tc>
          <w:tcPr>
            <w:tcW w:w="65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Spring break</w:t>
            </w:r>
          </w:p>
        </w:tc>
      </w:tr>
      <w:tr>
        <w:tc>
          <w:tcPr>
            <w:tcW w:w="30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Apr 6</w:t>
            </w:r>
          </w:p>
        </w:tc>
        <w:tc>
          <w:tcPr>
            <w:tcW w:w="65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Classes resume</w:t>
            </w:r>
          </w:p>
        </w:tc>
      </w:tr>
      <w:tr>
        <w:tc>
          <w:tcPr>
            <w:tcW w:w="30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May 28, 2027</w:t>
            </w:r>
          </w:p>
        </w:tc>
        <w:tc>
          <w:tcPr>
            <w:tcW w:w="65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Quarter 4 ends - last day of school</w:t>
            </w:r>
          </w:p>
        </w:tc>
      </w:tr>
      <w:tr>
        <w:tc>
          <w:tcPr>
            <w:tcW w:w="30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May 31</w:t>
            </w:r>
          </w:p>
        </w:tc>
        <w:tc>
          <w:tcPr>
            <w:tcW w:w="65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Holiday (Memorial Day)</w:t>
            </w:r>
          </w:p>
        </w:tc>
      </w:tr>
    </w:tbl>
    <w:p>
      <w:pPr>
        <w:spacing w:before="0" w:after="160"/>
      </w:pPr>
    </w:p>
    <w:p>
      <w:pPr>
        <w:spacing w:before="260" w:after="120"/>
        <w:pBdr>
          <w:left w:val="single" w:sz="24" w:space="6" w:color="55C8E8"/>
        </w:pBdr>
        <w:ind w:left="120"/>
      </w:pPr>
      <w:r>
        <w:rPr>
          <w:rFonts w:ascii="Calibri" w:hAnsi="Calibri"/>
          <w:b/>
          <w:color w:val="0E1C42"/>
          <w:sz w:val="24"/>
          <w:szCs w:val="24"/>
        </w:rPr>
        <w:t xml:space="preserve">ASSESSMENT AND GRADING</w:t>
      </w:r>
    </w:p>
    <w:p>
      <w:pPr>
        <w:spacing w:before="0" w:after="120"/>
      </w:pPr>
      <w:r>
        <w:rPr>
          <w:rFonts w:ascii="Calibri" w:hAnsi="Calibri"/>
          <w:sz w:val="21"/>
          <w:szCs w:val="21"/>
        </w:rPr>
        <w:t xml:space="preserve">Grading weights below reflect Semester 1 (Modules 0-18) as built. Semester 2 will follow the same tiered approach once developed.</w:t>
      </w:r>
    </w:p>
    <w:tbl>
      <w:tblPr>
        <w:tblW w:w="0" w:type="auto"/>
        <w:tblBorders>
          <w:top w:val="single" w:sz="4" w:color="D0D9E8"/>
          <w:left w:val="single" w:sz="4" w:color="D0D9E8"/>
          <w:bottom w:val="single" w:sz="4" w:color="D0D9E8"/>
          <w:right w:val="single" w:sz="4" w:color="D0D9E8"/>
          <w:insideH w:val="single" w:sz="4" w:color="D0D9E8"/>
          <w:insideV w:val="single" w:sz="4" w:color="D0D9E8"/>
        </w:tblBorders>
      </w:tblPr>
      <w:tblGrid>
        <w:gridCol w:w="6500"/>
        <w:gridCol w:w="3000"/>
      </w:tblGrid>
      <w:tr>
        <w:tc>
          <w:tcPr>
            <w:tcW w:w="6500" w:type="dxa"/>
            <w:shd w:val="clear" w:color="auto" w:fill="0E1C42"/>
            <w:tcMar>
              <w:top w:w="60" w:type="dxa"/>
              <w:bottom w:w="60" w:type="dxa"/>
              <w:left w:w="100" w:type="dxa"/>
              <w:right w:w="100" w:type="dxa"/>
            </w:tcMar>
          </w:tcPr>
          <w:p>
            <w:pPr>
              <w:spacing w:before="0" w:after="0"/>
            </w:pPr>
            <w:r>
              <w:rPr>
                <w:rFonts w:ascii="Calibri" w:hAnsi="Calibri"/>
                <w:b/>
                <w:color w:val="FFFFFF"/>
                <w:sz w:val="20"/>
                <w:szCs w:val="20"/>
              </w:rPr>
              <w:t xml:space="preserve">Category</w:t>
            </w:r>
          </w:p>
        </w:tc>
        <w:tc>
          <w:tcPr>
            <w:tcW w:w="3000" w:type="dxa"/>
            <w:shd w:val="clear" w:color="auto" w:fill="0E1C42"/>
            <w:tcMar>
              <w:top w:w="60" w:type="dxa"/>
              <w:bottom w:w="60" w:type="dxa"/>
              <w:left w:w="100" w:type="dxa"/>
              <w:right w:w="100" w:type="dxa"/>
            </w:tcMar>
          </w:tcPr>
          <w:p>
            <w:pPr>
              <w:spacing w:before="0" w:after="0"/>
            </w:pPr>
            <w:r>
              <w:rPr>
                <w:rFonts w:ascii="Calibri" w:hAnsi="Calibri"/>
                <w:b/>
                <w:color w:val="FFFFFF"/>
                <w:sz w:val="20"/>
                <w:szCs w:val="20"/>
              </w:rPr>
              <w:t xml:space="preserve">Weight</w:t>
            </w:r>
          </w:p>
        </w:tc>
      </w:tr>
      <w:tr>
        <w:tc>
          <w:tcPr>
            <w:tcW w:w="65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Practice &amp; comprehension Quick Checks</w:t>
            </w:r>
          </w:p>
        </w:tc>
        <w:tc>
          <w:tcPr>
            <w:tcW w:w="30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25%</w:t>
            </w:r>
          </w:p>
        </w:tc>
      </w:tr>
      <w:tr>
        <w:tc>
          <w:tcPr>
            <w:tcW w:w="65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Discussions</w:t>
            </w:r>
          </w:p>
        </w:tc>
        <w:tc>
          <w:tcPr>
            <w:tcW w:w="30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5%</w:t>
            </w:r>
          </w:p>
        </w:tc>
      </w:tr>
      <w:tr>
        <w:tc>
          <w:tcPr>
            <w:tcW w:w="65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Performances &amp; major written assessments</w:t>
            </w:r>
          </w:p>
        </w:tc>
        <w:tc>
          <w:tcPr>
            <w:tcW w:w="3000" w:type="dxa"/>
            <w:shd w:val="clear" w:color="auto" w:fill="FFFFFF"/>
            <w:tcMar>
              <w:top w:w="60" w:type="dxa"/>
              <w:bottom w:w="60" w:type="dxa"/>
              <w:left w:w="100" w:type="dxa"/>
              <w:right w:w="100" w:type="dxa"/>
            </w:tcMar>
          </w:tcPr>
          <w:p>
            <w:pPr>
              <w:spacing w:before="0" w:after="0"/>
            </w:pPr>
            <w:r>
              <w:rPr>
                <w:rFonts w:ascii="Calibri" w:hAnsi="Calibri"/>
                <w:color w:val="0E1C42"/>
                <w:sz w:val="20"/>
                <w:szCs w:val="20"/>
              </w:rPr>
              <w:t xml:space="preserve">70%</w:t>
            </w:r>
          </w:p>
        </w:tc>
      </w:tr>
    </w:tbl>
    <w:p>
      <w:pPr>
        <w:spacing w:before="0" w:after="160"/>
      </w:pPr>
    </w:p>
    <w:p>
      <w:pPr>
        <w:spacing w:before="260" w:after="120"/>
        <w:pBdr>
          <w:left w:val="single" w:sz="24" w:space="6" w:color="55C8E8"/>
        </w:pBdr>
        <w:ind w:left="120"/>
      </w:pPr>
      <w:r>
        <w:rPr>
          <w:rFonts w:ascii="Calibri" w:hAnsi="Calibri"/>
          <w:b/>
          <w:color w:val="0E1C42"/>
          <w:sz w:val="24"/>
          <w:szCs w:val="24"/>
        </w:rPr>
        <w:t xml:space="preserve">HOW THIS COURSE IS DELIVERED</w:t>
      </w:r>
    </w:p>
    <w:p>
      <w:pPr>
        <w:spacing w:before="0" w:after="120"/>
      </w:pPr>
      <w:r>
        <w:rPr>
          <w:rFonts w:ascii="Calibri" w:hAnsi="Calibri"/>
          <w:sz w:val="21"/>
          <w:szCs w:val="21"/>
        </w:rPr>
        <w:t xml:space="preserve">This course is offered in two formats that share the same content, assignments, and expectations: an On-Demand (asynchronous) section you pace yourself, and a Live (synchronous) section that meets on a schedule on Optima's VR campus. Find the one that matches your enrollment.</w:t>
      </w:r>
    </w:p>
    <w:p>
      <w:pPr>
        <w:spacing w:before="260" w:after="120"/>
        <w:pBdr>
          <w:left w:val="single" w:sz="24" w:space="6" w:color="55C8E8"/>
        </w:pBdr>
        <w:ind w:left="120"/>
      </w:pPr>
      <w:r>
        <w:rPr>
          <w:rFonts w:ascii="Calibri" w:hAnsi="Calibri"/>
          <w:b/>
          <w:color w:val="0E1C42"/>
          <w:sz w:val="24"/>
          <w:szCs w:val="24"/>
        </w:rPr>
        <w:t xml:space="preserve">ON-DEMAND (ASYNCHRONOUS) LEARNING</w:t>
      </w:r>
    </w:p>
    <w:p>
      <w:pPr>
        <w:spacing w:before="0" w:after="120"/>
      </w:pPr>
      <w:r>
        <w:rPr>
          <w:rFonts w:ascii="Calibri" w:hAnsi="Calibri"/>
          <w:sz w:val="21"/>
          <w:szCs w:val="21"/>
        </w:rPr>
        <w:t xml:space="preserve">In the On-Demand section you move through the course at your own pace within each quarter, guided by due dates that keep you on track. All assignments for a quarter open at its start and close at its end. Because the course is On-Demand, there is no grade penalty for missing an individual due date -- but any assignment not completed by the end of the quarter receives a zero, and assignments submitted in the final 14 days of a quarter receive a 10% deduction, so steady pacing matters.</w:t>
      </w:r>
    </w:p>
    <w:p>
      <w:pPr>
        <w:spacing w:before="0" w:after="120"/>
      </w:pPr>
      <w:r>
        <w:rPr>
          <w:rFonts w:ascii="Calibri" w:hAnsi="Calibri"/>
          <w:sz w:val="21"/>
          <w:szCs w:val="21"/>
        </w:rPr>
        <w:t xml:space="preserve">Attendance is measured by assignment completion. Per school policy, a scholar who completes no assignment for ten consecutive school days, without notifying the school of an absence in advance, may be dropped from the course. Completion means a sincere attempt -- real effort on real work. Rushed work, wrong or corrupted files, irrelevant or nonsense submissions, AI-generated filler, and word-salad responses do not count. You are never on your own: a live facilitator grades your work, gives feedback, and hosts a weekly study hall.</w:t>
      </w:r>
    </w:p>
    <w:p>
      <w:pPr>
        <w:spacing w:before="260" w:after="120"/>
        <w:pBdr>
          <w:left w:val="single" w:sz="24" w:space="6" w:color="55C8E8"/>
        </w:pBdr>
        <w:ind w:left="120"/>
      </w:pPr>
      <w:r>
        <w:rPr>
          <w:rFonts w:ascii="Calibri" w:hAnsi="Calibri"/>
          <w:b/>
          <w:color w:val="0E1C42"/>
          <w:sz w:val="24"/>
          <w:szCs w:val="24"/>
        </w:rPr>
        <w:t xml:space="preserve">LIVE (SYNCHRONOUS) LEARNING</w:t>
      </w:r>
    </w:p>
    <w:p>
      <w:pPr>
        <w:spacing w:before="0" w:after="120"/>
      </w:pPr>
      <w:r>
        <w:rPr>
          <w:rFonts w:ascii="Calibri" w:hAnsi="Calibri"/>
          <w:sz w:val="21"/>
          <w:szCs w:val="21"/>
        </w:rPr>
        <w:t xml:space="preserve">In the Live section you join scheduled class meetings on Optima's VR campus, where your teacher leads instruction in real time and you learn alongside classmates. The readings, assignments, and projects are the same as the On-Demand course; what differs is the pacing -- a Live section moves through the material together on the class schedule, and class time is also used for discussion, questions, and guided practice.</w:t>
      </w:r>
    </w:p>
    <w:p>
      <w:pPr>
        <w:spacing w:before="0" w:after="120"/>
      </w:pPr>
      <w:r>
        <w:rPr>
          <w:rFonts w:ascii="Calibri" w:hAnsi="Calibri"/>
          <w:sz w:val="21"/>
          <w:szCs w:val="21"/>
        </w:rPr>
        <w:t xml:space="preserve">Attendance is measured by presence and participation. You are expected to attend the scheduled live sessions, on time and ready to take part. If you must miss a class, notify the school in advance; your teacher will let you know how to make up the work and any material you missed.</w:t>
      </w:r>
    </w:p>
    <w:p>
      <w:pPr>
        <w:spacing w:before="260" w:after="120"/>
        <w:pBdr>
          <w:left w:val="single" w:sz="24" w:space="6" w:color="55C8E8"/>
        </w:pBdr>
        <w:ind w:left="120"/>
      </w:pPr>
      <w:r>
        <w:rPr>
          <w:rFonts w:ascii="Calibri" w:hAnsi="Calibri"/>
          <w:b/>
          <w:color w:val="0E1C42"/>
          <w:sz w:val="24"/>
          <w:szCs w:val="24"/>
        </w:rPr>
        <w:t xml:space="preserve">APPROPRIATE USE OF AI</w:t>
      </w:r>
    </w:p>
    <w:p>
      <w:pPr>
        <w:spacing w:before="0" w:after="120"/>
      </w:pPr>
      <w:r>
        <w:rPr>
          <w:rFonts w:ascii="Calibri" w:hAnsi="Calibri"/>
          <w:sz w:val="21"/>
          <w:szCs w:val="21"/>
        </w:rPr>
        <w:t xml:space="preserve">Optima scholars are preparing for a world shaped by artificial intelligence, and learning to use these tools with good judgment is part of that preparation. You are welcome to use AI tools to support your learning -- to explain a concept a different way, check your understanding, or brainstorm -- unless a particular assignment says otherwise. What AI may never do is the thinking or the work an assignment asks of you: a reflection, a self-assessment, or a written response must be genuinely your own. Submitting AI-generated text as if it were your own work is dishonest and counts as an insincere attempt. When you do use an AI tool on an assignment, say so briefly. Above all, build the underlying skill yourself.</w:t>
      </w:r>
    </w:p>
    <w:p>
      <w:pPr>
        <w:spacing w:before="260" w:after="120"/>
        <w:pBdr>
          <w:left w:val="single" w:sz="24" w:space="6" w:color="55C8E8"/>
        </w:pBdr>
        <w:ind w:left="120"/>
      </w:pPr>
      <w:r>
        <w:rPr>
          <w:rFonts w:ascii="Calibri" w:hAnsi="Calibri"/>
          <w:b/>
          <w:color w:val="0E1C42"/>
          <w:sz w:val="24"/>
          <w:szCs w:val="24"/>
        </w:rPr>
        <w:t xml:space="preserve">LEARNING IN VIRTUAL REALITY</w:t>
      </w:r>
    </w:p>
    <w:p>
      <w:pPr>
        <w:spacing w:before="0" w:after="120"/>
      </w:pPr>
      <w:r>
        <w:rPr>
          <w:rFonts w:ascii="Calibri" w:hAnsi="Calibri"/>
          <w:sz w:val="21"/>
          <w:szCs w:val="21"/>
        </w:rPr>
        <w:t xml:space="preserve">Optima is a virtual-reality school. Alongside your Canvas coursework, you will join immersive sessions on Optima's VR campus. In this course, the built VR component is a solo, async activity in Module 4 (VR Melody), where you choose your own Location and perform on your own time; a non-VR Canvas Studio alternative is always available. If you are enrolled in a Live section, your facilitator may schedule additional VR sessions. Keep your headset charged and ready for any scheduled VR activity, and treat the VR campus with the same courtesy you would a physical one. If you ever cannot get into VR, tell your facilitator -- there is always an alternative way to take part.</w:t>
      </w:r>
    </w:p>
    <w:p>
      <w:pPr>
        <w:spacing w:before="260" w:after="120"/>
        <w:pBdr>
          <w:left w:val="single" w:sz="24" w:space="6" w:color="55C8E8"/>
        </w:pBdr>
        <w:ind w:left="120"/>
      </w:pPr>
      <w:r>
        <w:rPr>
          <w:rFonts w:ascii="Calibri" w:hAnsi="Calibri"/>
          <w:b/>
          <w:color w:val="0E1C42"/>
          <w:sz w:val="24"/>
          <w:szCs w:val="24"/>
        </w:rPr>
        <w:t xml:space="preserve">BEING AN OPTIMA SCHOLAR</w:t>
      </w:r>
    </w:p>
    <w:p>
      <w:pPr>
        <w:spacing w:before="0" w:after="120"/>
      </w:pPr>
      <w:r>
        <w:rPr>
          <w:rFonts w:ascii="Calibri" w:hAnsi="Calibri"/>
          <w:sz w:val="21"/>
          <w:szCs w:val="21"/>
        </w:rPr>
        <w:t xml:space="preserve">Optima's mission is an excellent, virtue-centered education, and virtue is at the center of this course as much as any other. Every scholar is expected to practice the seven virtues that shape life at Optima -- courage, courtesy, honesty, perseverance, self-government, service, and responsibility. In practice that means: do your own honest work; treat everyone you meet in, through, or because of this course with respect; engage actively rather than passively; come to office hours to get help and get to know your facilitator; and take responsibility for your own pacing and progress.</w:t>
      </w:r>
    </w:p>
    <w:p>
      <w:pPr>
        <w:spacing w:before="260" w:after="120"/>
        <w:pBdr>
          <w:left w:val="single" w:sz="24" w:space="6" w:color="55C8E8"/>
        </w:pBdr>
        <w:ind w:left="120"/>
      </w:pPr>
      <w:r>
        <w:rPr>
          <w:rFonts w:ascii="Calibri" w:hAnsi="Calibri"/>
          <w:b/>
          <w:color w:val="0E1C42"/>
          <w:sz w:val="24"/>
          <w:szCs w:val="24"/>
        </w:rPr>
        <w:t xml:space="preserve">WHAT YOU NEED AND STAYING CONNECTED</w:t>
      </w:r>
    </w:p>
    <w:p>
      <w:pPr>
        <w:spacing w:before="0" w:after="90"/>
        <w:ind w:left="360"/>
      </w:pPr>
      <w:r>
        <w:rPr>
          <w:rFonts w:ascii="Calibri" w:hAnsi="Calibri"/>
          <w:color w:val="0E1C42"/>
          <w:sz w:val="21"/>
          <w:szCs w:val="21"/>
        </w:rPr>
        <w:t xml:space="preserve">• </w:t>
      </w:r>
      <w:r>
        <w:rPr>
          <w:rFonts w:ascii="Calibri" w:hAnsi="Calibri"/>
          <w:sz w:val="21"/>
          <w:szCs w:val="21"/>
        </w:rPr>
        <w:t xml:space="preserve">A computer or tablet with reliable internet access and Canvas.</w:t>
      </w:r>
    </w:p>
    <w:p>
      <w:pPr>
        <w:spacing w:before="0" w:after="90"/>
        <w:ind w:left="360"/>
      </w:pPr>
      <w:r>
        <w:rPr>
          <w:rFonts w:ascii="Calibri" w:hAnsi="Calibri"/>
          <w:color w:val="0E1C42"/>
          <w:sz w:val="21"/>
          <w:szCs w:val="21"/>
        </w:rPr>
        <w:t xml:space="preserve">• </w:t>
      </w:r>
      <w:r>
        <w:rPr>
          <w:rFonts w:ascii="Calibri" w:hAnsi="Calibri"/>
          <w:sz w:val="21"/>
          <w:szCs w:val="21"/>
        </w:rPr>
        <w:t xml:space="preserve">A working microphone and camera, for weekly performance and recording submissions via Canvas Studio.</w:t>
      </w:r>
    </w:p>
    <w:p>
      <w:pPr>
        <w:spacing w:before="0" w:after="90"/>
        <w:ind w:left="360"/>
      </w:pPr>
      <w:r>
        <w:rPr>
          <w:rFonts w:ascii="Calibri" w:hAnsi="Calibri"/>
          <w:color w:val="0E1C42"/>
          <w:sz w:val="21"/>
          <w:szCs w:val="21"/>
        </w:rPr>
        <w:t xml:space="preserve">• </w:t>
      </w:r>
      <w:r>
        <w:rPr>
          <w:rFonts w:ascii="Calibri" w:hAnsi="Calibri"/>
          <w:sz w:val="21"/>
          <w:szCs w:val="21"/>
        </w:rPr>
        <w:t xml:space="preserve">A VR headset, charged and ready, for the Module 4 VR Melody activity and any additional sessions your Live section schedules. A non-VR alternative using Canvas Studio is always available.</w:t>
      </w:r>
    </w:p>
    <w:p>
      <w:pPr>
        <w:spacing w:before="0" w:after="90"/>
        <w:ind w:left="360"/>
      </w:pPr>
      <w:r>
        <w:rPr>
          <w:rFonts w:ascii="Calibri" w:hAnsi="Calibri"/>
          <w:color w:val="0E1C42"/>
          <w:sz w:val="21"/>
          <w:szCs w:val="21"/>
        </w:rPr>
        <w:t xml:space="preserve">• </w:t>
      </w:r>
      <w:r>
        <w:rPr>
          <w:rFonts w:ascii="Calibri" w:hAnsi="Calibri"/>
          <w:sz w:val="21"/>
          <w:szCs w:val="21"/>
        </w:rPr>
        <w:t xml:space="preserve">Google Chrome, for Chrome Music Lab, MusicLab, and the treble-clef reading games used throughout the course.</w:t>
      </w:r>
    </w:p>
    <w:p>
      <w:pPr>
        <w:spacing w:before="0" w:after="90"/>
        <w:ind w:left="360"/>
      </w:pPr>
      <w:r>
        <w:rPr>
          <w:rFonts w:ascii="Calibri" w:hAnsi="Calibri"/>
          <w:color w:val="0E1C42"/>
          <w:sz w:val="21"/>
          <w:szCs w:val="21"/>
        </w:rPr>
        <w:t xml:space="preserve">• </w:t>
      </w:r>
      <w:r>
        <w:rPr>
          <w:rFonts w:ascii="Calibri" w:hAnsi="Calibri"/>
          <w:sz w:val="21"/>
          <w:szCs w:val="21"/>
        </w:rPr>
        <w:t xml:space="preserve">Your own copy of the Music Journal Organizer (provided at the start of the course), saved to OneDrive and added to weekly.</w:t>
      </w:r>
    </w:p>
    <w:p>
      <w:pPr>
        <w:spacing w:before="0" w:after="120"/>
      </w:pPr>
      <w:r>
        <w:rPr>
          <w:rFonts w:ascii="Calibri" w:hAnsi="Calibri"/>
          <w:b/>
          <w:sz w:val="21"/>
          <w:szCs w:val="21"/>
        </w:rPr>
        <w:t xml:space="preserve">Staying connected. </w:t>
      </w:r>
      <w:r>
        <w:rPr>
          <w:rFonts w:ascii="Calibri" w:hAnsi="Calibri"/>
          <w:sz w:val="21"/>
          <w:szCs w:val="21"/>
        </w:rPr>
        <w:t xml:space="preserve">Updates about this course are posted on the course's Canvas page; school-wide updates are posted in your Homeroom Canvas course. Check both regularly. Your facilitator holds office hours (see above) and is glad to help with the material, meet you, or talk through your plans.</w:t>
      </w:r>
    </w:p>
    <w:p>
      <w:pPr>
        <w:spacing w:before="200" w:after="0"/>
      </w:pPr>
      <w:r>
        <w:rPr>
          <w:rFonts w:ascii="Calibri" w:hAnsi="Calibri"/>
          <w:i/>
          <w:color w:val="6B7A99"/>
          <w:sz w:val="15"/>
          <w:szCs w:val="15"/>
        </w:rPr>
        <w:t xml:space="preserve">Music Intermediate III - Florida course 5013110 - Full-year Grade 5 course - Optima Academy Online, 2026-2027. Built from the course content (37 weekly modules across four quarters; Semester 1 = Modules 0-18) and the board-approved 2026-2027 academic calendar. Grading weights reflect Semester 1 as built; Semester 2 will follow the same tiered approach once developed. School calendar dates may be adjusted by the school.</w:t>
      </w:r>
    </w:p>
    <w:sectPr>
      <w:pgSz w:w="12240" w:h="15840"/>
      <w:pgMar w:top="1080" w:right="1080" w:bottom="1080" w:left="1080" w:header="720" w:footer="720" w:gutter="0"/>
    </w:sectPr>
  </w:body>
</w:document>
</file>