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280" w:type="dxa"/>
          <w:left w:w="320" w:type="dxa"/>
          <w:bottom w:w="280" w:type="dxa"/>
          <w:right w:w="320" w:type="dxa"/>
        </w:tblCellMar>
      </w:tblPr>
      <w:tblGrid>
        <w:gridCol w:w="7977"/>
        <w:gridCol w:w="1995"/>
      </w:tblGrid>
      <w:tr>
        <w:trPr/>
        <w:tc>
          <w:tcPr>
            <w:tcW w:w="7977" w:type="dxa"/>
            <w:tcBorders/>
            <w:shd w:fill="152642" w:val="clear"/>
            <w:vAlign w:val="center"/>
          </w:tcPr>
          <w:p>
            <w:pPr>
              <w:pStyle w:val="Normal"/>
              <w:bidi w:val="0"/>
              <w:spacing w:before="0" w:after="40"/>
              <w:jc w:val="left"/>
              <w:rPr>
                <w:rFonts w:ascii="Calibri" w:hAnsi="Calibri"/>
                <w:b/>
                <w:color w:val="FFFFFF"/>
                <w:sz w:val="40"/>
              </w:rPr>
            </w:pPr>
            <w:r>
              <w:rPr>
                <w:rFonts w:ascii="Calibri" w:hAnsi="Calibri"/>
                <w:b/>
                <w:color w:val="FFFFFF"/>
                <w:sz w:val="40"/>
              </w:rPr>
              <w:t>HS U.S. History: Reconstruction to Present</w:t>
            </w:r>
          </w:p>
          <w:p>
            <w:pPr>
              <w:pStyle w:val="Normal"/>
              <w:bidi w:val="0"/>
              <w:spacing w:before="0" w:after="0"/>
              <w:jc w:val="left"/>
              <w:rPr>
                <w:rFonts w:ascii="Calibri" w:hAnsi="Calibri"/>
                <w:color w:val="C9D4E3"/>
                <w:sz w:val="18"/>
              </w:rPr>
            </w:pPr>
            <w:r>
              <w:rPr>
                <w:rFonts w:ascii="Calibri" w:hAnsi="Calibri"/>
                <w:color w:val="C9D4E3"/>
                <w:sz w:val="18"/>
              </w:rPr>
              <w:t>OPTIMA ACADEMY ONLINE · COURSE SYLLABUS · 2026–2027</w:t>
            </w:r>
          </w:p>
        </w:tc>
        <w:tc>
          <w:tcPr>
            <w:tcW w:w="1995" w:type="dxa"/>
            <w:tcBorders/>
            <w:shd w:fill="B9862F" w:val="clear"/>
            <w:tcMar>
              <w:left w:w="200" w:type="dxa"/>
              <w:right w:w="200" w:type="dxa"/>
            </w:tcMar>
            <w:vAlign w:val="center"/>
          </w:tcPr>
          <w:p>
            <w:pPr>
              <w:pStyle w:val="Normal"/>
              <w:bidi w:val="0"/>
              <w:spacing w:before="0" w:after="20"/>
              <w:jc w:val="center"/>
              <w:rPr>
                <w:rFonts w:ascii="Calibri" w:hAnsi="Calibri"/>
                <w:b/>
                <w:color w:val="FFFFFF"/>
                <w:sz w:val="22"/>
              </w:rPr>
            </w:pPr>
            <w:r>
              <w:rPr>
                <w:rFonts w:ascii="Calibri" w:hAnsi="Calibri"/>
                <w:b/>
                <w:color w:val="FFFFFF"/>
                <w:sz w:val="22"/>
              </w:rPr>
              <w:t>Live (Synchronous)</w:t>
            </w:r>
          </w:p>
          <w:p>
            <w:pPr>
              <w:pStyle w:val="Normal"/>
              <w:bidi w:val="0"/>
              <w:spacing w:before="0" w:after="0"/>
              <w:jc w:val="center"/>
              <w:rPr>
                <w:rFonts w:ascii="Calibri" w:hAnsi="Calibri"/>
                <w:color w:val="FFFFFF"/>
                <w:sz w:val="17"/>
              </w:rPr>
            </w:pPr>
            <w:r>
              <w:rPr>
                <w:rFonts w:ascii="Calibri" w:hAnsi="Calibri"/>
                <w:color w:val="FFFFFF"/>
                <w:sz w:val="17"/>
              </w:rPr>
              <w:t>Full Year · Grade 10</w:t>
            </w:r>
          </w:p>
        </w:tc>
      </w:tr>
    </w:tbl>
    <w:p>
      <w:pPr>
        <w:pStyle w:val="Normal"/>
        <w:bidi w:val="0"/>
        <w:spacing w:lineRule="auto" w:line="312" w:before="0" w:after="40"/>
        <w:jc w:val="left"/>
        <w:rPr>
          <w:rFonts w:ascii="Calibri" w:hAnsi="Calibri"/>
          <w:sz w:val="21"/>
        </w:rPr>
      </w:pPr>
      <w:r>
        <w:rPr>
          <w:rFonts w:ascii="Calibri" w:hAnsi="Calibri"/>
          <w:sz w:val="21"/>
        </w:rPr>
      </w:r>
    </w:p>
    <w:tbl>
      <w:tblPr>
        <w:tblW w:w="5000" w:type="pct"/>
        <w:jc w:val="left"/>
        <w:tblInd w:w="0" w:type="dxa"/>
        <w:tblLayout w:type="fixed"/>
        <w:tblCellMar>
          <w:top w:w="200" w:type="dxa"/>
          <w:left w:w="280" w:type="dxa"/>
          <w:bottom w:w="40" w:type="dxa"/>
          <w:right w:w="280" w:type="dxa"/>
        </w:tblCellMar>
      </w:tblPr>
      <w:tblGrid>
        <w:gridCol w:w="4985"/>
        <w:gridCol w:w="4987"/>
      </w:tblGrid>
      <w:tr>
        <w:trPr/>
        <w:tc>
          <w:tcPr>
            <w:tcW w:w="4985" w:type="dxa"/>
            <w:tcBorders/>
            <w:shd w:fill="EEF1F5" w:val="clear"/>
            <w:vAlign w:val="center"/>
          </w:tcPr>
          <w:p>
            <w:pPr>
              <w:pStyle w:val="Normal"/>
              <w:bidi w:val="0"/>
              <w:spacing w:before="0" w:after="0"/>
              <w:jc w:val="left"/>
              <w:rPr>
                <w:rFonts w:ascii="Calibri" w:hAnsi="Calibri"/>
                <w:b/>
                <w:color w:val="3D6FA6"/>
                <w:sz w:val="15"/>
              </w:rPr>
            </w:pPr>
            <w:r>
              <w:rPr>
                <w:rFonts w:ascii="Calibri" w:hAnsi="Calibri"/>
                <w:b/>
                <w:color w:val="3D6FA6"/>
                <w:sz w:val="15"/>
              </w:rPr>
              <w:t>TEACHER</w:t>
            </w:r>
          </w:p>
          <w:p>
            <w:pPr>
              <w:pStyle w:val="Normal"/>
              <w:bidi w:val="0"/>
              <w:spacing w:before="0" w:after="100"/>
              <w:jc w:val="left"/>
              <w:rPr>
                <w:rFonts w:ascii="Calibri" w:hAnsi="Calibri"/>
                <w:color w:val="20242C"/>
                <w:sz w:val="19"/>
              </w:rPr>
            </w:pPr>
            <w:r>
              <w:rPr>
                <w:rFonts w:ascii="Calibri" w:hAnsi="Calibri"/>
                <w:color w:val="20242C"/>
                <w:sz w:val="19"/>
              </w:rPr>
              <w:t>Optima Academy Online Faculty</w:t>
            </w:r>
          </w:p>
        </w:tc>
        <w:tc>
          <w:tcPr>
            <w:tcW w:w="4987" w:type="dxa"/>
            <w:tcBorders/>
            <w:shd w:fill="EEF1F5" w:val="clear"/>
            <w:vAlign w:val="center"/>
          </w:tcPr>
          <w:p>
            <w:pPr>
              <w:pStyle w:val="Normal"/>
              <w:bidi w:val="0"/>
              <w:spacing w:before="0" w:after="0"/>
              <w:jc w:val="left"/>
              <w:rPr>
                <w:rFonts w:ascii="Calibri" w:hAnsi="Calibri"/>
                <w:b/>
                <w:color w:val="3D6FA6"/>
                <w:sz w:val="15"/>
              </w:rPr>
            </w:pPr>
            <w:r>
              <w:rPr>
                <w:rFonts w:ascii="Calibri" w:hAnsi="Calibri"/>
                <w:b/>
                <w:color w:val="3D6FA6"/>
                <w:sz w:val="15"/>
              </w:rPr>
              <w:t>EMAIL &amp; OFFICE</w:t>
            </w:r>
          </w:p>
          <w:p>
            <w:pPr>
              <w:pStyle w:val="Normal"/>
              <w:bidi w:val="0"/>
              <w:spacing w:before="0" w:after="100"/>
              <w:jc w:val="left"/>
              <w:rPr>
                <w:rFonts w:ascii="Calibri" w:hAnsi="Calibri"/>
                <w:color w:val="20242C"/>
                <w:sz w:val="19"/>
              </w:rPr>
            </w:pPr>
            <w:r>
              <w:rPr>
                <w:rFonts w:ascii="Calibri" w:hAnsi="Calibri"/>
                <w:color w:val="20242C"/>
                <w:sz w:val="19"/>
              </w:rPr>
              <w:t>Your teacher's email is posted in Canvas · 239.673.2801 (OAO Front Office)</w:t>
            </w:r>
          </w:p>
        </w:tc>
      </w:tr>
      <w:tr>
        <w:trPr/>
        <w:tc>
          <w:tcPr>
            <w:tcW w:w="4985" w:type="dxa"/>
            <w:tcBorders/>
            <w:shd w:fill="EEF1F5" w:val="clear"/>
            <w:tcMar>
              <w:top w:w="4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FLORIDA COURSE</w:t>
            </w:r>
          </w:p>
          <w:p>
            <w:pPr>
              <w:pStyle w:val="Normal"/>
              <w:bidi w:val="0"/>
              <w:spacing w:before="0" w:after="100"/>
              <w:jc w:val="left"/>
              <w:rPr>
                <w:rFonts w:ascii="Calibri" w:hAnsi="Calibri"/>
                <w:color w:val="20242C"/>
                <w:sz w:val="19"/>
              </w:rPr>
            </w:pPr>
            <w:r>
              <w:rPr>
                <w:rFonts w:ascii="Calibri" w:hAnsi="Calibri"/>
                <w:color w:val="20242C"/>
                <w:sz w:val="19"/>
              </w:rPr>
              <w:t>Florida 2100310 · Full-year course</w:t>
            </w:r>
          </w:p>
        </w:tc>
        <w:tc>
          <w:tcPr>
            <w:tcW w:w="4987" w:type="dxa"/>
            <w:tcBorders/>
            <w:shd w:fill="EEF1F5" w:val="clear"/>
            <w:tcMar>
              <w:top w:w="4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OFFICE HOURS</w:t>
            </w:r>
          </w:p>
          <w:p>
            <w:pPr>
              <w:pStyle w:val="Normal"/>
              <w:bidi w:val="0"/>
              <w:spacing w:before="0" w:after="100"/>
              <w:jc w:val="left"/>
              <w:rPr>
                <w:rFonts w:ascii="Calibri" w:hAnsi="Calibri"/>
                <w:color w:val="20242C"/>
                <w:sz w:val="19"/>
              </w:rPr>
            </w:pPr>
            <w:r>
              <w:rPr>
                <w:rFonts w:ascii="Calibri" w:hAnsi="Calibri"/>
                <w:color w:val="20242C"/>
                <w:sz w:val="19"/>
              </w:rPr>
              <w:t>Posted in Canvas · your teacher's scheduled office hours</w:t>
            </w:r>
          </w:p>
        </w:tc>
      </w:tr>
      <w:tr>
        <w:trPr/>
        <w:tc>
          <w:tcPr>
            <w:tcW w:w="4985" w:type="dxa"/>
            <w:tcBorders/>
            <w:shd w:fill="EEF1F5" w:val="clear"/>
            <w:tcMar>
              <w:top w:w="40" w:type="dxa"/>
              <w:bottom w:w="20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GRADE LEVEL</w:t>
            </w:r>
          </w:p>
          <w:p>
            <w:pPr>
              <w:pStyle w:val="Normal"/>
              <w:bidi w:val="0"/>
              <w:spacing w:before="0" w:after="100"/>
              <w:jc w:val="left"/>
              <w:rPr>
                <w:rFonts w:ascii="Calibri" w:hAnsi="Calibri"/>
                <w:color w:val="20242C"/>
                <w:sz w:val="19"/>
              </w:rPr>
            </w:pPr>
            <w:r>
              <w:rPr>
                <w:rFonts w:ascii="Calibri" w:hAnsi="Calibri"/>
                <w:color w:val="20242C"/>
                <w:sz w:val="19"/>
              </w:rPr>
              <w:t>Grade 10</w:t>
            </w:r>
          </w:p>
        </w:tc>
        <w:tc>
          <w:tcPr>
            <w:tcW w:w="4987" w:type="dxa"/>
            <w:tcBorders/>
            <w:shd w:fill="EEF1F5" w:val="clear"/>
            <w:tcMar>
              <w:top w:w="40" w:type="dxa"/>
              <w:bottom w:w="200" w:type="dxa"/>
            </w:tcMar>
            <w:vAlign w:val="center"/>
          </w:tcPr>
          <w:p>
            <w:pPr>
              <w:pStyle w:val="Normal"/>
              <w:bidi w:val="0"/>
              <w:spacing w:before="0" w:after="0"/>
              <w:jc w:val="left"/>
              <w:rPr>
                <w:rFonts w:ascii="Calibri" w:hAnsi="Calibri"/>
                <w:b/>
                <w:color w:val="3D6FA6"/>
                <w:sz w:val="15"/>
              </w:rPr>
            </w:pPr>
            <w:r>
              <w:rPr>
                <w:rFonts w:ascii="Calibri" w:hAnsi="Calibri"/>
                <w:b/>
                <w:color w:val="3D6FA6"/>
                <w:sz w:val="15"/>
              </w:rPr>
              <w:t>FORMAT</w:t>
            </w:r>
          </w:p>
          <w:p>
            <w:pPr>
              <w:pStyle w:val="Normal"/>
              <w:bidi w:val="0"/>
              <w:spacing w:before="0" w:after="100"/>
              <w:jc w:val="left"/>
              <w:rPr>
                <w:rFonts w:ascii="Calibri" w:hAnsi="Calibri"/>
                <w:color w:val="20242C"/>
                <w:sz w:val="19"/>
              </w:rPr>
            </w:pPr>
            <w:r>
              <w:rPr>
                <w:rFonts w:ascii="Calibri" w:hAnsi="Calibri"/>
                <w:color w:val="20242C"/>
                <w:sz w:val="19"/>
              </w:rPr>
              <w:t>Live (synchronous) · scheduled classes on Optima's VR campus</w:t>
            </w:r>
          </w:p>
        </w:tc>
      </w:tr>
    </w:tbl>
    <w:p>
      <w:pPr>
        <w:pStyle w:val="Normal"/>
        <w:bidi w:val="0"/>
        <w:spacing w:lineRule="auto" w:line="312" w:before="0" w:after="40"/>
        <w:jc w:val="left"/>
        <w:rPr>
          <w:rFonts w:ascii="Calibri" w:hAnsi="Calibri"/>
          <w:sz w:val="21"/>
        </w:rPr>
      </w:pPr>
      <w:r>
        <w:rPr>
          <w:rFonts w:ascii="Calibri" w:hAnsi="Calibri"/>
          <w:sz w:val="21"/>
        </w:rPr>
      </w:r>
    </w:p>
    <w:tbl>
      <w:tblPr>
        <w:tblW w:w="5000" w:type="pct"/>
        <w:jc w:val="left"/>
        <w:tblInd w:w="-7" w:type="dxa"/>
        <w:tblLayout w:type="fixed"/>
        <w:tblCellMar>
          <w:top w:w="200" w:type="dxa"/>
          <w:left w:w="200" w:type="dxa"/>
          <w:bottom w:w="200" w:type="dxa"/>
          <w:right w:w="200" w:type="dxa"/>
        </w:tblCellMar>
      </w:tblPr>
      <w:tblGrid>
        <w:gridCol w:w="9972"/>
      </w:tblGrid>
      <w:tr>
        <w:trPr/>
        <w:tc>
          <w:tcPr>
            <w:tcW w:w="9972" w:type="dxa"/>
            <w:tcBorders>
              <w:top w:val="single" w:sz="6" w:space="0" w:color="D9A94A"/>
              <w:left w:val="single" w:sz="6" w:space="0" w:color="D9A94A"/>
              <w:bottom w:val="single" w:sz="6" w:space="0" w:color="D9A94A"/>
              <w:right w:val="single" w:sz="6" w:space="0" w:color="D9A94A"/>
            </w:tcBorders>
            <w:shd w:fill="FBF1DD" w:val="clear"/>
            <w:vAlign w:val="center"/>
          </w:tcPr>
          <w:p>
            <w:pPr>
              <w:pStyle w:val="Normal"/>
              <w:bidi w:val="0"/>
              <w:spacing w:lineRule="auto" w:line="324" w:before="0" w:after="0"/>
              <w:jc w:val="left"/>
              <w:rPr>
                <w:rFonts w:ascii="Calibri" w:hAnsi="Calibri"/>
                <w:color w:val="5C4319"/>
                <w:sz w:val="19"/>
              </w:rPr>
            </w:pPr>
            <w:r>
              <w:rPr>
                <w:rFonts w:ascii="Calibri" w:hAnsi="Calibri"/>
                <w:b/>
                <w:color w:val="8A5A12"/>
                <w:sz w:val="19"/>
              </w:rPr>
              <w:t xml:space="preserve">About this syllabus. </w:t>
            </w:r>
            <w:r>
              <w:rPr>
                <w:rFonts w:ascii="Calibri" w:hAnsi="Calibri"/>
                <w:color w:val="5C4319"/>
                <w:sz w:val="19"/>
              </w:rPr>
              <w:t>This is the plan for the Live (synchronous) section of the course as designed. It is a full-year course; your class moves through the four quarters of the year together. Optima also offers this course as an On-Demand section with the same content and expectations, described in its own syllabus. Exact pacing, scheduled dates, and a few activities may vary from section to section and term to term. Your teacher will confirm the specifics for your section.</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COURSE OVERVIEW</w:t>
      </w:r>
    </w:p>
    <w:p>
      <w:pPr>
        <w:pStyle w:val="Normal"/>
        <w:bidi w:val="0"/>
        <w:spacing w:lineRule="auto" w:line="324" w:before="0" w:after="120"/>
        <w:jc w:val="left"/>
        <w:rPr>
          <w:rFonts w:ascii="Calibri" w:hAnsi="Calibri"/>
          <w:sz w:val="21"/>
        </w:rPr>
      </w:pPr>
      <w:r>
        <w:rPr>
          <w:rFonts w:ascii="Calibri" w:hAnsi="Calibri"/>
          <w:sz w:val="21"/>
        </w:rPr>
        <w:t>HS U.S. History: Reconstruction to Present is a 10th grade study of American history from Reconstruction through World War I. Scholars examine the political settlement after the Civil War, the Gilded Age’s industrial transformation, the labor movement and urbanization, Progressive Era reforms, American imperial expansion, and U.S. entry into World War I, using primary sources, including Theodore Roosevelt’s extensive writings, and virtual reality to engage with the key people and events of this era.</w:t>
      </w:r>
    </w:p>
    <w:p>
      <w:pPr>
        <w:pStyle w:val="Normal"/>
        <w:bidi w:val="0"/>
        <w:spacing w:before="160" w:after="80"/>
        <w:jc w:val="left"/>
        <w:rPr>
          <w:rFonts w:ascii="Calibri" w:hAnsi="Calibri"/>
          <w:b/>
          <w:color w:val="152642"/>
          <w:sz w:val="20"/>
        </w:rPr>
      </w:pPr>
      <w:r>
        <w:rPr>
          <w:rFonts w:ascii="Calibri" w:hAnsi="Calibri"/>
          <w:b/>
          <w:color w:val="152642"/>
          <w:sz w:val="20"/>
        </w:rPr>
        <w:t>WHAT SCHOLARS WILL LEARN TO DO</w:t>
      </w:r>
    </w:p>
    <w:tbl>
      <w:tblPr>
        <w:tblW w:w="5000" w:type="pct"/>
        <w:jc w:val="left"/>
        <w:tblInd w:w="0" w:type="dxa"/>
        <w:tblLayout w:type="fixed"/>
        <w:tblCellMar>
          <w:top w:w="0" w:type="dxa"/>
          <w:left w:w="0" w:type="dxa"/>
          <w:bottom w:w="80" w:type="dxa"/>
          <w:right w:w="200" w:type="dxa"/>
        </w:tblCellMar>
      </w:tblPr>
      <w:tblGrid>
        <w:gridCol w:w="4985"/>
        <w:gridCol w:w="4987"/>
      </w:tblGrid>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Analyze the political and social consequences of Reconstruction including the 13th, 14th, and 15th Amendments.</w:t>
            </w:r>
          </w:p>
        </w:tc>
        <w:tc>
          <w:tcPr>
            <w:tcW w:w="4987" w:type="dxa"/>
            <w:tcBorders/>
            <w:tcMar>
              <w:left w:w="200" w:type="dxa"/>
              <w:right w:w="0" w:type="dxa"/>
            </w:tcMar>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Analyze the causes and consequences of American imperial expansion and the Spanish-American War.</w:t>
            </w:r>
          </w:p>
        </w:tc>
      </w:tr>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Examine the causes and effects of the Second Industrial Revolution including big business, railroads, and labor movements.</w:t>
            </w:r>
          </w:p>
        </w:tc>
        <w:tc>
          <w:tcPr>
            <w:tcW w:w="4987" w:type="dxa"/>
            <w:tcBorders/>
            <w:tcMar>
              <w:left w:w="200" w:type="dxa"/>
              <w:right w:w="0" w:type="dxa"/>
            </w:tcMar>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Examine the domestic and international causes of U.S. involvement in World War I.</w:t>
            </w:r>
          </w:p>
        </w:tc>
      </w:tr>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Evaluate Gilded Age social and political reforms and the rise of muckraking journalism.</w:t>
            </w:r>
          </w:p>
        </w:tc>
        <w:tc>
          <w:tcPr>
            <w:tcW w:w="4987" w:type="dxa"/>
            <w:tcBorders/>
            <w:tcMar>
              <w:left w:w="200" w:type="dxa"/>
              <w:right w:w="0" w:type="dxa"/>
            </w:tcMar>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Interpret primary source documents including political speeches, legislation, and investigative journalism.</w:t>
            </w:r>
          </w:p>
        </w:tc>
      </w:tr>
      <w:tr>
        <w:trPr/>
        <w:tc>
          <w:tcPr>
            <w:tcW w:w="4985" w:type="dxa"/>
            <w:tcBorders/>
          </w:tcPr>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color w:val="20242C"/>
                <w:sz w:val="20"/>
              </w:rPr>
              <w:t>Trace Progressive Era reforms in politics, economics, housing, and conservation.</w:t>
            </w:r>
          </w:p>
        </w:tc>
        <w:tc>
          <w:tcPr>
            <w:tcW w:w="4987" w:type="dxa"/>
            <w:tcBorders/>
            <w:tcMar>
              <w:left w:w="200" w:type="dxa"/>
              <w:right w:w="0" w:type="dxa"/>
            </w:tcMar>
          </w:tcPr>
          <w:p>
            <w:pPr>
              <w:pStyle w:val="Normal"/>
              <w:bidi w:val="0"/>
              <w:jc w:val="left"/>
              <w:rPr/>
            </w:pPr>
            <w:r>
              <w:rPr/>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BIG PROJECTS &amp; MILESTONES</w:t>
      </w:r>
    </w:p>
    <w:p>
      <w:pPr>
        <w:pStyle w:val="Normal"/>
        <w:bidi w:val="0"/>
        <w:spacing w:lineRule="auto" w:line="324" w:before="0" w:after="120"/>
        <w:jc w:val="left"/>
        <w:rPr>
          <w:rFonts w:ascii="Calibri" w:hAnsi="Calibri"/>
          <w:sz w:val="21"/>
        </w:rPr>
      </w:pPr>
      <w:r>
        <w:rPr>
          <w:rFonts w:ascii="Calibri" w:hAnsi="Calibri"/>
          <w:sz w:val="21"/>
        </w:rPr>
        <w:t>The course builds toward a set of finished, real-world artifacts. Target dates below follow a sample full-year pacing; your section works to the class schedule your teacher sets, keeping each milestone roughly in order.</w:t>
      </w:r>
    </w:p>
    <w:tbl>
      <w:tblPr>
        <w:tblW w:w="5000" w:type="pct"/>
        <w:jc w:val="left"/>
        <w:tblInd w:w="0" w:type="dxa"/>
        <w:tblLayout w:type="fixed"/>
        <w:tblCellMar>
          <w:top w:w="120" w:type="dxa"/>
          <w:left w:w="120" w:type="dxa"/>
          <w:bottom w:w="120" w:type="dxa"/>
          <w:right w:w="120" w:type="dxa"/>
        </w:tblCellMar>
      </w:tblPr>
      <w:tblGrid>
        <w:gridCol w:w="2215"/>
        <w:gridCol w:w="2881"/>
        <w:gridCol w:w="1219"/>
        <w:gridCol w:w="3657"/>
      </w:tblGrid>
      <w:tr>
        <w:trPr/>
        <w:tc>
          <w:tcPr>
            <w:tcW w:w="2215"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PROJECT / MILESTONE</w:t>
            </w:r>
          </w:p>
        </w:tc>
        <w:tc>
          <w:tcPr>
            <w:tcW w:w="2881"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COURSE PLACE</w:t>
            </w:r>
          </w:p>
        </w:tc>
        <w:tc>
          <w:tcPr>
            <w:tcW w:w="1219"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SAMPLE TARGET</w:t>
            </w:r>
          </w:p>
        </w:tc>
        <w:tc>
          <w:tcPr>
            <w:tcW w:w="3657" w:type="dxa"/>
            <w:tcBorders/>
            <w:shd w:fill="152642" w:val="clear"/>
            <w:vAlign w:val="center"/>
          </w:tcPr>
          <w:p>
            <w:pPr>
              <w:pStyle w:val="Normal"/>
              <w:bidi w:val="0"/>
              <w:spacing w:before="0" w:after="0"/>
              <w:jc w:val="left"/>
              <w:rPr>
                <w:rFonts w:ascii="Calibri" w:hAnsi="Calibri"/>
                <w:b/>
                <w:color w:val="FFFFFF"/>
                <w:sz w:val="17"/>
              </w:rPr>
            </w:pPr>
            <w:r>
              <w:rPr>
                <w:rFonts w:ascii="Calibri" w:hAnsi="Calibri"/>
                <w:b/>
                <w:color w:val="FFFFFF"/>
                <w:sz w:val="17"/>
              </w:rPr>
              <w:t>WHAT YOU TURN IN</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Q1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Reconstruction through American Imperial Expansion · Weeks 1–4</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Sep 12, 2026</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First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1 Complete</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Q1 · Weeks 5–9</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Oct 9, 2026</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Q1 assignments (reading quizzes, VR activities, and primary source reports) submitted in Canvas.</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Q2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New Immigration, Progressive Era, and World War I · Weeks 10–14</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Nov 7, 2026</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Second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2 Complete</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Q2 · Weeks 15–18</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Dec 18, 2026</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Q2 assignments (reading quizzes, VR activities, and primary source reports) submitted.</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Q3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Great Depression and World War II · Weeks 19–22</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Third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3 Complete</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Q3 · Weeks 23–27</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Mar 5, 2027</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Q3 assignments (reading quizzes, VR activities, and primary source reports) submitted in Canvas.</w:t>
            </w:r>
          </w:p>
        </w:tc>
      </w:tr>
      <w:tr>
        <w:trPr/>
        <w:tc>
          <w:tcPr>
            <w:tcW w:w="2215" w:type="dxa"/>
            <w:tcBorders/>
            <w:shd w:fill="FFFFFF" w:val="clear"/>
          </w:tcPr>
          <w:p>
            <w:pPr>
              <w:pStyle w:val="Normal"/>
              <w:bidi w:val="0"/>
              <w:spacing w:before="0" w:after="0"/>
              <w:jc w:val="left"/>
              <w:rPr>
                <w:rFonts w:ascii="Calibri" w:hAnsi="Calibri"/>
                <w:b/>
                <w:color w:val="152642"/>
                <w:sz w:val="19"/>
              </w:rPr>
            </w:pPr>
            <w:r>
              <w:rPr>
                <w:rFonts w:ascii="Calibri" w:hAnsi="Calibri"/>
                <w:b/>
                <w:color w:val="152642"/>
                <w:sz w:val="19"/>
              </w:rPr>
              <w:t>Q4 Primary Source Reports</w:t>
            </w:r>
          </w:p>
        </w:tc>
        <w:tc>
          <w:tcPr>
            <w:tcW w:w="2881"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The Cold War and the 21st Century · Weeks 28–31</w:t>
            </w:r>
          </w:p>
        </w:tc>
        <w:tc>
          <w:tcPr>
            <w:tcW w:w="1219"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TBD</w:t>
            </w:r>
          </w:p>
        </w:tc>
        <w:tc>
          <w:tcPr>
            <w:tcW w:w="3657" w:type="dxa"/>
            <w:tcBorders/>
            <w:shd w:fill="FFFFFF" w:val="clear"/>
          </w:tcPr>
          <w:p>
            <w:pPr>
              <w:pStyle w:val="Normal"/>
              <w:bidi w:val="0"/>
              <w:spacing w:lineRule="auto" w:line="300" w:before="0" w:after="0"/>
              <w:jc w:val="left"/>
              <w:rPr>
                <w:rFonts w:ascii="Calibri" w:hAnsi="Calibri"/>
                <w:color w:val="20242C"/>
                <w:sz w:val="19"/>
              </w:rPr>
            </w:pPr>
            <w:r>
              <w:rPr>
                <w:rFonts w:ascii="Calibri" w:hAnsi="Calibri"/>
                <w:color w:val="20242C"/>
                <w:sz w:val="19"/>
              </w:rPr>
              <w:t>Fourth set of primary source reports submitted in Canvas; one sincere attempt per assigned week.</w:t>
            </w:r>
          </w:p>
        </w:tc>
      </w:tr>
      <w:tr>
        <w:trPr/>
        <w:tc>
          <w:tcPr>
            <w:tcW w:w="2215" w:type="dxa"/>
            <w:tcBorders/>
            <w:shd w:fill="F5F6F8" w:val="clear"/>
          </w:tcPr>
          <w:p>
            <w:pPr>
              <w:pStyle w:val="Normal"/>
              <w:bidi w:val="0"/>
              <w:spacing w:before="0" w:after="0"/>
              <w:jc w:val="left"/>
              <w:rPr>
                <w:rFonts w:ascii="Calibri" w:hAnsi="Calibri"/>
                <w:b/>
                <w:color w:val="152642"/>
                <w:sz w:val="19"/>
              </w:rPr>
            </w:pPr>
            <w:r>
              <w:rPr>
                <w:rFonts w:ascii="Calibri" w:hAnsi="Calibri"/>
                <w:b/>
                <w:color w:val="152642"/>
                <w:sz w:val="19"/>
              </w:rPr>
              <w:t>Quarter 4 Complete · Course End</w:t>
            </w:r>
          </w:p>
        </w:tc>
        <w:tc>
          <w:tcPr>
            <w:tcW w:w="2881"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Q4 · Weeks 32–36</w:t>
            </w:r>
          </w:p>
        </w:tc>
        <w:tc>
          <w:tcPr>
            <w:tcW w:w="1219"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by May 28, 2027</w:t>
            </w:r>
          </w:p>
        </w:tc>
        <w:tc>
          <w:tcPr>
            <w:tcW w:w="3657" w:type="dxa"/>
            <w:tcBorders/>
            <w:shd w:fill="F5F6F8" w:val="clear"/>
          </w:tcPr>
          <w:p>
            <w:pPr>
              <w:pStyle w:val="Normal"/>
              <w:bidi w:val="0"/>
              <w:spacing w:lineRule="auto" w:line="300" w:before="0" w:after="0"/>
              <w:jc w:val="left"/>
              <w:rPr>
                <w:rFonts w:ascii="Calibri" w:hAnsi="Calibri"/>
                <w:color w:val="20242C"/>
                <w:sz w:val="19"/>
              </w:rPr>
            </w:pPr>
            <w:r>
              <w:rPr>
                <w:rFonts w:ascii="Calibri" w:hAnsi="Calibri"/>
                <w:color w:val="20242C"/>
                <w:sz w:val="19"/>
              </w:rPr>
              <w:t>All Q4 assignments (reading quizzes, VR activities, and primary source reports) submitted. Course ends.</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IMPORTANT DATES: 2026–2027</w:t>
      </w:r>
    </w:p>
    <w:tbl>
      <w:tblPr>
        <w:tblW w:w="5000" w:type="pct"/>
        <w:jc w:val="left"/>
        <w:tblInd w:w="0" w:type="dxa"/>
        <w:tblLayout w:type="fixed"/>
        <w:tblCellMar>
          <w:top w:w="60" w:type="dxa"/>
          <w:left w:w="60" w:type="dxa"/>
          <w:bottom w:w="60" w:type="dxa"/>
          <w:right w:w="60" w:type="dxa"/>
        </w:tblCellMar>
      </w:tblPr>
      <w:tblGrid>
        <w:gridCol w:w="1440"/>
        <w:gridCol w:w="3545"/>
        <w:gridCol w:w="1441"/>
        <w:gridCol w:w="3546"/>
      </w:tblGrid>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Aug 12,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First day of school</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Sep 7, 2026</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(Labor Day)</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Oct 9,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1 ends</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Oct 12, 2026</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(Columbus Day)</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Nov 11,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(Veterans' Day)</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Nov 23–27, 2026</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Thanksgiving break</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Dec 18, 2026</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2 ends</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Dec 21, 2026–Jan 1,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Winter break</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Jan 5,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Classes resume</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Jan 18,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(MLK Day)</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Feb 15,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(Presidents' Day)</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Mar 5,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3 ends</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Mar 26–Apr 5,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Spring break</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Apr 6,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Classes resume</w:t>
            </w:r>
          </w:p>
        </w:tc>
      </w:tr>
      <w:tr>
        <w:trPr/>
        <w:tc>
          <w:tcPr>
            <w:tcW w:w="1440"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May 28, 2027</w:t>
            </w:r>
          </w:p>
        </w:tc>
        <w:tc>
          <w:tcPr>
            <w:tcW w:w="3545"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Quarter 4 ends · last day of school</w:t>
            </w:r>
          </w:p>
        </w:tc>
        <w:tc>
          <w:tcPr>
            <w:tcW w:w="1441" w:type="dxa"/>
            <w:tcBorders/>
            <w:shd w:fill="FFFFFF" w:val="clear"/>
            <w:vAlign w:val="center"/>
          </w:tcPr>
          <w:p>
            <w:pPr>
              <w:pStyle w:val="Normal"/>
              <w:bidi w:val="0"/>
              <w:spacing w:before="0" w:after="0"/>
              <w:jc w:val="left"/>
              <w:rPr>
                <w:rFonts w:ascii="Calibri" w:hAnsi="Calibri"/>
                <w:b/>
                <w:color w:val="152642"/>
                <w:sz w:val="19"/>
              </w:rPr>
            </w:pPr>
            <w:r>
              <w:rPr>
                <w:rFonts w:ascii="Calibri" w:hAnsi="Calibri"/>
                <w:b/>
                <w:color w:val="152642"/>
                <w:sz w:val="19"/>
              </w:rPr>
              <w:t>May 31, 2027</w:t>
            </w:r>
          </w:p>
        </w:tc>
        <w:tc>
          <w:tcPr>
            <w:tcW w:w="3546" w:type="dxa"/>
            <w:tcBorders/>
            <w:shd w:fill="FFFFFF" w:val="clear"/>
            <w:vAlign w:val="center"/>
          </w:tcPr>
          <w:p>
            <w:pPr>
              <w:pStyle w:val="Normal"/>
              <w:bidi w:val="0"/>
              <w:spacing w:before="0" w:after="0"/>
              <w:jc w:val="left"/>
              <w:rPr>
                <w:rFonts w:ascii="Calibri" w:hAnsi="Calibri"/>
                <w:color w:val="20242C"/>
                <w:sz w:val="19"/>
              </w:rPr>
            </w:pPr>
            <w:r>
              <w:rPr>
                <w:rFonts w:ascii="Calibri" w:hAnsi="Calibri"/>
                <w:color w:val="20242C"/>
                <w:sz w:val="19"/>
              </w:rPr>
              <w:t>Holiday (Memorial Day)</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ASSESSMENT &amp; GRADING</w:t>
      </w:r>
    </w:p>
    <w:tbl>
      <w:tblPr>
        <w:tblW w:w="5000" w:type="pct"/>
        <w:jc w:val="left"/>
        <w:tblInd w:w="0" w:type="dxa"/>
        <w:tblLayout w:type="fixed"/>
        <w:tblCellMar>
          <w:top w:w="160" w:type="dxa"/>
          <w:left w:w="160" w:type="dxa"/>
          <w:bottom w:w="160" w:type="dxa"/>
          <w:right w:w="160" w:type="dxa"/>
        </w:tblCellMar>
      </w:tblPr>
      <w:tblGrid>
        <w:gridCol w:w="3324"/>
        <w:gridCol w:w="3324"/>
        <w:gridCol w:w="3324"/>
      </w:tblGrid>
      <w:tr>
        <w:trPr/>
        <w:tc>
          <w:tcPr>
            <w:tcW w:w="3324" w:type="dxa"/>
            <w:tcBorders/>
            <w:shd w:fill="EEF1F5" w:val="clear"/>
            <w:vAlign w:val="center"/>
          </w:tcPr>
          <w:p>
            <w:pPr>
              <w:pStyle w:val="Normal"/>
              <w:pBdr>
                <w:top w:val="single" w:sz="16" w:space="5" w:color="B9862F"/>
              </w:pBdr>
              <w:bidi w:val="0"/>
              <w:spacing w:before="0" w:after="20"/>
              <w:jc w:val="left"/>
              <w:rPr>
                <w:rFonts w:ascii="Calibri" w:hAnsi="Calibri"/>
                <w:b/>
                <w:color w:val="152642"/>
                <w:sz w:val="34"/>
              </w:rPr>
            </w:pPr>
            <w:r>
              <w:rPr>
                <w:rFonts w:ascii="Calibri" w:hAnsi="Calibri"/>
                <w:b/>
                <w:color w:val="152642"/>
                <w:sz w:val="34"/>
              </w:rPr>
              <w:t>60%</w:t>
            </w:r>
          </w:p>
          <w:p>
            <w:pPr>
              <w:pStyle w:val="Normal"/>
              <w:bidi w:val="0"/>
              <w:spacing w:before="0" w:after="0"/>
              <w:jc w:val="left"/>
              <w:rPr>
                <w:rFonts w:ascii="Calibri" w:hAnsi="Calibri"/>
                <w:color w:val="5B6472"/>
                <w:sz w:val="17"/>
              </w:rPr>
            </w:pPr>
            <w:r>
              <w:rPr>
                <w:rFonts w:ascii="Calibri" w:hAnsi="Calibri"/>
                <w:color w:val="5B6472"/>
                <w:sz w:val="17"/>
              </w:rPr>
              <w:t>Asynchronous homework (reading quizzes, primary source reports, VR activity write-ups)</w:t>
            </w:r>
          </w:p>
        </w:tc>
        <w:tc>
          <w:tcPr>
            <w:tcW w:w="3324" w:type="dxa"/>
            <w:tcBorders/>
            <w:shd w:fill="EEF1F5" w:val="clear"/>
            <w:vAlign w:val="center"/>
          </w:tcPr>
          <w:p>
            <w:pPr>
              <w:pStyle w:val="Normal"/>
              <w:pBdr>
                <w:top w:val="single" w:sz="16" w:space="5" w:color="B9862F"/>
              </w:pBdr>
              <w:bidi w:val="0"/>
              <w:spacing w:before="0" w:after="20"/>
              <w:jc w:val="left"/>
              <w:rPr>
                <w:rFonts w:ascii="Calibri" w:hAnsi="Calibri"/>
                <w:b/>
                <w:color w:val="152642"/>
                <w:sz w:val="34"/>
              </w:rPr>
            </w:pPr>
            <w:r>
              <w:rPr>
                <w:rFonts w:ascii="Calibri" w:hAnsi="Calibri"/>
                <w:b/>
                <w:color w:val="152642"/>
                <w:sz w:val="34"/>
              </w:rPr>
              <w:t>30%</w:t>
            </w:r>
          </w:p>
          <w:p>
            <w:pPr>
              <w:pStyle w:val="Normal"/>
              <w:bidi w:val="0"/>
              <w:spacing w:before="0" w:after="0"/>
              <w:jc w:val="left"/>
              <w:rPr>
                <w:rFonts w:ascii="Calibri" w:hAnsi="Calibri"/>
                <w:color w:val="5B6472"/>
                <w:sz w:val="17"/>
              </w:rPr>
            </w:pPr>
            <w:r>
              <w:rPr>
                <w:rFonts w:ascii="Calibri" w:hAnsi="Calibri"/>
                <w:color w:val="5B6472"/>
                <w:sz w:val="17"/>
              </w:rPr>
              <w:t>Projects (extended primary source analyses and quarter capstone submissions)</w:t>
            </w:r>
          </w:p>
        </w:tc>
        <w:tc>
          <w:tcPr>
            <w:tcW w:w="3324" w:type="dxa"/>
            <w:tcBorders/>
            <w:shd w:fill="EEF1F5" w:val="clear"/>
            <w:vAlign w:val="center"/>
          </w:tcPr>
          <w:p>
            <w:pPr>
              <w:pStyle w:val="Normal"/>
              <w:pBdr>
                <w:top w:val="single" w:sz="16" w:space="5" w:color="B9862F"/>
              </w:pBdr>
              <w:bidi w:val="0"/>
              <w:spacing w:before="0" w:after="20"/>
              <w:jc w:val="left"/>
              <w:rPr>
                <w:rFonts w:ascii="Calibri" w:hAnsi="Calibri"/>
                <w:b/>
                <w:color w:val="152642"/>
                <w:sz w:val="34"/>
              </w:rPr>
            </w:pPr>
            <w:r>
              <w:rPr>
                <w:rFonts w:ascii="Calibri" w:hAnsi="Calibri"/>
                <w:b/>
                <w:color w:val="152642"/>
                <w:sz w:val="34"/>
              </w:rPr>
              <w:t>10%</w:t>
            </w:r>
          </w:p>
          <w:p>
            <w:pPr>
              <w:pStyle w:val="Normal"/>
              <w:bidi w:val="0"/>
              <w:spacing w:before="0" w:after="0"/>
              <w:jc w:val="left"/>
              <w:rPr>
                <w:rFonts w:ascii="Calibri" w:hAnsi="Calibri"/>
                <w:color w:val="5B6472"/>
                <w:sz w:val="17"/>
              </w:rPr>
            </w:pPr>
            <w:r>
              <w:rPr>
                <w:rFonts w:ascii="Calibri" w:hAnsi="Calibri"/>
                <w:color w:val="5B6472"/>
                <w:sz w:val="17"/>
              </w:rPr>
              <w:t>Synchronous homework &amp; activities (live class participation and discussion)</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LIVE (SYNCHRONOUS) LEARNING</w:t>
      </w:r>
    </w:p>
    <w:p>
      <w:pPr>
        <w:pStyle w:val="Normal"/>
        <w:bidi w:val="0"/>
        <w:spacing w:lineRule="auto" w:line="324" w:before="0" w:after="120"/>
        <w:jc w:val="left"/>
        <w:rPr>
          <w:rFonts w:ascii="Calibri" w:hAnsi="Calibri"/>
          <w:sz w:val="21"/>
        </w:rPr>
      </w:pPr>
      <w:r>
        <w:rPr>
          <w:rFonts w:ascii="Calibri" w:hAnsi="Calibri"/>
          <w:sz w:val="21"/>
        </w:rPr>
        <w:t>In the Live section you join scheduled class meetings on Optima's VR campus, where your teacher leads instruction in real time and you learn alongside classmates. The readings, assignments, and projects are the same as the On-Demand course; what differs is the pacing: a Live section moves through the material together on the class schedule rather than at each scholar's own pace, and class time is also used for discussion, questions, and guided practice.</w:t>
      </w:r>
    </w:p>
    <w:p>
      <w:pPr>
        <w:pStyle w:val="Normal"/>
        <w:bidi w:val="0"/>
        <w:spacing w:lineRule="auto" w:line="324" w:before="0" w:after="120"/>
        <w:jc w:val="left"/>
        <w:rPr>
          <w:rFonts w:ascii="Calibri" w:hAnsi="Calibri"/>
          <w:sz w:val="21"/>
        </w:rPr>
      </w:pPr>
      <w:r>
        <w:rPr>
          <w:rFonts w:ascii="Calibri" w:hAnsi="Calibri"/>
          <w:sz w:val="21"/>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real effort on real work, and assignments still open and close with each quarter.</w:t>
      </w:r>
    </w:p>
    <w:tbl>
      <w:tblPr>
        <w:tblW w:w="5000" w:type="pct"/>
        <w:jc w:val="left"/>
        <w:tblInd w:w="-7" w:type="dxa"/>
        <w:tblLayout w:type="fixed"/>
        <w:tblCellMar>
          <w:top w:w="180" w:type="dxa"/>
          <w:left w:w="180" w:type="dxa"/>
          <w:bottom w:w="180" w:type="dxa"/>
          <w:right w:w="180" w:type="dxa"/>
        </w:tblCellMar>
      </w:tblPr>
      <w:tblGrid>
        <w:gridCol w:w="9972"/>
      </w:tblGrid>
      <w:tr>
        <w:trPr/>
        <w:tc>
          <w:tcPr>
            <w:tcW w:w="9972" w:type="dxa"/>
            <w:tcBorders>
              <w:top w:val="single" w:sz="6" w:space="0" w:color="8FB8DE"/>
              <w:left w:val="single" w:sz="6" w:space="0" w:color="8FB8DE"/>
              <w:bottom w:val="single" w:sz="6" w:space="0" w:color="8FB8DE"/>
              <w:right w:val="single" w:sz="6" w:space="0" w:color="8FB8DE"/>
            </w:tcBorders>
            <w:shd w:fill="EAF2FA" w:val="clear"/>
            <w:vAlign w:val="center"/>
          </w:tcPr>
          <w:p>
            <w:pPr>
              <w:pStyle w:val="Normal"/>
              <w:bidi w:val="0"/>
              <w:spacing w:lineRule="auto" w:line="312" w:before="0" w:after="0"/>
              <w:jc w:val="left"/>
              <w:rPr>
                <w:rFonts w:ascii="Calibri" w:hAnsi="Calibri"/>
                <w:color w:val="1F4E79"/>
                <w:sz w:val="19"/>
              </w:rPr>
            </w:pPr>
            <w:r>
              <w:rPr>
                <w:rFonts w:ascii="Calibri" w:hAnsi="Calibri"/>
                <w:b/>
                <w:color w:val="1F4E79"/>
                <w:sz w:val="19"/>
              </w:rPr>
              <w:t xml:space="preserve">You meet regularly with a teacher. </w:t>
            </w:r>
            <w:r>
              <w:rPr>
                <w:rFonts w:ascii="Calibri" w:hAnsi="Calibri"/>
                <w:color w:val="1F4E79"/>
                <w:sz w:val="19"/>
              </w:rPr>
              <w:t>The class gathers throughout the week in VR and on Microsoft Teams for live instruction and discussion.</w:t>
            </w:r>
          </w:p>
        </w:tc>
      </w:tr>
    </w:tbl>
    <w:p>
      <w:pPr>
        <w:pStyle w:val="Normal"/>
        <w:bidi w:val="0"/>
        <w:spacing w:lineRule="auto" w:line="312" w:before="0" w:after="40"/>
        <w:jc w:val="left"/>
        <w:rPr>
          <w:rFonts w:ascii="Calibri" w:hAnsi="Calibri"/>
          <w:sz w:val="21"/>
        </w:rPr>
      </w:pPr>
      <w:r>
        <w:rPr>
          <w:rFonts w:ascii="Calibri" w:hAnsi="Calibri"/>
          <w:sz w:val="21"/>
        </w:rPr>
      </w:r>
    </w:p>
    <w:p>
      <w:pPr>
        <w:pStyle w:val="Normal"/>
        <w:bidi w:val="0"/>
        <w:spacing w:lineRule="auto" w:line="324" w:before="0" w:after="120"/>
        <w:jc w:val="left"/>
        <w:rPr>
          <w:rFonts w:ascii="Calibri" w:hAnsi="Calibri"/>
          <w:sz w:val="21"/>
        </w:rPr>
      </w:pPr>
      <w:r>
        <w:rPr>
          <w:rFonts w:ascii="Calibri" w:hAnsi="Calibri"/>
          <w:sz w:val="21"/>
        </w:rPr>
        <w:t>This course is also offered as an On-Demand (asynchronous) section that scholars pace themselves. If that is the section you are enrolled in, use the On-Demand syllabus instead of this one.</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USING AI IN THIS COURSE</w:t>
      </w:r>
    </w:p>
    <w:p>
      <w:pPr>
        <w:pStyle w:val="Normal"/>
        <w:bidi w:val="0"/>
        <w:spacing w:lineRule="auto" w:line="324" w:before="0" w:after="120"/>
        <w:jc w:val="left"/>
        <w:rPr>
          <w:rFonts w:ascii="Calibri" w:hAnsi="Calibri"/>
          <w:sz w:val="21"/>
        </w:rPr>
      </w:pPr>
      <w:r>
        <w:rPr>
          <w:rFonts w:ascii="Calibri" w:hAnsi="Calibri"/>
          <w:sz w:val="21"/>
        </w:rPr>
        <w:t>Optima's AI policy does not ask whether a scholar used AI. It asks whether AI was used honestly, skillfully, and in a way that genuinely built your own thinking. AI may support your work, but it may not do the reasoning an assignment asks of you.</w:t>
      </w:r>
    </w:p>
    <w:p>
      <w:pPr>
        <w:pStyle w:val="Normal"/>
        <w:bidi w:val="0"/>
        <w:spacing w:before="160" w:after="80"/>
        <w:jc w:val="left"/>
        <w:rPr>
          <w:rFonts w:ascii="Calibri" w:hAnsi="Calibri"/>
          <w:b/>
          <w:color w:val="152642"/>
          <w:sz w:val="20"/>
        </w:rPr>
      </w:pPr>
      <w:r>
        <w:rPr>
          <w:rFonts w:ascii="Calibri" w:hAnsi="Calibri"/>
          <w:b/>
          <w:color w:val="152642"/>
          <w:sz w:val="20"/>
        </w:rPr>
        <w:t>WHICH AI TOOLS YOU MAY USE</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Every scholar. </w:t>
      </w:r>
      <w:r>
        <w:rPr>
          <w:rFonts w:ascii="Calibri" w:hAnsi="Calibri"/>
          <w:color w:val="20242C"/>
          <w:sz w:val="20"/>
        </w:rP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under 14. </w:t>
      </w:r>
      <w:r>
        <w:rPr>
          <w:rFonts w:ascii="Calibri" w:hAnsi="Calibri"/>
          <w:color w:val="20242C"/>
          <w:sz w:val="20"/>
        </w:rPr>
        <w:t>Your teacher may not ask, suggest, or require that you use an AI tool outside those school-controlled platforms. Your AI work for this course happens in Canvas and in VR.</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Scholars 14 and older. </w:t>
      </w:r>
      <w:r>
        <w:rPr>
          <w:rFonts w:ascii="Calibri" w:hAnsi="Calibri"/>
          <w:color w:val="20242C"/>
          <w:sz w:val="20"/>
        </w:rPr>
        <w:t>Whether you use an outside AI tool for schoolwork is your family's decision, not the school's. It requires written parent or guardian permission on file with your teacher, and your parent or guardian selects the tool, sets up the account, monitors it, and stays responsible for it. Optima does not provide, endorse, or manage personal AI accounts. Your teacher's part is to judge whether the AI was used well.</w:t>
      </w:r>
    </w:p>
    <w:p>
      <w:pPr>
        <w:pStyle w:val="Normal"/>
        <w:bidi w:val="0"/>
        <w:spacing w:before="160" w:after="80"/>
        <w:jc w:val="left"/>
        <w:rPr>
          <w:rFonts w:ascii="Calibri" w:hAnsi="Calibri"/>
          <w:b/>
          <w:color w:val="152642"/>
          <w:sz w:val="20"/>
        </w:rPr>
      </w:pPr>
      <w:r>
        <w:rPr>
          <w:rFonts w:ascii="Calibri" w:hAnsi="Calibri"/>
          <w:b/>
          <w:color w:val="152642"/>
          <w:sz w:val="20"/>
        </w:rPr>
        <w:t>WHAT IS EXPECTED WHEN YOU USE AI</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Document it. </w:t>
      </w:r>
      <w:r>
        <w:rPr>
          <w:rFonts w:ascii="Calibri" w:hAnsi="Calibri"/>
          <w:color w:val="20242C"/>
          <w:sz w:val="20"/>
        </w:rPr>
        <w:t>Record the tool, the prompt you gave it, and the date. Using AI is not plagiarism. Turning in AI-generated work as entirely your own thought, with no documentation, is.</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Verify it. </w:t>
      </w:r>
      <w:r>
        <w:rPr>
          <w:rFonts w:ascii="Calibri" w:hAnsi="Calibri"/>
          <w:color w:val="20242C"/>
          <w:sz w:val="20"/>
        </w:rPr>
        <w:t>AI states wrong things confidently, and you are responsible for every claim you submit, so check it against a credible source before it goes into your work. Verification is one of the skills this course grades.</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Sound like yourself. </w:t>
      </w:r>
      <w:r>
        <w:rPr>
          <w:rFonts w:ascii="Calibri" w:hAnsi="Calibri"/>
          <w:color w:val="20242C"/>
          <w:sz w:val="20"/>
        </w:rPr>
        <w:t>Your work should read the way you write and speak in the rest of the course, take a real position rather than hedging, and be something you can explain on the spot, on camera or in VR, when your teacher asks a follow-up question you did not expect.</w:t>
      </w:r>
    </w:p>
    <w:p>
      <w:pPr>
        <w:pStyle w:val="Normal"/>
        <w:bidi w:val="0"/>
        <w:spacing w:lineRule="auto" w:line="312" w:before="0" w:after="120"/>
        <w:jc w:val="left"/>
        <w:rPr>
          <w:rFonts w:ascii="Calibri" w:hAnsi="Calibri"/>
          <w:color w:val="20242C"/>
          <w:sz w:val="20"/>
        </w:rPr>
      </w:pPr>
      <w:r>
        <w:rPr>
          <w:rFonts w:ascii="Calibri" w:hAnsi="Calibri"/>
          <w:color w:val="20242C"/>
          <w:sz w:val="20"/>
        </w:rPr>
        <w:t xml:space="preserve">● </w:t>
      </w:r>
      <w:r>
        <w:rPr>
          <w:rFonts w:ascii="Calibri" w:hAnsi="Calibri"/>
          <w:b/>
          <w:color w:val="20242C"/>
          <w:sz w:val="20"/>
        </w:rPr>
        <w:t xml:space="preserve">Keep the process, not just the product. </w:t>
      </w:r>
      <w:r>
        <w:rPr>
          <w:rFonts w:ascii="Calibri" w:hAnsi="Calibri"/>
          <w:color w:val="20242C"/>
          <w:sz w:val="20"/>
        </w:rPr>
        <w:t>Prompt logs, drafts, revision notes, and VR recordings are gradeable evidence of your thinking. When an assignment asks for them, they count toward your grade.</w:t>
      </w:r>
    </w:p>
    <w:p>
      <w:pPr>
        <w:pStyle w:val="Normal"/>
        <w:bidi w:val="0"/>
        <w:spacing w:lineRule="auto" w:line="324" w:before="0" w:after="120"/>
        <w:jc w:val="left"/>
        <w:rPr>
          <w:rFonts w:ascii="Calibri" w:hAnsi="Calibri"/>
          <w:sz w:val="21"/>
        </w:rPr>
      </w:pPr>
      <w:r>
        <w:rPr>
          <w:rFonts w:ascii="Calibri" w:hAnsi="Calibri"/>
          <w:sz w:val="21"/>
        </w:rPr>
        <w:t>Some assignments limit or exclude AI so that you build the underlying skill yourself, and the assignment page will say so. The reason is practical: you cannot judge whether an AI's answer is any good unless you can do the work without it.</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LEARNING IN VIRTUAL REALITY</w:t>
      </w:r>
    </w:p>
    <w:p>
      <w:pPr>
        <w:pStyle w:val="Normal"/>
        <w:bidi w:val="0"/>
        <w:spacing w:lineRule="auto" w:line="324" w:before="0" w:after="120"/>
        <w:jc w:val="left"/>
        <w:rPr>
          <w:rFonts w:ascii="Calibri" w:hAnsi="Calibri"/>
          <w:sz w:val="21"/>
        </w:rPr>
      </w:pPr>
      <w:r>
        <w:rPr>
          <w:rFonts w:ascii="Calibri" w:hAnsi="Calibri"/>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teacher; there is an alternative way to take part so you do not fall behind.</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BEING AN OPTIMA SCHOLAR</w:t>
      </w:r>
    </w:p>
    <w:p>
      <w:pPr>
        <w:pStyle w:val="Normal"/>
        <w:bidi w:val="0"/>
        <w:spacing w:lineRule="auto" w:line="324" w:before="0" w:after="120"/>
        <w:jc w:val="left"/>
        <w:rPr>
          <w:rFonts w:ascii="Calibri" w:hAnsi="Calibri"/>
          <w:sz w:val="21"/>
        </w:rPr>
      </w:pPr>
      <w:r>
        <w:rPr>
          <w:rFonts w:ascii="Calibri" w:hAnsi="Calibri"/>
          <w:sz w:val="21"/>
        </w:rP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teacher; and take responsibility for your own work and progress. You belong to a house and a community of scholars, not only to a course.</w:t>
      </w:r>
    </w:p>
    <w:p>
      <w:pPr>
        <w:pStyle w:val="Normal"/>
        <w:pBdr>
          <w:left w:val="single" w:sz="24" w:space="7" w:color="3D6FA6"/>
        </w:pBdr>
        <w:bidi w:val="0"/>
        <w:spacing w:before="280" w:after="120"/>
        <w:jc w:val="left"/>
        <w:rPr>
          <w:rFonts w:ascii="Calibri" w:hAnsi="Calibri"/>
          <w:b/>
          <w:color w:val="152642"/>
          <w:sz w:val="26"/>
        </w:rPr>
      </w:pPr>
      <w:r>
        <w:rPr>
          <w:rFonts w:ascii="Calibri" w:hAnsi="Calibri"/>
          <w:b/>
          <w:color w:val="152642"/>
          <w:sz w:val="26"/>
        </w:rPr>
        <w:t>WHAT YOU NEED &amp; STAYING CONNECTED</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 computer with reliable internet and access to Canvas.</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 VR headset, charged and ready for scheduled immersive sessions.</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Microsoft 365 (Word, PowerPoint) with OneDrive, for documents you create and submit.</w:t>
      </w:r>
    </w:p>
    <w:p>
      <w:pPr>
        <w:pStyle w:val="Normal"/>
        <w:bidi w:val="0"/>
        <w:spacing w:before="0" w:after="100"/>
        <w:jc w:val="left"/>
        <w:rPr>
          <w:rFonts w:ascii="Calibri" w:hAnsi="Calibri"/>
          <w:color w:val="20242C"/>
          <w:sz w:val="20"/>
        </w:rPr>
      </w:pPr>
      <w:r>
        <w:rPr>
          <w:rFonts w:ascii="Calibri" w:hAnsi="Calibri"/>
          <w:color w:val="20242C"/>
          <w:sz w:val="20"/>
        </w:rPr>
        <w:t xml:space="preserve">☑ </w:t>
      </w:r>
      <w:r>
        <w:rPr>
          <w:rFonts w:ascii="Calibri" w:hAnsi="Calibri"/>
          <w:color w:val="20242C"/>
          <w:sz w:val="20"/>
        </w:rPr>
        <w:t>A notebook or binder, and pens or pencils, for reading notes and primary source work.</w:t>
      </w:r>
    </w:p>
    <w:p>
      <w:pPr>
        <w:pStyle w:val="Normal"/>
        <w:bidi w:val="0"/>
        <w:spacing w:lineRule="auto" w:line="324" w:before="0" w:after="120"/>
        <w:jc w:val="left"/>
        <w:rPr>
          <w:rFonts w:ascii="Calibri" w:hAnsi="Calibri"/>
          <w:sz w:val="21"/>
        </w:rPr>
      </w:pPr>
      <w:r>
        <w:rPr>
          <w:rFonts w:ascii="Calibri" w:hAnsi="Calibri"/>
          <w:b/>
          <w:sz w:val="21"/>
        </w:rPr>
        <w:t>Staying connected.</w:t>
      </w:r>
      <w:r>
        <w:rPr>
          <w:rFonts w:ascii="Calibri" w:hAnsi="Calibri"/>
          <w:sz w:val="21"/>
        </w:rPr>
        <w:t xml:space="preserve"> Updates about this course are posted on the course's Canvas page; school-wide updates are posted in your Homeroom Canvas course. Check both regularly. Your teacher holds office hours and is glad to help with the material, to meet you, or to talk through your plans: come by, or reach out any time by email.</w:t>
      </w:r>
    </w:p>
    <w:p>
      <w:pPr>
        <w:pStyle w:val="Normal"/>
        <w:pBdr>
          <w:top w:val="single" w:sz="4" w:space="6" w:color="D7DCE3"/>
        </w:pBdr>
        <w:bidi w:val="0"/>
        <w:spacing w:lineRule="auto" w:line="312" w:before="200" w:after="0"/>
        <w:jc w:val="left"/>
        <w:rPr>
          <w:rFonts w:ascii="Calibri" w:hAnsi="Calibri"/>
          <w:color w:val="5B6472"/>
          <w:sz w:val="15"/>
        </w:rPr>
      </w:pPr>
      <w:r>
        <w:rPr>
          <w:rFonts w:ascii="Calibri" w:hAnsi="Calibri"/>
          <w:color w:val="5B6472"/>
          <w:sz w:val="15"/>
        </w:rPr>
        <w:t>HS U.S. History: Reconstruction to Present · Live (synchronous) section · Florida course 2100310 · Full-year course · Optima Academy Online, 2026–2027. Built from the course content and the board-approved 2026–2027 academic calendar. Project target dates reflect a sample full-year pacing; Live sections follow the class schedule. School calendar dates may be adjusted by the school.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auto"/>
    <w:pitch w:val="default"/>
  </w:font>
</w:fonts>
</file>

<file path=word/settings.xml><?xml version="1.0" encoding="utf-8"?>
<w:settings xmlns:w="http://schemas.openxmlformats.org/wordprocessingml/2006/main">
  <w:zoom w:percent="85"/>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LibreOffice/24.2.5.2$Windows_X86_64 LibreOffice_project/bffef4ea93e59bebbeaf7f431bb02b1a39ee8a59</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