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Ten-State Pilot</w:t>
        <w:br/>
        <w:t>Fixed Method and Suggestions Log</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status: </w:t>
            </w:r>
            <w:r>
              <w:t>The methodology was frozen before the state cycle. The same section order, source classification, rule matrix, and configuration treatment were used for every state. Items below are suggestions for later engine design review; they did not change the method during the cycle.</w:t>
            </w:r>
          </w:p>
        </w:tc>
      </w:tr>
    </w:tbl>
    <w:p>
      <w:pPr>
        <w:pStyle w:val="Heading1"/>
      </w:pPr>
      <w:r>
        <w:t>Frozen analytical rules</w:t>
      </w:r>
    </w:p>
    <w:p>
      <w:pPr>
        <w:pStyle w:val="CompactList"/>
      </w:pPr>
      <w:r>
        <w:rPr>
          <w:b/>
        </w:rPr>
        <w:t xml:space="preserve">• </w:t>
      </w:r>
      <w:r>
        <w:t>Analyze one state independently before cross-state synthesis.</w:t>
      </w:r>
    </w:p>
    <w:p>
      <w:pPr>
        <w:pStyle w:val="CompactList"/>
      </w:pPr>
      <w:r>
        <w:rPr>
          <w:b/>
        </w:rPr>
        <w:t xml:space="preserve">• </w:t>
      </w:r>
      <w:r>
        <w:t>Separate statutory/statewide values, jurisdiction-policy values, and operational choices.</w:t>
      </w:r>
    </w:p>
    <w:p>
      <w:pPr>
        <w:pStyle w:val="CompactList"/>
      </w:pPr>
      <w:r>
        <w:rPr>
          <w:b/>
        </w:rPr>
        <w:t xml:space="preserve">• </w:t>
      </w:r>
      <w:r>
        <w:t>Preserve qualitative legal standards such as prompt, reasonable, or expeditious; expose a local policy field rather than inventing a number.</w:t>
      </w:r>
    </w:p>
    <w:p>
      <w:pPr>
        <w:pStyle w:val="CompactList"/>
      </w:pPr>
      <w:r>
        <w:rPr>
          <w:b/>
        </w:rPr>
        <w:t xml:space="preserve">• </w:t>
      </w:r>
      <w:r>
        <w:t>Separate response, determination, production, fee, clarification, external-review, and appeal timers.</w:t>
      </w:r>
    </w:p>
    <w:p>
      <w:pPr>
        <w:pStyle w:val="CompactList"/>
      </w:pPr>
      <w:r>
        <w:rPr>
          <w:b/>
        </w:rPr>
        <w:t xml:space="preserve">• </w:t>
      </w:r>
      <w:r>
        <w:t>Treat simple/complex as operational unless law attaches a legal consequence.</w:t>
      </w:r>
    </w:p>
    <w:p>
      <w:pPr>
        <w:pStyle w:val="CompactList"/>
      </w:pPr>
      <w:r>
        <w:rPr>
          <w:b/>
        </w:rPr>
        <w:t xml:space="preserve">• </w:t>
      </w:r>
      <w:r>
        <w:t>For each rule record trigger, condition, action, communication, deadline, clock effect, authority, and mandatory/discretionary status.</w:t>
      </w:r>
    </w:p>
    <w:p>
      <w:pPr>
        <w:pStyle w:val="CompactList"/>
      </w:pPr>
      <w:r>
        <w:rPr>
          <w:b/>
        </w:rPr>
        <w:t xml:space="preserve">• </w:t>
      </w:r>
      <w:r>
        <w:t>Record suggestions without altering the methodology midstream.</w:t>
      </w:r>
    </w:p>
    <w:p>
      <w:pPr>
        <w:pStyle w:val="Heading1"/>
      </w:pPr>
      <w:r>
        <w:t>Suggestions captured during the pilot</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936"/>
            <w:shd w:fill="17365D"/>
            <w:tcMar>
              <w:top w:w="70" w:type="dxa"/>
              <w:start w:w="80" w:type="dxa"/>
              <w:bottom w:w="70" w:type="dxa"/>
              <w:end w:w="80" w:type="dxa"/>
            </w:tcMar>
          </w:tcPr>
          <w:p>
            <w:pPr>
              <w:spacing w:after="0"/>
              <w:jc w:val="left"/>
            </w:pPr>
            <w:r>
              <w:rPr>
                <w:b/>
                <w:color w:val="FFFFFF"/>
                <w:sz w:val="15"/>
              </w:rPr>
              <w:t>ID</w:t>
            </w:r>
          </w:p>
        </w:tc>
        <w:tc>
          <w:tcPr>
            <w:tcW w:type="dxa" w:w="7128"/>
            <w:shd w:fill="17365D"/>
            <w:tcMar>
              <w:top w:w="70" w:type="dxa"/>
              <w:start w:w="80" w:type="dxa"/>
              <w:bottom w:w="70" w:type="dxa"/>
              <w:end w:w="80" w:type="dxa"/>
            </w:tcMar>
          </w:tcPr>
          <w:p>
            <w:pPr>
              <w:spacing w:after="0"/>
              <w:jc w:val="left"/>
            </w:pPr>
            <w:r>
              <w:rPr>
                <w:b/>
                <w:color w:val="FFFFFF"/>
                <w:sz w:val="15"/>
              </w:rPr>
              <w:t>Suggestion</w:t>
            </w:r>
          </w:p>
        </w:tc>
        <w:tc>
          <w:tcPr>
            <w:tcW w:type="dxa" w:w="2232"/>
            <w:shd w:fill="17365D"/>
            <w:tcMar>
              <w:top w:w="70" w:type="dxa"/>
              <w:start w:w="80" w:type="dxa"/>
              <w:bottom w:w="70" w:type="dxa"/>
              <w:end w:w="80" w:type="dxa"/>
            </w:tcMar>
          </w:tcPr>
          <w:p>
            <w:pPr>
              <w:spacing w:after="0"/>
              <w:jc w:val="left"/>
            </w:pPr>
            <w:r>
              <w:rPr>
                <w:b/>
                <w:color w:val="FFFFFF"/>
                <w:sz w:val="15"/>
              </w:rPr>
              <w:t>Observed in</w:t>
            </w:r>
          </w:p>
        </w:tc>
      </w:tr>
      <w:tr>
        <w:trPr>
          <w:cantSplit/>
        </w:trPr>
        <w:tc>
          <w:tcPr>
            <w:tcW w:type="dxa" w:w="936"/>
            <w:tcMar>
              <w:top w:w="70" w:type="dxa"/>
              <w:start w:w="80" w:type="dxa"/>
              <w:bottom w:w="70" w:type="dxa"/>
              <w:end w:w="80" w:type="dxa"/>
            </w:tcMar>
            <w:vAlign w:val="top"/>
          </w:tcPr>
          <w:p>
            <w:pPr>
              <w:spacing w:after="0" w:line="240" w:lineRule="auto"/>
            </w:pPr>
            <w:r>
              <w:rPr>
                <w:rFonts w:ascii="Aptos" w:hAnsi="Aptos"/>
                <w:sz w:val="15"/>
              </w:rPr>
              <w:t>S-001</w:t>
            </w:r>
          </w:p>
        </w:tc>
        <w:tc>
          <w:tcPr>
            <w:tcW w:type="dxa" w:w="7128"/>
            <w:tcMar>
              <w:top w:w="70" w:type="dxa"/>
              <w:start w:w="80" w:type="dxa"/>
              <w:bottom w:w="70" w:type="dxa"/>
              <w:end w:w="80" w:type="dxa"/>
            </w:tcMar>
            <w:vAlign w:val="top"/>
          </w:tcPr>
          <w:p>
            <w:pPr>
              <w:spacing w:after="0" w:line="240" w:lineRule="auto"/>
            </w:pPr>
            <w:r>
              <w:rPr>
                <w:rFonts w:ascii="Aptos" w:hAnsi="Aptos"/>
                <w:sz w:val="15"/>
              </w:rPr>
              <w:t>Use event-specific timer effects rather than one global “clock paused” switch.</w:t>
            </w:r>
          </w:p>
        </w:tc>
        <w:tc>
          <w:tcPr>
            <w:tcW w:type="dxa" w:w="2232"/>
            <w:tcMar>
              <w:top w:w="70" w:type="dxa"/>
              <w:start w:w="80" w:type="dxa"/>
              <w:bottom w:w="70" w:type="dxa"/>
              <w:end w:w="80" w:type="dxa"/>
            </w:tcMar>
            <w:vAlign w:val="top"/>
          </w:tcPr>
          <w:p>
            <w:pPr>
              <w:spacing w:after="0" w:line="240" w:lineRule="auto"/>
            </w:pPr>
            <w:r>
              <w:rPr>
                <w:rFonts w:ascii="Aptos" w:hAnsi="Aptos"/>
                <w:sz w:val="15"/>
              </w:rPr>
              <w:t>Texas, California, Nevada</w:t>
            </w:r>
          </w:p>
        </w:tc>
      </w:tr>
      <w:tr>
        <w:trPr>
          <w:cantSplit/>
        </w:trPr>
        <w:tc>
          <w:tcPr>
            <w:tcW w:type="dxa" w:w="936"/>
            <w:shd w:fill="FAFCFE"/>
            <w:tcMar>
              <w:top w:w="70" w:type="dxa"/>
              <w:start w:w="80" w:type="dxa"/>
              <w:bottom w:w="70" w:type="dxa"/>
              <w:end w:w="80" w:type="dxa"/>
            </w:tcMar>
            <w:vAlign w:val="top"/>
          </w:tcPr>
          <w:p>
            <w:pPr>
              <w:spacing w:after="0" w:line="240" w:lineRule="auto"/>
            </w:pPr>
            <w:r>
              <w:rPr>
                <w:rFonts w:ascii="Aptos" w:hAnsi="Aptos"/>
                <w:sz w:val="15"/>
              </w:rPr>
              <w:t>S-002</w:t>
            </w:r>
          </w:p>
        </w:tc>
        <w:tc>
          <w:tcPr>
            <w:tcW w:type="dxa" w:w="7128"/>
            <w:shd w:fill="FAFCFE"/>
            <w:tcMar>
              <w:top w:w="70" w:type="dxa"/>
              <w:start w:w="80" w:type="dxa"/>
              <w:bottom w:w="70" w:type="dxa"/>
              <w:end w:w="80" w:type="dxa"/>
            </w:tcMar>
            <w:vAlign w:val="top"/>
          </w:tcPr>
          <w:p>
            <w:pPr>
              <w:spacing w:after="0" w:line="240" w:lineRule="auto"/>
            </w:pPr>
            <w:r>
              <w:rPr>
                <w:rFonts w:ascii="Aptos" w:hAnsi="Aptos"/>
                <w:sz w:val="15"/>
              </w:rPr>
              <w:t>Represent a qualitative legal standard and a local operational target as separate fields.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5"/>
              </w:rPr>
              <w:t>Florida, Arizona, California</w:t>
            </w:r>
          </w:p>
        </w:tc>
      </w:tr>
      <w:tr>
        <w:trPr>
          <w:cantSplit/>
        </w:trPr>
        <w:tc>
          <w:tcPr>
            <w:tcW w:type="dxa" w:w="936"/>
            <w:tcMar>
              <w:top w:w="70" w:type="dxa"/>
              <w:start w:w="80" w:type="dxa"/>
              <w:bottom w:w="70" w:type="dxa"/>
              <w:end w:w="80" w:type="dxa"/>
            </w:tcMar>
            <w:vAlign w:val="top"/>
          </w:tcPr>
          <w:p>
            <w:pPr>
              <w:spacing w:after="0" w:line="240" w:lineRule="auto"/>
            </w:pPr>
            <w:r>
              <w:rPr>
                <w:rFonts w:ascii="Aptos" w:hAnsi="Aptos"/>
                <w:sz w:val="15"/>
              </w:rPr>
              <w:t>S-003</w:t>
            </w:r>
          </w:p>
        </w:tc>
        <w:tc>
          <w:tcPr>
            <w:tcW w:type="dxa" w:w="7128"/>
            <w:tcMar>
              <w:top w:w="70" w:type="dxa"/>
              <w:start w:w="80" w:type="dxa"/>
              <w:bottom w:w="70" w:type="dxa"/>
              <w:end w:w="80" w:type="dxa"/>
            </w:tcMar>
            <w:vAlign w:val="top"/>
          </w:tcPr>
          <w:p>
            <w:pPr>
              <w:spacing w:after="0" w:line="240" w:lineRule="auto"/>
            </w:pPr>
            <w:r>
              <w:rPr>
                <w:rFonts w:ascii="Aptos" w:hAnsi="Aptos"/>
                <w:sz w:val="15"/>
              </w:rPr>
              <w:t>Allow multiple simultaneous legal processing flags rather than one mutually exclusive request class.</w:t>
            </w:r>
          </w:p>
        </w:tc>
        <w:tc>
          <w:tcPr>
            <w:tcW w:type="dxa" w:w="2232"/>
            <w:tcMar>
              <w:top w:w="70" w:type="dxa"/>
              <w:start w:w="80" w:type="dxa"/>
              <w:bottom w:w="70" w:type="dxa"/>
              <w:end w:w="80" w:type="dxa"/>
            </w:tcMar>
            <w:vAlign w:val="top"/>
          </w:tcPr>
          <w:p>
            <w:pPr>
              <w:spacing w:after="0" w:line="240" w:lineRule="auto"/>
            </w:pPr>
            <w:r>
              <w:rPr>
                <w:rFonts w:ascii="Aptos" w:hAnsi="Aptos"/>
                <w:sz w:val="15"/>
              </w:rPr>
              <w:t>Texas, Washington, Massachusetts</w:t>
            </w:r>
          </w:p>
        </w:tc>
      </w:tr>
      <w:tr>
        <w:trPr>
          <w:cantSplit/>
        </w:trPr>
        <w:tc>
          <w:tcPr>
            <w:tcW w:type="dxa" w:w="936"/>
            <w:shd w:fill="FAFCFE"/>
            <w:tcMar>
              <w:top w:w="70" w:type="dxa"/>
              <w:start w:w="80" w:type="dxa"/>
              <w:bottom w:w="70" w:type="dxa"/>
              <w:end w:w="80" w:type="dxa"/>
            </w:tcMar>
            <w:vAlign w:val="top"/>
          </w:tcPr>
          <w:p>
            <w:pPr>
              <w:spacing w:after="0" w:line="240" w:lineRule="auto"/>
            </w:pPr>
            <w:r>
              <w:rPr>
                <w:rFonts w:ascii="Aptos" w:hAnsi="Aptos"/>
                <w:sz w:val="15"/>
              </w:rPr>
              <w:t>S-004</w:t>
            </w:r>
          </w:p>
        </w:tc>
        <w:tc>
          <w:tcPr>
            <w:tcW w:type="dxa" w:w="7128"/>
            <w:shd w:fill="FAFCFE"/>
            <w:tcMar>
              <w:top w:w="70" w:type="dxa"/>
              <w:start w:w="80" w:type="dxa"/>
              <w:bottom w:w="70" w:type="dxa"/>
              <w:end w:w="80" w:type="dxa"/>
            </w:tcMar>
            <w:vAlign w:val="top"/>
          </w:tcPr>
          <w:p>
            <w:pPr>
              <w:spacing w:after="0" w:line="240" w:lineRule="auto"/>
            </w:pPr>
            <w:r>
              <w:rPr>
                <w:rFonts w:ascii="Aptos" w:hAnsi="Aptos"/>
                <w:sz w:val="15"/>
              </w:rPr>
              <w:t>Create a renewable commitment-date object with reason, approver, prior date, and replacement history.</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5"/>
              </w:rPr>
              <w:t>Nevada, New York</w:t>
            </w:r>
          </w:p>
        </w:tc>
      </w:tr>
      <w:tr>
        <w:trPr>
          <w:cantSplit/>
        </w:trPr>
        <w:tc>
          <w:tcPr>
            <w:tcW w:type="dxa" w:w="936"/>
            <w:tcMar>
              <w:top w:w="70" w:type="dxa"/>
              <w:start w:w="80" w:type="dxa"/>
              <w:bottom w:w="70" w:type="dxa"/>
              <w:end w:w="80" w:type="dxa"/>
            </w:tcMar>
            <w:vAlign w:val="top"/>
          </w:tcPr>
          <w:p>
            <w:pPr>
              <w:spacing w:after="0" w:line="240" w:lineRule="auto"/>
            </w:pPr>
            <w:r>
              <w:rPr>
                <w:rFonts w:ascii="Aptos" w:hAnsi="Aptos"/>
                <w:sz w:val="15"/>
              </w:rPr>
              <w:t>S-005</w:t>
            </w:r>
          </w:p>
        </w:tc>
        <w:tc>
          <w:tcPr>
            <w:tcW w:type="dxa" w:w="7128"/>
            <w:tcMar>
              <w:top w:w="70" w:type="dxa"/>
              <w:start w:w="80" w:type="dxa"/>
              <w:bottom w:w="70" w:type="dxa"/>
              <w:end w:w="80" w:type="dxa"/>
            </w:tcMar>
            <w:vAlign w:val="top"/>
          </w:tcPr>
          <w:p>
            <w:pPr>
              <w:spacing w:after="0" w:line="240" w:lineRule="auto"/>
            </w:pPr>
            <w:r>
              <w:rPr>
                <w:rFonts w:ascii="Aptos" w:hAnsi="Aptos"/>
                <w:sz w:val="15"/>
              </w:rPr>
              <w:t>Separate legal delivery mode (inspection/copies/electronic/installments) from workload class.</w:t>
            </w:r>
          </w:p>
        </w:tc>
        <w:tc>
          <w:tcPr>
            <w:tcW w:type="dxa" w:w="2232"/>
            <w:tcMar>
              <w:top w:w="70" w:type="dxa"/>
              <w:start w:w="80" w:type="dxa"/>
              <w:bottom w:w="70" w:type="dxa"/>
              <w:end w:w="80" w:type="dxa"/>
            </w:tcMar>
            <w:vAlign w:val="top"/>
          </w:tcPr>
          <w:p>
            <w:pPr>
              <w:spacing w:after="0" w:line="240" w:lineRule="auto"/>
            </w:pPr>
            <w:r>
              <w:rPr>
                <w:rFonts w:ascii="Aptos" w:hAnsi="Aptos"/>
                <w:sz w:val="15"/>
              </w:rPr>
              <w:t>Washington, Tennessee</w:t>
            </w:r>
          </w:p>
        </w:tc>
      </w:tr>
      <w:tr>
        <w:trPr>
          <w:cantSplit/>
        </w:trPr>
        <w:tc>
          <w:tcPr>
            <w:tcW w:type="dxa" w:w="936"/>
            <w:shd w:fill="FAFCFE"/>
            <w:tcMar>
              <w:top w:w="70" w:type="dxa"/>
              <w:start w:w="80" w:type="dxa"/>
              <w:bottom w:w="70" w:type="dxa"/>
              <w:end w:w="80" w:type="dxa"/>
            </w:tcMar>
            <w:vAlign w:val="top"/>
          </w:tcPr>
          <w:p>
            <w:pPr>
              <w:spacing w:after="0" w:line="240" w:lineRule="auto"/>
            </w:pPr>
            <w:r>
              <w:rPr>
                <w:rFonts w:ascii="Aptos" w:hAnsi="Aptos"/>
                <w:sz w:val="15"/>
              </w:rPr>
              <w:t>S-006</w:t>
            </w:r>
          </w:p>
        </w:tc>
        <w:tc>
          <w:tcPr>
            <w:tcW w:type="dxa" w:w="7128"/>
            <w:shd w:fill="FAFCFE"/>
            <w:tcMar>
              <w:top w:w="70" w:type="dxa"/>
              <w:start w:w="80" w:type="dxa"/>
              <w:bottom w:w="70" w:type="dxa"/>
              <w:end w:w="80" w:type="dxa"/>
            </w:tcMar>
            <w:vAlign w:val="top"/>
          </w:tcPr>
          <w:p>
            <w:pPr>
              <w:spacing w:after="0" w:line="240" w:lineRule="auto"/>
            </w:pPr>
            <w:r>
              <w:rPr>
                <w:rFonts w:ascii="Aptos" w:hAnsi="Aptos"/>
                <w:sz w:val="15"/>
              </w:rPr>
              <w:t>Add authority-scope metadata so state-agency regulations/guidance are not accidentally applied to cities.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5"/>
              </w:rPr>
              <w:t>Nevada, Washington</w:t>
            </w:r>
          </w:p>
        </w:tc>
      </w:tr>
      <w:tr>
        <w:trPr>
          <w:cantSplit/>
        </w:trPr>
        <w:tc>
          <w:tcPr>
            <w:tcW w:type="dxa" w:w="936"/>
            <w:tcMar>
              <w:top w:w="70" w:type="dxa"/>
              <w:start w:w="80" w:type="dxa"/>
              <w:bottom w:w="70" w:type="dxa"/>
              <w:end w:w="80" w:type="dxa"/>
            </w:tcMar>
            <w:vAlign w:val="top"/>
          </w:tcPr>
          <w:p>
            <w:pPr>
              <w:spacing w:after="0" w:line="240" w:lineRule="auto"/>
            </w:pPr>
            <w:r>
              <w:rPr>
                <w:rFonts w:ascii="Aptos" w:hAnsi="Aptos"/>
                <w:sz w:val="15"/>
              </w:rPr>
              <w:t>S-007</w:t>
            </w:r>
          </w:p>
        </w:tc>
        <w:tc>
          <w:tcPr>
            <w:tcW w:type="dxa" w:w="7128"/>
            <w:tcMar>
              <w:top w:w="70" w:type="dxa"/>
              <w:start w:w="80" w:type="dxa"/>
              <w:bottom w:w="70" w:type="dxa"/>
              <w:end w:w="80" w:type="dxa"/>
            </w:tcMar>
            <w:vAlign w:val="top"/>
          </w:tcPr>
          <w:p>
            <w:pPr>
              <w:spacing w:after="0" w:line="240" w:lineRule="auto"/>
            </w:pPr>
            <w:r>
              <w:rPr>
                <w:rFonts w:ascii="Aptos" w:hAnsi="Aptos"/>
                <w:sz w:val="15"/>
              </w:rPr>
              <w:t>Make fee eligibility conditional on procedural compliance where law imposes that consequence.</w:t>
            </w:r>
          </w:p>
        </w:tc>
        <w:tc>
          <w:tcPr>
            <w:tcW w:type="dxa" w:w="2232"/>
            <w:tcMar>
              <w:top w:w="70" w:type="dxa"/>
              <w:start w:w="80" w:type="dxa"/>
              <w:bottom w:w="70" w:type="dxa"/>
              <w:end w:w="80" w:type="dxa"/>
            </w:tcMar>
            <w:vAlign w:val="top"/>
          </w:tcPr>
          <w:p>
            <w:pPr>
              <w:spacing w:after="0" w:line="240" w:lineRule="auto"/>
            </w:pPr>
            <w:r>
              <w:rPr>
                <w:rFonts w:ascii="Aptos" w:hAnsi="Aptos"/>
                <w:sz w:val="15"/>
              </w:rPr>
              <w:t>Massachusetts</w:t>
            </w:r>
          </w:p>
        </w:tc>
      </w:tr>
      <w:tr>
        <w:trPr>
          <w:cantSplit/>
        </w:trPr>
        <w:tc>
          <w:tcPr>
            <w:tcW w:type="dxa" w:w="936"/>
            <w:shd w:fill="FAFCFE"/>
            <w:tcMar>
              <w:top w:w="70" w:type="dxa"/>
              <w:start w:w="80" w:type="dxa"/>
              <w:bottom w:w="70" w:type="dxa"/>
              <w:end w:w="80" w:type="dxa"/>
            </w:tcMar>
            <w:vAlign w:val="top"/>
          </w:tcPr>
          <w:p>
            <w:pPr>
              <w:spacing w:after="0" w:line="240" w:lineRule="auto"/>
            </w:pPr>
            <w:r>
              <w:rPr>
                <w:rFonts w:ascii="Aptos" w:hAnsi="Aptos"/>
                <w:sz w:val="15"/>
              </w:rPr>
              <w:t>S-008</w:t>
            </w:r>
          </w:p>
        </w:tc>
        <w:tc>
          <w:tcPr>
            <w:tcW w:type="dxa" w:w="7128"/>
            <w:shd w:fill="FAFCFE"/>
            <w:tcMar>
              <w:top w:w="70" w:type="dxa"/>
              <w:start w:w="80" w:type="dxa"/>
              <w:bottom w:w="70" w:type="dxa"/>
              <w:end w:w="80" w:type="dxa"/>
            </w:tcMar>
            <w:vAlign w:val="top"/>
          </w:tcPr>
          <w:p>
            <w:pPr>
              <w:spacing w:after="0" w:line="240" w:lineRule="auto"/>
            </w:pPr>
            <w:r>
              <w:rPr>
                <w:rFonts w:ascii="Aptos" w:hAnsi="Aptos"/>
                <w:sz w:val="15"/>
              </w:rPr>
              <w:t>Support external-review cases as linked subworkflows with independent timers and orders.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5"/>
              </w:rPr>
              <w:t>Texas, Arizona, Massachusetts</w:t>
            </w:r>
          </w:p>
        </w:tc>
      </w:tr>
      <w:tr>
        <w:trPr>
          <w:cantSplit/>
        </w:trPr>
        <w:tc>
          <w:tcPr>
            <w:tcW w:type="dxa" w:w="936"/>
            <w:tcMar>
              <w:top w:w="70" w:type="dxa"/>
              <w:start w:w="80" w:type="dxa"/>
              <w:bottom w:w="70" w:type="dxa"/>
              <w:end w:w="80" w:type="dxa"/>
            </w:tcMar>
            <w:vAlign w:val="top"/>
          </w:tcPr>
          <w:p>
            <w:pPr>
              <w:spacing w:after="0" w:line="240" w:lineRule="auto"/>
            </w:pPr>
            <w:r>
              <w:rPr>
                <w:rFonts w:ascii="Aptos" w:hAnsi="Aptos"/>
                <w:sz w:val="15"/>
              </w:rPr>
              <w:t>S-009</w:t>
            </w:r>
          </w:p>
        </w:tc>
        <w:tc>
          <w:tcPr>
            <w:tcW w:type="dxa" w:w="7128"/>
            <w:tcMar>
              <w:top w:w="70" w:type="dxa"/>
              <w:start w:w="80" w:type="dxa"/>
              <w:bottom w:w="70" w:type="dxa"/>
              <w:end w:w="80" w:type="dxa"/>
            </w:tcMar>
            <w:vAlign w:val="top"/>
          </w:tcPr>
          <w:p>
            <w:pPr>
              <w:spacing w:after="0" w:line="240" w:lineRule="auto"/>
            </w:pPr>
            <w:r>
              <w:rPr>
                <w:rFonts w:ascii="Aptos" w:hAnsi="Aptos"/>
                <w:sz w:val="15"/>
              </w:rPr>
              <w:t>Maintain a jurisdiction-specific receipt-channel registry and evidence of effective receipt.</w:t>
            </w:r>
          </w:p>
        </w:tc>
        <w:tc>
          <w:tcPr>
            <w:tcW w:type="dxa" w:w="2232"/>
            <w:tcMar>
              <w:top w:w="70" w:type="dxa"/>
              <w:start w:w="80" w:type="dxa"/>
              <w:bottom w:w="70" w:type="dxa"/>
              <w:end w:w="80" w:type="dxa"/>
            </w:tcMar>
            <w:vAlign w:val="top"/>
          </w:tcPr>
          <w:p>
            <w:pPr>
              <w:spacing w:after="0" w:line="240" w:lineRule="auto"/>
            </w:pPr>
            <w:r>
              <w:rPr>
                <w:rFonts w:ascii="Aptos" w:hAnsi="Aptos"/>
                <w:sz w:val="15"/>
              </w:rPr>
              <w:t>Texas, Arizona, Massachusetts</w:t>
            </w:r>
          </w:p>
        </w:tc>
      </w:tr>
      <w:tr>
        <w:trPr>
          <w:cantSplit/>
        </w:trPr>
        <w:tc>
          <w:tcPr>
            <w:tcW w:type="dxa" w:w="936"/>
            <w:shd w:fill="FAFCFE"/>
            <w:tcMar>
              <w:top w:w="70" w:type="dxa"/>
              <w:start w:w="80" w:type="dxa"/>
              <w:bottom w:w="70" w:type="dxa"/>
              <w:end w:w="80" w:type="dxa"/>
            </w:tcMar>
            <w:vAlign w:val="top"/>
          </w:tcPr>
          <w:p>
            <w:pPr>
              <w:spacing w:after="0" w:line="240" w:lineRule="auto"/>
            </w:pPr>
            <w:r>
              <w:rPr>
                <w:rFonts w:ascii="Aptos" w:hAnsi="Aptos"/>
                <w:sz w:val="15"/>
              </w:rPr>
              <w:t>S-010</w:t>
            </w:r>
          </w:p>
        </w:tc>
        <w:tc>
          <w:tcPr>
            <w:tcW w:type="dxa" w:w="7128"/>
            <w:shd w:fill="FAFCFE"/>
            <w:tcMar>
              <w:top w:w="70" w:type="dxa"/>
              <w:start w:w="80" w:type="dxa"/>
              <w:bottom w:w="70" w:type="dxa"/>
              <w:end w:w="80" w:type="dxa"/>
            </w:tcMar>
            <w:vAlign w:val="top"/>
          </w:tcPr>
          <w:p>
            <w:pPr>
              <w:spacing w:after="0" w:line="240" w:lineRule="auto"/>
            </w:pPr>
            <w:r>
              <w:rPr>
                <w:rFonts w:ascii="Aptos" w:hAnsi="Aptos"/>
                <w:sz w:val="15"/>
              </w:rPr>
              <w:t>Model requester nonresponse outcomes by event: clarification, estimate, deposit, installment, and pickup can have different rules.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5"/>
              </w:rPr>
              <w:t>Texas, Washington, Pennsylvania</w:t>
            </w:r>
          </w:p>
        </w:tc>
      </w:tr>
      <w:tr>
        <w:trPr>
          <w:cantSplit/>
        </w:trPr>
        <w:tc>
          <w:tcPr>
            <w:tcW w:type="dxa" w:w="936"/>
            <w:tcMar>
              <w:top w:w="70" w:type="dxa"/>
              <w:start w:w="80" w:type="dxa"/>
              <w:bottom w:w="70" w:type="dxa"/>
              <w:end w:w="80" w:type="dxa"/>
            </w:tcMar>
            <w:vAlign w:val="top"/>
          </w:tcPr>
          <w:p>
            <w:pPr>
              <w:spacing w:after="0" w:line="240" w:lineRule="auto"/>
            </w:pPr>
            <w:r>
              <w:rPr>
                <w:rFonts w:ascii="Aptos" w:hAnsi="Aptos"/>
                <w:sz w:val="15"/>
              </w:rPr>
              <w:t>S-011</w:t>
            </w:r>
          </w:p>
        </w:tc>
        <w:tc>
          <w:tcPr>
            <w:tcW w:type="dxa" w:w="7128"/>
            <w:tcMar>
              <w:top w:w="70" w:type="dxa"/>
              <w:start w:w="80" w:type="dxa"/>
              <w:bottom w:w="70" w:type="dxa"/>
              <w:end w:w="80" w:type="dxa"/>
            </w:tcMar>
            <w:vAlign w:val="top"/>
          </w:tcPr>
          <w:p>
            <w:pPr>
              <w:spacing w:after="0" w:line="240" w:lineRule="auto"/>
            </w:pPr>
            <w:r>
              <w:rPr>
                <w:rFonts w:ascii="Aptos" w:hAnsi="Aptos"/>
                <w:sz w:val="15"/>
              </w:rPr>
              <w:t>Store statutory classification, processing flag, and operational priority in separate data structures.</w:t>
            </w:r>
          </w:p>
        </w:tc>
        <w:tc>
          <w:tcPr>
            <w:tcW w:type="dxa" w:w="2232"/>
            <w:tcMar>
              <w:top w:w="70" w:type="dxa"/>
              <w:start w:w="80" w:type="dxa"/>
              <w:bottom w:w="70" w:type="dxa"/>
              <w:end w:w="80" w:type="dxa"/>
            </w:tcMar>
            <w:vAlign w:val="top"/>
          </w:tcPr>
          <w:p>
            <w:pPr>
              <w:spacing w:after="0" w:line="240" w:lineRule="auto"/>
            </w:pPr>
            <w:r>
              <w:rPr>
                <w:rFonts w:ascii="Aptos" w:hAnsi="Aptos"/>
                <w:sz w:val="15"/>
              </w:rPr>
              <w:t>All states</w:t>
            </w:r>
          </w:p>
        </w:tc>
      </w:tr>
      <w:tr>
        <w:trPr>
          <w:cantSplit/>
        </w:trPr>
        <w:tc>
          <w:tcPr>
            <w:tcW w:type="dxa" w:w="936"/>
            <w:shd w:fill="FAFCFE"/>
            <w:tcMar>
              <w:top w:w="70" w:type="dxa"/>
              <w:start w:w="80" w:type="dxa"/>
              <w:bottom w:w="70" w:type="dxa"/>
              <w:end w:w="80" w:type="dxa"/>
            </w:tcMar>
            <w:vAlign w:val="top"/>
          </w:tcPr>
          <w:p>
            <w:pPr>
              <w:spacing w:after="0" w:line="240" w:lineRule="auto"/>
            </w:pPr>
            <w:r>
              <w:rPr>
                <w:rFonts w:ascii="Aptos" w:hAnsi="Aptos"/>
                <w:sz w:val="15"/>
              </w:rPr>
              <w:t>S-012</w:t>
            </w:r>
          </w:p>
        </w:tc>
        <w:tc>
          <w:tcPr>
            <w:tcW w:type="dxa" w:w="7128"/>
            <w:shd w:fill="FAFCFE"/>
            <w:tcMar>
              <w:top w:w="70" w:type="dxa"/>
              <w:start w:w="80" w:type="dxa"/>
              <w:bottom w:w="70" w:type="dxa"/>
              <w:end w:w="80" w:type="dxa"/>
            </w:tcMar>
            <w:vAlign w:val="top"/>
          </w:tcPr>
          <w:p>
            <w:pPr>
              <w:spacing w:after="0" w:line="240" w:lineRule="auto"/>
            </w:pPr>
            <w:r>
              <w:rPr>
                <w:rFonts w:ascii="Aptos" w:hAnsi="Aptos"/>
                <w:sz w:val="15"/>
              </w:rPr>
              <w:t>Support an override object tied to a court/AG/Supervisor decision, with scope, effective date, and expiration.</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5"/>
              </w:rPr>
              <w:t>Texas, Massachusetts</w:t>
            </w:r>
          </w:p>
        </w:tc>
      </w:tr>
    </w:tbl>
    <w:p>
      <w:pPr>
        <w:pStyle w:val="Heading1"/>
      </w:pPr>
      <w:r>
        <w:t>Cross-state concepts exposed by the sample</w:t>
      </w:r>
    </w:p>
    <w:p>
      <w:pPr>
        <w:pStyle w:val="CompactList"/>
      </w:pPr>
      <w:r>
        <w:rPr>
          <w:b/>
        </w:rPr>
        <w:t xml:space="preserve">• </w:t>
      </w:r>
      <w:r>
        <w:t>Initial response can be a fixed deadline, a qualitative standard, or both.</w:t>
      </w:r>
    </w:p>
    <w:p>
      <w:pPr>
        <w:pStyle w:val="CompactList"/>
      </w:pPr>
      <w:r>
        <w:rPr>
          <w:b/>
        </w:rPr>
        <w:t xml:space="preserve">• </w:t>
      </w:r>
      <w:r>
        <w:t>Acknowledgment, determination, and production are distinct legal events.</w:t>
      </w:r>
    </w:p>
    <w:p>
      <w:pPr>
        <w:pStyle w:val="CompactList"/>
      </w:pPr>
      <w:r>
        <w:rPr>
          <w:b/>
        </w:rPr>
        <w:t xml:space="preserve">• </w:t>
      </w:r>
      <w:r>
        <w:t>Clarification may reset a named timer, satisfy an initial response, or have no express clock effect.</w:t>
      </w:r>
    </w:p>
    <w:p>
      <w:pPr>
        <w:pStyle w:val="CompactList"/>
      </w:pPr>
      <w:r>
        <w:rPr>
          <w:b/>
        </w:rPr>
        <w:t xml:space="preserve">• </w:t>
      </w:r>
      <w:r>
        <w:t>Fee estimates may be mandatory above a dollar threshold, mandatory on a resource trigger, mandatory in an extension notice, or entirely local policy.</w:t>
      </w:r>
    </w:p>
    <w:p>
      <w:pPr>
        <w:pStyle w:val="CompactList"/>
      </w:pPr>
      <w:r>
        <w:rPr>
          <w:b/>
        </w:rPr>
        <w:t xml:space="preserve">• </w:t>
      </w:r>
      <w:r>
        <w:t>Deposits may be capped by percentage, triggered by dollar amount, or left to local policy.</w:t>
      </w:r>
    </w:p>
    <w:p>
      <w:pPr>
        <w:pStyle w:val="CompactList"/>
      </w:pPr>
      <w:r>
        <w:rPr>
          <w:b/>
        </w:rPr>
        <w:t xml:space="preserve">• </w:t>
      </w:r>
      <w:r>
        <w:t>External review may precede withholding, extend time, authorize a fee, or review a denial.</w:t>
      </w:r>
    </w:p>
    <w:p>
      <w:pPr>
        <w:pStyle w:val="CompactList"/>
      </w:pPr>
      <w:r>
        <w:rPr>
          <w:b/>
        </w:rPr>
        <w:t xml:space="preserve">• </w:t>
      </w:r>
      <w:r>
        <w:t>Volume/redaction can be an extension ground, a fee condition, an installment trigger, or merely an operational workload factor.</w:t>
      </w:r>
    </w:p>
    <w:p>
      <w:pPr>
        <w:pStyle w:val="Heading1"/>
      </w:pPr>
      <w:r>
        <w:t>Pilot files</w:t>
      </w:r>
    </w:p>
    <w:p>
      <w:pPr>
        <w:pStyle w:val="CompactList"/>
      </w:pPr>
      <w:r>
        <w:rPr>
          <w:b/>
        </w:rPr>
        <w:t xml:space="preserve">• </w:t>
      </w:r>
      <w:r>
        <w:t>01_Texas_Open_Records_Workflow.docx</w:t>
      </w:r>
    </w:p>
    <w:p>
      <w:pPr>
        <w:pStyle w:val="CompactList"/>
      </w:pPr>
      <w:r>
        <w:rPr>
          <w:b/>
        </w:rPr>
        <w:t xml:space="preserve">• </w:t>
      </w:r>
      <w:r>
        <w:t>02_Nevada_Open_Records_Workflow.docx</w:t>
      </w:r>
    </w:p>
    <w:p>
      <w:pPr>
        <w:pStyle w:val="CompactList"/>
      </w:pPr>
      <w:r>
        <w:rPr>
          <w:b/>
        </w:rPr>
        <w:t xml:space="preserve">• </w:t>
      </w:r>
      <w:r>
        <w:t>03_Washington_Open_Records_Workflow.docx</w:t>
      </w:r>
    </w:p>
    <w:p>
      <w:pPr>
        <w:pStyle w:val="CompactList"/>
      </w:pPr>
      <w:r>
        <w:rPr>
          <w:b/>
        </w:rPr>
        <w:t xml:space="preserve">• </w:t>
      </w:r>
      <w:r>
        <w:t>04_Pennsylvania_Open_Records_Workflow.docx</w:t>
      </w:r>
    </w:p>
    <w:p>
      <w:pPr>
        <w:pStyle w:val="CompactList"/>
      </w:pPr>
      <w:r>
        <w:rPr>
          <w:b/>
        </w:rPr>
        <w:t xml:space="preserve">• </w:t>
      </w:r>
      <w:r>
        <w:t>05_Florida_Open_Records_Workflow.docx</w:t>
      </w:r>
    </w:p>
    <w:p>
      <w:pPr>
        <w:pStyle w:val="CompactList"/>
      </w:pPr>
      <w:r>
        <w:rPr>
          <w:b/>
        </w:rPr>
        <w:t xml:space="preserve">• </w:t>
      </w:r>
      <w:r>
        <w:t>06_California_Open_Records_Workflow.docx</w:t>
      </w:r>
    </w:p>
    <w:p>
      <w:pPr>
        <w:pStyle w:val="CompactList"/>
      </w:pPr>
      <w:r>
        <w:rPr>
          <w:b/>
        </w:rPr>
        <w:t xml:space="preserve">• </w:t>
      </w:r>
      <w:r>
        <w:t>07_New_York_Open_Records_Workflow.docx</w:t>
      </w:r>
    </w:p>
    <w:p>
      <w:pPr>
        <w:pStyle w:val="CompactList"/>
      </w:pPr>
      <w:r>
        <w:rPr>
          <w:b/>
        </w:rPr>
        <w:t xml:space="preserve">• </w:t>
      </w:r>
      <w:r>
        <w:t>08_Tennessee_Open_Records_Workflow.docx</w:t>
      </w:r>
    </w:p>
    <w:p>
      <w:pPr>
        <w:pStyle w:val="CompactList"/>
      </w:pPr>
      <w:r>
        <w:rPr>
          <w:b/>
        </w:rPr>
        <w:t xml:space="preserve">• </w:t>
      </w:r>
      <w:r>
        <w:t>09_Arizona_Open_Records_Workflow.docx</w:t>
      </w:r>
    </w:p>
    <w:p>
      <w:pPr>
        <w:pStyle w:val="CompactList"/>
      </w:pPr>
      <w:r>
        <w:rPr>
          <w:b/>
        </w:rPr>
        <w:t xml:space="preserve">• </w:t>
      </w:r>
      <w:r>
        <w:t>10_Massachusetts_Open_Records_Workflow.docx</w:t>
      </w: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00 Method &amp; Suggestions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