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2"/>
        </w:rPr>
        <w:t>Texas</w:t>
        <w:br/>
      </w:r>
      <w:r>
        <w:rPr>
          <w:color w:val="17365D"/>
          <w:sz w:val="34"/>
        </w:rPr>
        <w:t>Initial Public-Records Processing Workflow</w:t>
        <w:br/>
        <w:t>and Software Configuration Analysis</w:t>
      </w:r>
    </w:p>
    <w:p>
      <w:pPr>
        <w:jc w:val="center"/>
      </w:pPr>
      <w:r>
        <w:rPr>
          <w:i/>
          <w:color w:val="5A5A5A"/>
          <w:sz w:val="18"/>
        </w:rPr>
        <w:t>Pilot State 01 of 10 | City / municipal applicability | Research accessed July 22, 2026</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Scope: </w:t>
            </w:r>
            <w:r>
              <w:t>Texas Government Code chapter 552 applies to municipal governmental bodies. The analysis focuses on a written request received through a legally recognized channel and the city’s intake, clarification, withholding, fee, and initial production decisions.</w:t>
            </w:r>
          </w:p>
        </w:tc>
      </w:tr>
    </w:tbl>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Method: </w:t>
            </w:r>
            <w:r>
              <w:t>The same fixed method is used for all ten states. Each rule is separated into trigger, condition, action, communication, deadline, clock effect, and configuration source. A qualitative term such as 'prompt' or 'reasonable' is preserved as law and paired with a local-policy configuration field; no numeric value is invented.</w:t>
            </w:r>
          </w:p>
        </w:tc>
      </w:tr>
    </w:tbl>
    <w:p>
      <w:pPr>
        <w:pStyle w:val="Heading1"/>
      </w:pPr>
      <w:r>
        <w:t>Executive conclusions</w:t>
      </w:r>
    </w:p>
    <w:p>
      <w:pPr>
        <w:pStyle w:val="CompactList"/>
      </w:pPr>
      <w:r>
        <w:rPr>
          <w:b/>
        </w:rPr>
        <w:t xml:space="preserve">• </w:t>
      </w:r>
      <w:r>
        <w:t>Texas does not create a statewide “simple / complex” label, but it creates several legally distinct processing tracks: prompt release, no responsive records, previous determination, Attorney General decision, third-party notice, programming/customization, cost estimate, deposit, and frequent-requester time limits.</w:t>
      </w:r>
    </w:p>
    <w:p>
      <w:pPr>
        <w:pStyle w:val="CompactList"/>
      </w:pPr>
      <w:r>
        <w:rPr>
          <w:b/>
        </w:rPr>
        <w:t xml:space="preserve">• </w:t>
      </w:r>
      <w:r>
        <w:t>The city must produce public information promptly. If production will exceed ten business days, the public-information officer must certify that fact in writing and state a reasonable date and hour when it will be available.</w:t>
      </w:r>
    </w:p>
    <w:p>
      <w:pPr>
        <w:pStyle w:val="CompactList"/>
      </w:pPr>
      <w:r>
        <w:rPr>
          <w:b/>
        </w:rPr>
        <w:t xml:space="preserve">• </w:t>
      </w:r>
      <w:r>
        <w:t>Withholding that lacks a statutory self-redaction authority or previous determination normally activates the Attorney General track: request a decision and notify the requester by the 10th business day; submit the required record and legal package by the 15th business day.</w:t>
      </w:r>
    </w:p>
    <w:p>
      <w:pPr>
        <w:pStyle w:val="CompactList"/>
      </w:pPr>
      <w:r>
        <w:rPr>
          <w:b/>
        </w:rPr>
        <w:t xml:space="preserve">• </w:t>
      </w:r>
      <w:r>
        <w:t>A good-faith clarification request can change the measurement point for the Attorney General deadline. If the requester does not answer a properly warned clarification or narrowing request in writing by day 61, the request is treated as withdrawn.</w:t>
      </w:r>
    </w:p>
    <w:p>
      <w:pPr>
        <w:pStyle w:val="CompactList"/>
      </w:pPr>
      <w:r>
        <w:rPr>
          <w:b/>
        </w:rPr>
        <w:t xml:space="preserve">• </w:t>
      </w:r>
      <w:r>
        <w:t>Fee logic is highly structured: an itemized estimate is required above $40; deposits are authorized above specified thresholds; programming/customization has a separate notice and requester-election workflow.</w:t>
      </w:r>
    </w:p>
    <w:p>
      <w:pPr>
        <w:pStyle w:val="Heading2"/>
      </w:pPr>
      <w:r>
        <w:t>Configuration-source legend</w:t>
      </w:r>
    </w:p>
    <w:tbl>
      <w:tblPr>
        <w:tblStyle w:val="TableGrid"/>
        <w:tblW w:type="auto" w:w="0"/>
        <w:jc w:val="center"/>
        <w:tblLayout w:type="fixed"/>
        <w:tblLook w:firstColumn="1" w:firstRow="1" w:lastColumn="0" w:lastRow="0" w:noHBand="0" w:noVBand="1" w:val="04A0"/>
      </w:tblPr>
      <w:tblGrid>
        <w:gridCol w:w="5227"/>
        <w:gridCol w:w="5227"/>
      </w:tblGrid>
      <w:tr>
        <w:trPr>
          <w:tblHeader w:val="true"/>
          <w:cantSplit/>
        </w:trPr>
        <w:tc>
          <w:tcPr>
            <w:tcW w:type="dxa" w:w="2088"/>
            <w:shd w:fill="17365D"/>
            <w:tcMar>
              <w:top w:w="70" w:type="dxa"/>
              <w:start w:w="80" w:type="dxa"/>
              <w:bottom w:w="70" w:type="dxa"/>
              <w:end w:w="80" w:type="dxa"/>
            </w:tcMar>
          </w:tcPr>
          <w:p>
            <w:pPr>
              <w:spacing w:after="0"/>
              <w:jc w:val="left"/>
            </w:pPr>
            <w:r>
              <w:rPr>
                <w:b/>
                <w:color w:val="FFFFFF"/>
                <w:sz w:val="16"/>
              </w:rPr>
              <w:t>Source type</w:t>
            </w:r>
          </w:p>
        </w:tc>
        <w:tc>
          <w:tcPr>
            <w:tcW w:type="dxa" w:w="8063"/>
            <w:shd w:fill="17365D"/>
            <w:tcMar>
              <w:top w:w="70" w:type="dxa"/>
              <w:start w:w="80" w:type="dxa"/>
              <w:bottom w:w="70" w:type="dxa"/>
              <w:end w:w="80" w:type="dxa"/>
            </w:tcMar>
          </w:tcPr>
          <w:p>
            <w:pPr>
              <w:spacing w:after="0"/>
              <w:jc w:val="left"/>
            </w:pPr>
            <w:r>
              <w:rPr>
                <w:b/>
                <w:color w:val="FFFFFF"/>
                <w:sz w:val="16"/>
              </w:rPr>
              <w:t>Meaning</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Statutory / statewide</w:t>
            </w:r>
          </w:p>
        </w:tc>
        <w:tc>
          <w:tcPr>
            <w:tcW w:type="dxa" w:w="8063"/>
            <w:tcMar>
              <w:top w:w="70" w:type="dxa"/>
              <w:start w:w="80" w:type="dxa"/>
              <w:bottom w:w="70" w:type="dxa"/>
              <w:end w:w="80" w:type="dxa"/>
            </w:tcMar>
            <w:vAlign w:val="top"/>
          </w:tcPr>
          <w:p>
            <w:pPr>
              <w:spacing w:after="0" w:line="240" w:lineRule="auto"/>
            </w:pPr>
            <w:r>
              <w:rPr>
                <w:rFonts w:ascii="Aptos" w:hAnsi="Aptos"/>
                <w:sz w:val="16"/>
              </w:rPr>
              <w:t>A value or rule supplied by binding statewide law or generally applicable regulation.</w:t>
            </w:r>
          </w:p>
        </w:tc>
      </w:tr>
      <w:tr>
        <w:trPr>
          <w:cantSplit/>
        </w:trPr>
        <w:tc>
          <w:tcPr>
            <w:tcW w:type="dxa" w:w="2088"/>
            <w:shd w:fill="FAFCFE"/>
            <w:tcMar>
              <w:top w:w="70" w:type="dxa"/>
              <w:start w:w="80" w:type="dxa"/>
              <w:bottom w:w="70" w:type="dxa"/>
              <w:end w:w="80" w:type="dxa"/>
            </w:tcMar>
            <w:vAlign w:val="top"/>
          </w:tcPr>
          <w:p>
            <w:pPr>
              <w:spacing w:after="0" w:line="240" w:lineRule="auto"/>
            </w:pPr>
            <w:r>
              <w:rPr>
                <w:rFonts w:ascii="Aptos" w:hAnsi="Aptos"/>
                <w:sz w:val="16"/>
              </w:rPr>
              <w:t>Jurisdiction policy</w:t>
            </w:r>
          </w:p>
        </w:tc>
        <w:tc>
          <w:tcPr>
            <w:tcW w:type="dxa" w:w="8063"/>
            <w:shd w:fill="FAFCFE"/>
            <w:tcMar>
              <w:top w:w="70" w:type="dxa"/>
              <w:start w:w="80" w:type="dxa"/>
              <w:bottom w:w="70" w:type="dxa"/>
              <w:end w:w="80" w:type="dxa"/>
            </w:tcMar>
            <w:vAlign w:val="top"/>
          </w:tcPr>
          <w:p>
            <w:pPr>
              <w:spacing w:after="0" w:line="240" w:lineRule="auto"/>
            </w:pPr>
            <w:r>
              <w:rPr>
                <w:rFonts w:ascii="Aptos" w:hAnsi="Aptos"/>
                <w:sz w:val="16"/>
              </w:rPr>
              <w:t>The state leaves a number, standard, workflow choice, rate, or notice practice to the city.</w:t>
            </w:r>
          </w:p>
        </w:tc>
      </w:tr>
      <w:tr>
        <w:trPr>
          <w:cantSplit/>
        </w:trPr>
        <w:tc>
          <w:tcPr>
            <w:tcW w:type="dxa" w:w="2088"/>
            <w:tcMar>
              <w:top w:w="70" w:type="dxa"/>
              <w:start w:w="80" w:type="dxa"/>
              <w:bottom w:w="70" w:type="dxa"/>
              <w:end w:w="80" w:type="dxa"/>
            </w:tcMar>
            <w:vAlign w:val="top"/>
          </w:tcPr>
          <w:p>
            <w:pPr>
              <w:spacing w:after="0" w:line="240" w:lineRule="auto"/>
            </w:pPr>
            <w:r>
              <w:rPr>
                <w:rFonts w:ascii="Aptos" w:hAnsi="Aptos"/>
                <w:sz w:val="16"/>
              </w:rPr>
              <w:t>Operational</w:t>
            </w:r>
          </w:p>
        </w:tc>
        <w:tc>
          <w:tcPr>
            <w:tcW w:type="dxa" w:w="8063"/>
            <w:tcMar>
              <w:top w:w="70" w:type="dxa"/>
              <w:start w:w="80" w:type="dxa"/>
              <w:bottom w:w="70" w:type="dxa"/>
              <w:end w:w="80" w:type="dxa"/>
            </w:tcMar>
            <w:vAlign w:val="top"/>
          </w:tcPr>
          <w:p>
            <w:pPr>
              <w:spacing w:after="0" w:line="240" w:lineRule="auto"/>
            </w:pPr>
            <w:r>
              <w:rPr>
                <w:rFonts w:ascii="Aptos" w:hAnsi="Aptos"/>
                <w:sz w:val="16"/>
              </w:rPr>
              <w:t>A workload-management choice that does not itself alter legal rights or deadlines.</w:t>
            </w:r>
          </w:p>
        </w:tc>
      </w:tr>
    </w:tbl>
    <w:p>
      <w:pPr>
        <w:pStyle w:val="Heading1"/>
      </w:pPr>
      <w:r>
        <w:t>1. Intake and initial legal review</w:t>
      </w:r>
    </w:p>
    <w:p>
      <w:pPr>
        <w:pStyle w:val="CompactList"/>
      </w:pPr>
      <w:r>
        <w:rPr>
          <w:b/>
        </w:rPr>
        <w:t xml:space="preserve">• </w:t>
      </w:r>
      <w:r>
        <w:t>Validate that the request is written and received by the public-information officer, a designee, or through an address or submission method designated under Tex. Gov’t Code §552.234. Store the legally effective receipt timestamp and business calendar.</w:t>
      </w:r>
    </w:p>
    <w:p>
      <w:pPr>
        <w:pStyle w:val="CompactList"/>
      </w:pPr>
      <w:r>
        <w:rPr>
          <w:b/>
        </w:rPr>
        <w:t xml:space="preserve">• </w:t>
      </w:r>
      <w:r>
        <w:t>Determine whether the request seeks existing information. The Act does not require answering questions, performing legal research, or creating new information, although existing electronic data may require a programming analysis.</w:t>
      </w:r>
    </w:p>
    <w:p>
      <w:pPr>
        <w:pStyle w:val="CompactList"/>
      </w:pPr>
      <w:r>
        <w:rPr>
          <w:b/>
        </w:rPr>
        <w:t xml:space="preserve">• </w:t>
      </w:r>
      <w:r>
        <w:t>At intake, route to one or more legal processing flags: readily releasable; clarification required; no responsive information; previous determination; Attorney General decision required; third-party proprietary interest; programming/customization; estimate/deposit; or frequent-requester personnel-time limit.</w:t>
      </w:r>
    </w:p>
    <w:p>
      <w:pPr>
        <w:pStyle w:val="CompactList"/>
      </w:pPr>
      <w:r>
        <w:rPr>
          <w:b/>
        </w:rPr>
        <w:t xml:space="preserve">• </w:t>
      </w:r>
      <w:r>
        <w:t>Document whether requested information is in city custody or is public information maintained on a personal device or account in connection with official business.</w:t>
      </w:r>
    </w:p>
    <w:p>
      <w:pPr>
        <w:pStyle w:val="Heading1"/>
      </w:pPr>
      <w:r>
        <w:t>2. Deadline and required-communication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1872"/>
            <w:shd w:fill="17365D"/>
            <w:tcMar>
              <w:top w:w="70" w:type="dxa"/>
              <w:start w:w="80" w:type="dxa"/>
              <w:bottom w:w="70" w:type="dxa"/>
              <w:end w:w="80" w:type="dxa"/>
            </w:tcMar>
          </w:tcPr>
          <w:p>
            <w:pPr>
              <w:spacing w:after="0"/>
              <w:jc w:val="left"/>
            </w:pPr>
            <w:r>
              <w:rPr>
                <w:b/>
                <w:color w:val="FFFFFF"/>
                <w:sz w:val="15"/>
              </w:rPr>
              <w:t>Trigger / deadline</w:t>
            </w:r>
          </w:p>
        </w:tc>
        <w:tc>
          <w:tcPr>
            <w:tcW w:type="dxa" w:w="4752"/>
            <w:shd w:fill="17365D"/>
            <w:tcMar>
              <w:top w:w="70" w:type="dxa"/>
              <w:start w:w="80" w:type="dxa"/>
              <w:bottom w:w="70" w:type="dxa"/>
              <w:end w:w="80" w:type="dxa"/>
            </w:tcMar>
          </w:tcPr>
          <w:p>
            <w:pPr>
              <w:spacing w:after="0"/>
              <w:jc w:val="left"/>
            </w:pPr>
            <w:r>
              <w:rPr>
                <w:b/>
                <w:color w:val="FFFFFF"/>
                <w:sz w:val="15"/>
              </w:rPr>
              <w:t>Required outcome or communication</w:t>
            </w:r>
          </w:p>
        </w:tc>
        <w:tc>
          <w:tcPr>
            <w:tcW w:type="dxa" w:w="1655"/>
            <w:shd w:fill="17365D"/>
            <w:tcMar>
              <w:top w:w="70" w:type="dxa"/>
              <w:start w:w="80" w:type="dxa"/>
              <w:bottom w:w="70" w:type="dxa"/>
              <w:end w:w="80" w:type="dxa"/>
            </w:tcMar>
          </w:tcPr>
          <w:p>
            <w:pPr>
              <w:spacing w:after="0"/>
              <w:jc w:val="left"/>
            </w:pPr>
            <w:r>
              <w:rPr>
                <w:b/>
                <w:color w:val="FFFFFF"/>
                <w:sz w:val="15"/>
              </w:rPr>
              <w:t>Clock effect</w:t>
            </w:r>
          </w:p>
        </w:tc>
        <w:tc>
          <w:tcPr>
            <w:tcW w:type="dxa" w:w="1872"/>
            <w:shd w:fill="17365D"/>
            <w:tcMar>
              <w:top w:w="70" w:type="dxa"/>
              <w:start w:w="80" w:type="dxa"/>
              <w:bottom w:w="70" w:type="dxa"/>
              <w:end w:w="80" w:type="dxa"/>
            </w:tcMar>
          </w:tcPr>
          <w:p>
            <w:pPr>
              <w:spacing w:after="0"/>
              <w:jc w:val="left"/>
            </w:pPr>
            <w:r>
              <w:rPr>
                <w:b/>
                <w:color w:val="FFFFFF"/>
                <w:sz w:val="15"/>
              </w:rPr>
              <w:t>Source</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Promptly; if &gt;10 business days</w:t>
            </w:r>
          </w:p>
        </w:tc>
        <w:tc>
          <w:tcPr>
            <w:tcW w:type="dxa" w:w="4752"/>
            <w:tcMar>
              <w:top w:w="70" w:type="dxa"/>
              <w:start w:w="80" w:type="dxa"/>
              <w:bottom w:w="70" w:type="dxa"/>
              <w:end w:w="80" w:type="dxa"/>
            </w:tcMar>
            <w:vAlign w:val="top"/>
          </w:tcPr>
          <w:p>
            <w:pPr>
              <w:spacing w:after="0" w:line="240" w:lineRule="auto"/>
            </w:pPr>
            <w:r>
              <w:rPr>
                <w:rFonts w:ascii="Aptos" w:hAnsi="Aptos"/>
                <w:sz w:val="15"/>
              </w:rPr>
              <w:t>Produce promptly. If not possible within 10 business days, send written certification stating a reasonable date and hour for availability.</w:t>
            </w:r>
          </w:p>
        </w:tc>
        <w:tc>
          <w:tcPr>
            <w:tcW w:type="dxa" w:w="1655"/>
            <w:tcMar>
              <w:top w:w="70" w:type="dxa"/>
              <w:start w:w="80" w:type="dxa"/>
              <w:bottom w:w="70" w:type="dxa"/>
              <w:end w:w="80" w:type="dxa"/>
            </w:tcMar>
            <w:vAlign w:val="top"/>
          </w:tcPr>
          <w:p>
            <w:pPr>
              <w:spacing w:after="0" w:line="240" w:lineRule="auto"/>
            </w:pPr>
            <w:r>
              <w:rPr>
                <w:rFonts w:ascii="Aptos" w:hAnsi="Aptos"/>
                <w:sz w:val="15"/>
              </w:rPr>
              <w:t>Production timer remains active.</w:t>
            </w:r>
          </w:p>
        </w:tc>
        <w:tc>
          <w:tcPr>
            <w:tcW w:type="dxa" w:w="1872"/>
            <w:tcMar>
              <w:top w:w="70" w:type="dxa"/>
              <w:start w:w="80" w:type="dxa"/>
              <w:bottom w:w="70" w:type="dxa"/>
              <w:end w:w="80" w:type="dxa"/>
            </w:tcMar>
            <w:vAlign w:val="top"/>
          </w:tcPr>
          <w:p>
            <w:pPr>
              <w:spacing w:after="0" w:line="240" w:lineRule="auto"/>
            </w:pPr>
            <w:r>
              <w:rPr>
                <w:rFonts w:ascii="Aptos" w:hAnsi="Aptos"/>
                <w:sz w:val="15"/>
              </w:rPr>
              <w:t>§552.221</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10th business day</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If no responsive information exists, notify requester in writing. If relying on a previous determination, notify requester in writing.</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Completes that response branch.</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§552.221(f)-(g)</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10th business day</w:t>
            </w:r>
          </w:p>
        </w:tc>
        <w:tc>
          <w:tcPr>
            <w:tcW w:type="dxa" w:w="4752"/>
            <w:tcMar>
              <w:top w:w="70" w:type="dxa"/>
              <w:start w:w="80" w:type="dxa"/>
              <w:bottom w:w="70" w:type="dxa"/>
              <w:end w:w="80" w:type="dxa"/>
            </w:tcMar>
            <w:vAlign w:val="top"/>
          </w:tcPr>
          <w:p>
            <w:pPr>
              <w:spacing w:after="0" w:line="240" w:lineRule="auto"/>
            </w:pPr>
            <w:r>
              <w:rPr>
                <w:rFonts w:ascii="Aptos" w:hAnsi="Aptos"/>
                <w:sz w:val="15"/>
              </w:rPr>
              <w:t>Request Attorney General decision; notify requester in writing and provide required copy of the request/statement.</w:t>
            </w:r>
          </w:p>
        </w:tc>
        <w:tc>
          <w:tcPr>
            <w:tcW w:type="dxa" w:w="1655"/>
            <w:tcMar>
              <w:top w:w="70" w:type="dxa"/>
              <w:start w:w="80" w:type="dxa"/>
              <w:bottom w:w="70" w:type="dxa"/>
              <w:end w:w="80" w:type="dxa"/>
            </w:tcMar>
            <w:vAlign w:val="top"/>
          </w:tcPr>
          <w:p>
            <w:pPr>
              <w:spacing w:after="0" w:line="240" w:lineRule="auto"/>
            </w:pPr>
            <w:r>
              <w:rPr>
                <w:rFonts w:ascii="Aptos" w:hAnsi="Aptos"/>
                <w:sz w:val="15"/>
              </w:rPr>
              <w:t>Starts AG subworkflow.</w:t>
            </w:r>
          </w:p>
        </w:tc>
        <w:tc>
          <w:tcPr>
            <w:tcW w:type="dxa" w:w="1872"/>
            <w:tcMar>
              <w:top w:w="70" w:type="dxa"/>
              <w:start w:w="80" w:type="dxa"/>
              <w:bottom w:w="70" w:type="dxa"/>
              <w:end w:w="80" w:type="dxa"/>
            </w:tcMar>
            <w:vAlign w:val="top"/>
          </w:tcPr>
          <w:p>
            <w:pPr>
              <w:spacing w:after="0" w:line="240" w:lineRule="auto"/>
            </w:pPr>
            <w:r>
              <w:rPr>
                <w:rFonts w:ascii="Aptos" w:hAnsi="Aptos"/>
                <w:sz w:val="15"/>
              </w:rPr>
              <w:t>§552.301(b),(d)</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15th business day</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Submit comments, request, receipt evidence, and records/sample to AG; copy comments to requester with protected substance redacted.</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AG review pending.</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§552.301(e),(e-1)</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10th business day</w:t>
            </w:r>
          </w:p>
        </w:tc>
        <w:tc>
          <w:tcPr>
            <w:tcW w:type="dxa" w:w="4752"/>
            <w:tcMar>
              <w:top w:w="70" w:type="dxa"/>
              <w:start w:w="80" w:type="dxa"/>
              <w:bottom w:w="70" w:type="dxa"/>
              <w:end w:w="80" w:type="dxa"/>
            </w:tcMar>
            <w:vAlign w:val="top"/>
          </w:tcPr>
          <w:p>
            <w:pPr>
              <w:spacing w:after="0" w:line="240" w:lineRule="auto"/>
            </w:pPr>
            <w:r>
              <w:rPr>
                <w:rFonts w:ascii="Aptos" w:hAnsi="Aptos"/>
                <w:sz w:val="15"/>
              </w:rPr>
              <w:t>Notify an interested third party whose proprietary/privacy interests may be implicated and provide the prescribed opportunity to submit arguments.</w:t>
            </w:r>
          </w:p>
        </w:tc>
        <w:tc>
          <w:tcPr>
            <w:tcW w:type="dxa" w:w="1655"/>
            <w:tcMar>
              <w:top w:w="70" w:type="dxa"/>
              <w:start w:w="80" w:type="dxa"/>
              <w:bottom w:w="70" w:type="dxa"/>
              <w:end w:w="80" w:type="dxa"/>
            </w:tcMar>
            <w:vAlign w:val="top"/>
          </w:tcPr>
          <w:p>
            <w:pPr>
              <w:spacing w:after="0" w:line="240" w:lineRule="auto"/>
            </w:pPr>
            <w:r>
              <w:rPr>
                <w:rFonts w:ascii="Aptos" w:hAnsi="Aptos"/>
                <w:sz w:val="15"/>
              </w:rPr>
              <w:t>Parallel third-party timer.</w:t>
            </w:r>
          </w:p>
        </w:tc>
        <w:tc>
          <w:tcPr>
            <w:tcW w:type="dxa" w:w="1872"/>
            <w:tcMar>
              <w:top w:w="70" w:type="dxa"/>
              <w:start w:w="80" w:type="dxa"/>
              <w:bottom w:w="70" w:type="dxa"/>
              <w:end w:w="80" w:type="dxa"/>
            </w:tcMar>
            <w:vAlign w:val="top"/>
          </w:tcPr>
          <w:p>
            <w:pPr>
              <w:spacing w:after="0" w:line="240" w:lineRule="auto"/>
            </w:pPr>
            <w:r>
              <w:rPr>
                <w:rFonts w:ascii="Aptos" w:hAnsi="Aptos"/>
                <w:sz w:val="15"/>
              </w:rPr>
              <w:t>§552.305(d)</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Estimate &gt;$40</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Send itemized cost estimate and less-costly alternatives before exceeding the estimate workflow. Requester has 10 business days to accept, modify, or complain.</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Await requester; nonresponse = withdrawn.</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§552.2615</w:t>
            </w:r>
          </w:p>
        </w:tc>
      </w:tr>
      <w:tr>
        <w:trPr>
          <w:cantSplit/>
        </w:trPr>
        <w:tc>
          <w:tcPr>
            <w:tcW w:type="dxa" w:w="1872"/>
            <w:tcMar>
              <w:top w:w="70" w:type="dxa"/>
              <w:start w:w="80" w:type="dxa"/>
              <w:bottom w:w="70" w:type="dxa"/>
              <w:end w:w="80" w:type="dxa"/>
            </w:tcMar>
            <w:vAlign w:val="top"/>
          </w:tcPr>
          <w:p>
            <w:pPr>
              <w:spacing w:after="0" w:line="240" w:lineRule="auto"/>
            </w:pPr>
            <w:r>
              <w:rPr>
                <w:rFonts w:ascii="Aptos" w:hAnsi="Aptos"/>
                <w:sz w:val="15"/>
              </w:rPr>
              <w:t>Programming notice</w:t>
            </w:r>
          </w:p>
        </w:tc>
        <w:tc>
          <w:tcPr>
            <w:tcW w:type="dxa" w:w="4752"/>
            <w:tcMar>
              <w:top w:w="70" w:type="dxa"/>
              <w:start w:w="80" w:type="dxa"/>
              <w:bottom w:w="70" w:type="dxa"/>
              <w:end w:w="80" w:type="dxa"/>
            </w:tcMar>
            <w:vAlign w:val="top"/>
          </w:tcPr>
          <w:p>
            <w:pPr>
              <w:spacing w:after="0" w:line="240" w:lineRule="auto"/>
            </w:pPr>
            <w:r>
              <w:rPr>
                <w:rFonts w:ascii="Aptos" w:hAnsi="Aptos"/>
                <w:sz w:val="15"/>
              </w:rPr>
              <w:t>Within 20 days, or 30 days with timely extension notice, provide cost/time statement and available alternatives.</w:t>
            </w:r>
          </w:p>
        </w:tc>
        <w:tc>
          <w:tcPr>
            <w:tcW w:type="dxa" w:w="1655"/>
            <w:tcMar>
              <w:top w:w="70" w:type="dxa"/>
              <w:start w:w="80" w:type="dxa"/>
              <w:bottom w:w="70" w:type="dxa"/>
              <w:end w:w="80" w:type="dxa"/>
            </w:tcMar>
            <w:vAlign w:val="top"/>
          </w:tcPr>
          <w:p>
            <w:pPr>
              <w:spacing w:after="0" w:line="240" w:lineRule="auto"/>
            </w:pPr>
            <w:r>
              <w:rPr>
                <w:rFonts w:ascii="Aptos" w:hAnsi="Aptos"/>
                <w:sz w:val="15"/>
              </w:rPr>
              <w:t>Await election up to 30 days.</w:t>
            </w:r>
          </w:p>
        </w:tc>
        <w:tc>
          <w:tcPr>
            <w:tcW w:type="dxa" w:w="1872"/>
            <w:tcMar>
              <w:top w:w="70" w:type="dxa"/>
              <w:start w:w="80" w:type="dxa"/>
              <w:bottom w:w="70" w:type="dxa"/>
              <w:end w:w="80" w:type="dxa"/>
            </w:tcMar>
            <w:vAlign w:val="top"/>
          </w:tcPr>
          <w:p>
            <w:pPr>
              <w:spacing w:after="0" w:line="240" w:lineRule="auto"/>
            </w:pPr>
            <w:r>
              <w:rPr>
                <w:rFonts w:ascii="Aptos" w:hAnsi="Aptos"/>
                <w:sz w:val="15"/>
              </w:rPr>
              <w:t>§552.231</w:t>
            </w:r>
          </w:p>
        </w:tc>
      </w:tr>
      <w:tr>
        <w:trPr>
          <w:cantSplit/>
        </w:trPr>
        <w:tc>
          <w:tcPr>
            <w:tcW w:type="dxa" w:w="1872"/>
            <w:shd w:fill="FAFCFE"/>
            <w:tcMar>
              <w:top w:w="70" w:type="dxa"/>
              <w:start w:w="80" w:type="dxa"/>
              <w:bottom w:w="70" w:type="dxa"/>
              <w:end w:w="80" w:type="dxa"/>
            </w:tcMar>
            <w:vAlign w:val="top"/>
          </w:tcPr>
          <w:p>
            <w:pPr>
              <w:spacing w:after="0" w:line="240" w:lineRule="auto"/>
            </w:pPr>
            <w:r>
              <w:rPr>
                <w:rFonts w:ascii="Aptos" w:hAnsi="Aptos"/>
                <w:sz w:val="15"/>
              </w:rPr>
              <w:t>Clarification requested</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For a good-faith unclear/overbroad request, the §552.301 deadline is measured from receipt of the written clarification. Proper warning supports withdrawal after 61 days without response.</w:t>
            </w:r>
          </w:p>
        </w:tc>
        <w:tc>
          <w:tcPr>
            <w:tcW w:type="dxa" w:w="1655"/>
            <w:shd w:fill="FAFCFE"/>
            <w:tcMar>
              <w:top w:w="70" w:type="dxa"/>
              <w:start w:w="80" w:type="dxa"/>
              <w:bottom w:w="70" w:type="dxa"/>
              <w:end w:w="80" w:type="dxa"/>
            </w:tcMar>
            <w:vAlign w:val="top"/>
          </w:tcPr>
          <w:p>
            <w:pPr>
              <w:spacing w:after="0" w:line="240" w:lineRule="auto"/>
            </w:pPr>
            <w:r>
              <w:rPr>
                <w:rFonts w:ascii="Aptos" w:hAnsi="Aptos"/>
                <w:sz w:val="15"/>
              </w:rPr>
              <w:t>Targeted reset; not a universal clock pause.</w:t>
            </w:r>
          </w:p>
        </w:tc>
        <w:tc>
          <w:tcPr>
            <w:tcW w:type="dxa" w:w="1872"/>
            <w:shd w:fill="FAFCFE"/>
            <w:tcMar>
              <w:top w:w="70" w:type="dxa"/>
              <w:start w:w="80" w:type="dxa"/>
              <w:bottom w:w="70" w:type="dxa"/>
              <w:end w:w="80" w:type="dxa"/>
            </w:tcMar>
            <w:vAlign w:val="top"/>
          </w:tcPr>
          <w:p>
            <w:pPr>
              <w:spacing w:after="0" w:line="240" w:lineRule="auto"/>
            </w:pPr>
            <w:r>
              <w:rPr>
                <w:rFonts w:ascii="Aptos" w:hAnsi="Aptos"/>
                <w:sz w:val="15"/>
              </w:rPr>
              <w:t>§552.222</w:t>
            </w:r>
          </w:p>
        </w:tc>
      </w:tr>
    </w:tbl>
    <w:p>
      <w:pPr>
        <w:pStyle w:val="Heading1"/>
      </w:pPr>
      <w:r>
        <w:t>3. Vague, unclear, or overly broad requests</w:t>
      </w:r>
    </w:p>
    <w:p>
      <w:pPr>
        <w:pStyle w:val="CompactList"/>
      </w:pPr>
      <w:r>
        <w:rPr>
          <w:b/>
        </w:rPr>
        <w:t xml:space="preserve">• </w:t>
      </w:r>
      <w:r>
        <w:t>If the request is unclear, the city may ask the requester to clarify what information is sought. If a large amount of information is requested, the city may discuss narrowing the request, but may not inquire into the requester’s purpose except where another law authorizes it.</w:t>
      </w:r>
    </w:p>
    <w:p>
      <w:pPr>
        <w:pStyle w:val="CompactList"/>
      </w:pPr>
      <w:r>
        <w:rPr>
          <w:b/>
        </w:rPr>
        <w:t xml:space="preserve">• </w:t>
      </w:r>
      <w:r>
        <w:t>The clarification communication should identify the ambiguity, request a written response, and include the statutory warning that failure to respond in writing by the 61st day will result in the request being considered withdrawn.</w:t>
      </w:r>
    </w:p>
    <w:p>
      <w:pPr>
        <w:pStyle w:val="CompactList"/>
      </w:pPr>
      <w:r>
        <w:rPr>
          <w:b/>
        </w:rPr>
        <w:t xml:space="preserve">• </w:t>
      </w:r>
      <w:r>
        <w:t>For the Attorney General-decision deadline, a good-faith clarification or narrowing request causes the ten-business-day measurement point to run from receipt of the requester’s written clarification.</w:t>
      </w:r>
    </w:p>
    <w:p>
      <w:pPr>
        <w:pStyle w:val="CompactList"/>
      </w:pPr>
      <w:r>
        <w:rPr>
          <w:b/>
        </w:rPr>
        <w:t xml:space="preserve">• </w:t>
      </w:r>
      <w:r>
        <w:t>The Act does not support a generic “vague = rejected” result. The workflow should preserve assistance, the original text, the clarification text, and the legal receipt date used for each timer.</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Engine treatment: </w:t>
            </w:r>
            <w:r>
              <w:t>Use a Clarification Pending state with a 61-calendar-day requester-response timer, a mandatory warning field, and a timer-effect map. Apply the reset only to the statutory timer identified by law; do not globally restart every deadline.</w:t>
            </w:r>
          </w:p>
        </w:tc>
      </w:tr>
    </w:tbl>
    <w:p>
      <w:pPr>
        <w:pStyle w:val="Heading1"/>
      </w:pPr>
      <w:r>
        <w:t>4. Denial, withholding, and partial production</w:t>
      </w:r>
    </w:p>
    <w:p>
      <w:pPr>
        <w:pStyle w:val="CompactList"/>
      </w:pPr>
      <w:r>
        <w:rPr>
          <w:b/>
        </w:rPr>
        <w:t xml:space="preserve">• </w:t>
      </w:r>
      <w:r>
        <w:t>When information is believed excepted and no self-redaction authority or previous determination applies, the city ordinarily must seek an Attorney General decision rather than issue a final unilateral denial.</w:t>
      </w:r>
    </w:p>
    <w:p>
      <w:pPr>
        <w:pStyle w:val="CompactList"/>
      </w:pPr>
      <w:r>
        <w:rPr>
          <w:b/>
        </w:rPr>
        <w:t xml:space="preserve">• </w:t>
      </w:r>
      <w:r>
        <w:t>Missing the Attorney General deadlines creates a presumption that the information is public unless a compelling reason to withhold exists.</w:t>
      </w:r>
    </w:p>
    <w:p>
      <w:pPr>
        <w:pStyle w:val="CompactList"/>
      </w:pPr>
      <w:r>
        <w:rPr>
          <w:b/>
        </w:rPr>
        <w:t xml:space="preserve">• </w:t>
      </w:r>
      <w:r>
        <w:t>Where a statute, previous determination, or authorized redaction provision permits withholding without a new decision, the response should identify the authority and provide any required notice or appeal/review form.</w:t>
      </w:r>
    </w:p>
    <w:p>
      <w:pPr>
        <w:pStyle w:val="CompactList"/>
      </w:pPr>
      <w:r>
        <w:rPr>
          <w:b/>
        </w:rPr>
        <w:t xml:space="preserve">• </w:t>
      </w:r>
      <w:r>
        <w:t>Segregable public information must be released even when other portions are withheld. Store exemption citations at the record/segment level and preserve the version provided to the requester.</w:t>
      </w:r>
    </w:p>
    <w:p>
      <w:pPr>
        <w:pStyle w:val="Heading1"/>
      </w:pPr>
      <w:r>
        <w:t>5. Request classification and processing tracks</w:t>
      </w:r>
    </w:p>
    <w:p>
      <w:pPr>
        <w:pStyle w:val="CompactList"/>
      </w:pPr>
      <w:r>
        <w:rPr>
          <w:b/>
        </w:rPr>
        <w:t xml:space="preserve">• </w:t>
      </w:r>
      <w:r>
        <w:t>No statewide legal category named “simple,” “moderate,” or “complex” changes the basic deadline. Such labels may be used operationally only.</w:t>
      </w:r>
    </w:p>
    <w:p>
      <w:pPr>
        <w:pStyle w:val="CompactList"/>
      </w:pPr>
      <w:r>
        <w:rPr>
          <w:b/>
        </w:rPr>
        <w:t xml:space="preserve">• </w:t>
      </w:r>
      <w:r>
        <w:t>The legally meaningful model is a set of processing flags. Multiple flags may apply simultaneously, such as third-party notice + AG review + fee estimate.</w:t>
      </w:r>
    </w:p>
    <w:p>
      <w:pPr>
        <w:pStyle w:val="CompactList"/>
      </w:pPr>
      <w:r>
        <w:rPr>
          <w:b/>
        </w:rPr>
        <w:t xml:space="preserve">• </w:t>
      </w:r>
      <w:r>
        <w:t>“Programming/customization” is a distinct statutory track because it creates special notices, estimates, alternatives, and a requester election; it should not merely be treated as “complex.”</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024"/>
            <w:shd w:fill="17365D"/>
            <w:tcMar>
              <w:top w:w="70" w:type="dxa"/>
              <w:start w:w="80" w:type="dxa"/>
              <w:bottom w:w="70" w:type="dxa"/>
              <w:end w:w="80" w:type="dxa"/>
            </w:tcMar>
          </w:tcPr>
          <w:p>
            <w:pPr>
              <w:spacing w:after="0"/>
              <w:jc w:val="left"/>
            </w:pPr>
            <w:r>
              <w:rPr>
                <w:b/>
                <w:color w:val="FFFFFF"/>
                <w:sz w:val="15"/>
              </w:rPr>
              <w:t>Classification / flag</w:t>
            </w:r>
          </w:p>
        </w:tc>
        <w:tc>
          <w:tcPr>
            <w:tcW w:type="dxa" w:w="1944"/>
            <w:shd w:fill="17365D"/>
            <w:tcMar>
              <w:top w:w="70" w:type="dxa"/>
              <w:start w:w="80" w:type="dxa"/>
              <w:bottom w:w="70" w:type="dxa"/>
              <w:end w:w="80" w:type="dxa"/>
            </w:tcMar>
          </w:tcPr>
          <w:p>
            <w:pPr>
              <w:spacing w:after="0"/>
              <w:jc w:val="left"/>
            </w:pPr>
            <w:r>
              <w:rPr>
                <w:b/>
                <w:color w:val="FFFFFF"/>
                <w:sz w:val="15"/>
              </w:rPr>
              <w:t>Legal or operational?</w:t>
            </w:r>
          </w:p>
        </w:tc>
        <w:tc>
          <w:tcPr>
            <w:tcW w:type="dxa" w:w="4752"/>
            <w:shd w:fill="17365D"/>
            <w:tcMar>
              <w:top w:w="70" w:type="dxa"/>
              <w:start w:w="80" w:type="dxa"/>
              <w:bottom w:w="70" w:type="dxa"/>
              <w:end w:w="80" w:type="dxa"/>
            </w:tcMar>
          </w:tcPr>
          <w:p>
            <w:pPr>
              <w:spacing w:after="0"/>
              <w:jc w:val="left"/>
            </w:pPr>
            <w:r>
              <w:rPr>
                <w:b/>
                <w:color w:val="FFFFFF"/>
                <w:sz w:val="15"/>
              </w:rPr>
              <w:t>Workflow consequence</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Routine / readily releasable</w:t>
            </w:r>
          </w:p>
        </w:tc>
        <w:tc>
          <w:tcPr>
            <w:tcW w:type="dxa" w:w="1944"/>
            <w:tcMar>
              <w:top w:w="70" w:type="dxa"/>
              <w:start w:w="80" w:type="dxa"/>
              <w:bottom w:w="70" w:type="dxa"/>
              <w:end w:w="80" w:type="dxa"/>
            </w:tcMar>
            <w:vAlign w:val="top"/>
          </w:tcPr>
          <w:p>
            <w:pPr>
              <w:spacing w:after="0" w:line="240" w:lineRule="auto"/>
            </w:pPr>
            <w:r>
              <w:rPr>
                <w:rFonts w:ascii="Aptos" w:hAnsi="Aptos"/>
                <w:sz w:val="15"/>
              </w:rPr>
              <w:t>Operational</w:t>
            </w:r>
          </w:p>
        </w:tc>
        <w:tc>
          <w:tcPr>
            <w:tcW w:type="dxa" w:w="4752"/>
            <w:tcMar>
              <w:top w:w="70" w:type="dxa"/>
              <w:start w:w="80" w:type="dxa"/>
              <w:bottom w:w="70" w:type="dxa"/>
              <w:end w:w="80" w:type="dxa"/>
            </w:tcMar>
            <w:vAlign w:val="top"/>
          </w:tcPr>
          <w:p>
            <w:pPr>
              <w:spacing w:after="0" w:line="240" w:lineRule="auto"/>
            </w:pPr>
            <w:r>
              <w:rPr>
                <w:rFonts w:ascii="Aptos" w:hAnsi="Aptos"/>
                <w:sz w:val="15"/>
              </w:rPr>
              <w:t>Prompt production; no separate legal deadline class.</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Clarification required</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Legal processing flag</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Written clarification request; targeted timer reset; 61-day withdrawal rule.</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Attorney General decision</w:t>
            </w:r>
          </w:p>
        </w:tc>
        <w:tc>
          <w:tcPr>
            <w:tcW w:type="dxa" w:w="1944"/>
            <w:tcMar>
              <w:top w:w="70" w:type="dxa"/>
              <w:start w:w="80" w:type="dxa"/>
              <w:bottom w:w="70" w:type="dxa"/>
              <w:end w:w="80" w:type="dxa"/>
            </w:tcMar>
            <w:vAlign w:val="top"/>
          </w:tcPr>
          <w:p>
            <w:pPr>
              <w:spacing w:after="0" w:line="240" w:lineRule="auto"/>
            </w:pPr>
            <w:r>
              <w:rPr>
                <w:rFonts w:ascii="Aptos" w:hAnsi="Aptos"/>
                <w:sz w:val="15"/>
              </w:rPr>
              <w:t>Legal processing flag</w:t>
            </w:r>
          </w:p>
        </w:tc>
        <w:tc>
          <w:tcPr>
            <w:tcW w:type="dxa" w:w="4752"/>
            <w:tcMar>
              <w:top w:w="70" w:type="dxa"/>
              <w:start w:w="80" w:type="dxa"/>
              <w:bottom w:w="70" w:type="dxa"/>
              <w:end w:w="80" w:type="dxa"/>
            </w:tcMar>
            <w:vAlign w:val="top"/>
          </w:tcPr>
          <w:p>
            <w:pPr>
              <w:spacing w:after="0" w:line="240" w:lineRule="auto"/>
            </w:pPr>
            <w:r>
              <w:rPr>
                <w:rFonts w:ascii="Aptos" w:hAnsi="Aptos"/>
                <w:sz w:val="15"/>
              </w:rPr>
              <w:t>10-day notice/request; 15-day submission; presumptive-public consequence if late.</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Previous determination / authorized redaction</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Legal processing flag</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May withhold/redact without new AG request; send required notice.</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Programming/customization</w:t>
            </w:r>
          </w:p>
        </w:tc>
        <w:tc>
          <w:tcPr>
            <w:tcW w:type="dxa" w:w="1944"/>
            <w:tcMar>
              <w:top w:w="70" w:type="dxa"/>
              <w:start w:w="80" w:type="dxa"/>
              <w:bottom w:w="70" w:type="dxa"/>
              <w:end w:w="80" w:type="dxa"/>
            </w:tcMar>
            <w:vAlign w:val="top"/>
          </w:tcPr>
          <w:p>
            <w:pPr>
              <w:spacing w:after="0" w:line="240" w:lineRule="auto"/>
            </w:pPr>
            <w:r>
              <w:rPr>
                <w:rFonts w:ascii="Aptos" w:hAnsi="Aptos"/>
                <w:sz w:val="15"/>
              </w:rPr>
              <w:t>Statutory track</w:t>
            </w:r>
          </w:p>
        </w:tc>
        <w:tc>
          <w:tcPr>
            <w:tcW w:type="dxa" w:w="4752"/>
            <w:tcMar>
              <w:top w:w="70" w:type="dxa"/>
              <w:start w:w="80" w:type="dxa"/>
              <w:bottom w:w="70" w:type="dxa"/>
              <w:end w:w="80" w:type="dxa"/>
            </w:tcMar>
            <w:vAlign w:val="top"/>
          </w:tcPr>
          <w:p>
            <w:pPr>
              <w:spacing w:after="0" w:line="240" w:lineRule="auto"/>
            </w:pPr>
            <w:r>
              <w:rPr>
                <w:rFonts w:ascii="Aptos" w:hAnsi="Aptos"/>
                <w:sz w:val="15"/>
              </w:rPr>
              <w:t>20/30-day statement; alternatives; 30-day requester election.</w:t>
            </w:r>
          </w:p>
        </w:tc>
      </w:tr>
      <w:tr>
        <w:trPr>
          <w:cantSplit/>
        </w:trPr>
        <w:tc>
          <w:tcPr>
            <w:tcW w:type="dxa" w:w="3024"/>
            <w:shd w:fill="FAFCFE"/>
            <w:tcMar>
              <w:top w:w="70" w:type="dxa"/>
              <w:start w:w="80" w:type="dxa"/>
              <w:bottom w:w="70" w:type="dxa"/>
              <w:end w:w="80" w:type="dxa"/>
            </w:tcMar>
            <w:vAlign w:val="top"/>
          </w:tcPr>
          <w:p>
            <w:pPr>
              <w:spacing w:after="0" w:line="240" w:lineRule="auto"/>
            </w:pPr>
            <w:r>
              <w:rPr>
                <w:rFonts w:ascii="Aptos" w:hAnsi="Aptos"/>
                <w:sz w:val="15"/>
              </w:rPr>
              <w:t>Estimate / deposit</w:t>
            </w:r>
          </w:p>
        </w:tc>
        <w:tc>
          <w:tcPr>
            <w:tcW w:type="dxa" w:w="1944"/>
            <w:shd w:fill="FAFCFE"/>
            <w:tcMar>
              <w:top w:w="70" w:type="dxa"/>
              <w:start w:w="80" w:type="dxa"/>
              <w:bottom w:w="70" w:type="dxa"/>
              <w:end w:w="80" w:type="dxa"/>
            </w:tcMar>
            <w:vAlign w:val="top"/>
          </w:tcPr>
          <w:p>
            <w:pPr>
              <w:spacing w:after="0" w:line="240" w:lineRule="auto"/>
            </w:pPr>
            <w:r>
              <w:rPr>
                <w:rFonts w:ascii="Aptos" w:hAnsi="Aptos"/>
                <w:sz w:val="15"/>
              </w:rPr>
              <w:t>Statutory track</w:t>
            </w:r>
          </w:p>
        </w:tc>
        <w:tc>
          <w:tcPr>
            <w:tcW w:type="dxa" w:w="4752"/>
            <w:shd w:fill="FAFCFE"/>
            <w:tcMar>
              <w:top w:w="70" w:type="dxa"/>
              <w:start w:w="80" w:type="dxa"/>
              <w:bottom w:w="70" w:type="dxa"/>
              <w:end w:w="80" w:type="dxa"/>
            </w:tcMar>
            <w:vAlign w:val="top"/>
          </w:tcPr>
          <w:p>
            <w:pPr>
              <w:spacing w:after="0" w:line="240" w:lineRule="auto"/>
            </w:pPr>
            <w:r>
              <w:rPr>
                <w:rFonts w:ascii="Aptos" w:hAnsi="Aptos"/>
                <w:sz w:val="15"/>
              </w:rPr>
              <w:t>Estimate acceptance and payment gates; receipt date may reset for specified subchapters.</w:t>
            </w:r>
          </w:p>
        </w:tc>
      </w:tr>
      <w:tr>
        <w:trPr>
          <w:cantSplit/>
        </w:trPr>
        <w:tc>
          <w:tcPr>
            <w:tcW w:type="dxa" w:w="3024"/>
            <w:tcMar>
              <w:top w:w="70" w:type="dxa"/>
              <w:start w:w="80" w:type="dxa"/>
              <w:bottom w:w="70" w:type="dxa"/>
              <w:end w:w="80" w:type="dxa"/>
            </w:tcMar>
            <w:vAlign w:val="top"/>
          </w:tcPr>
          <w:p>
            <w:pPr>
              <w:spacing w:after="0" w:line="240" w:lineRule="auto"/>
            </w:pPr>
            <w:r>
              <w:rPr>
                <w:rFonts w:ascii="Aptos" w:hAnsi="Aptos"/>
                <w:sz w:val="15"/>
              </w:rPr>
              <w:t>Simple / complex / high effort</w:t>
            </w:r>
          </w:p>
        </w:tc>
        <w:tc>
          <w:tcPr>
            <w:tcW w:type="dxa" w:w="1944"/>
            <w:tcMar>
              <w:top w:w="70" w:type="dxa"/>
              <w:start w:w="80" w:type="dxa"/>
              <w:bottom w:w="70" w:type="dxa"/>
              <w:end w:w="80" w:type="dxa"/>
            </w:tcMar>
            <w:vAlign w:val="top"/>
          </w:tcPr>
          <w:p>
            <w:pPr>
              <w:spacing w:after="0" w:line="240" w:lineRule="auto"/>
            </w:pPr>
            <w:r>
              <w:rPr>
                <w:rFonts w:ascii="Aptos" w:hAnsi="Aptos"/>
                <w:sz w:val="15"/>
              </w:rPr>
              <w:t>Operational</w:t>
            </w:r>
          </w:p>
        </w:tc>
        <w:tc>
          <w:tcPr>
            <w:tcW w:type="dxa" w:w="4752"/>
            <w:tcMar>
              <w:top w:w="70" w:type="dxa"/>
              <w:start w:w="80" w:type="dxa"/>
              <w:bottom w:w="70" w:type="dxa"/>
              <w:end w:w="80" w:type="dxa"/>
            </w:tcMar>
            <w:vAlign w:val="top"/>
          </w:tcPr>
          <w:p>
            <w:pPr>
              <w:spacing w:after="0" w:line="240" w:lineRule="auto"/>
            </w:pPr>
            <w:r>
              <w:rPr>
                <w:rFonts w:ascii="Aptos" w:hAnsi="Aptos"/>
                <w:sz w:val="15"/>
              </w:rPr>
              <w:t>May drive assignment and internal target only; must not replace statutory flags.</w:t>
            </w:r>
          </w:p>
        </w:tc>
      </w:tr>
    </w:tbl>
    <w:p>
      <w:pPr>
        <w:pStyle w:val="Heading1"/>
      </w:pPr>
      <w:r>
        <w:t>6. Fees, estimates, deposits, and payment timing</w:t>
      </w:r>
    </w:p>
    <w:p>
      <w:pPr>
        <w:pStyle w:val="CompactList"/>
      </w:pPr>
      <w:r>
        <w:rPr>
          <w:b/>
        </w:rPr>
        <w:t xml:space="preserve">• </w:t>
      </w:r>
      <w:r>
        <w:t>If estimated charges exceed $40, provide a detailed written estimate. The requester must respond within 10 business days by accepting, modifying, or filing an overcharge complaint; otherwise the request is considered withdrawn.</w:t>
      </w:r>
    </w:p>
    <w:p>
      <w:pPr>
        <w:pStyle w:val="CompactList"/>
      </w:pPr>
      <w:r>
        <w:rPr>
          <w:b/>
        </w:rPr>
        <w:t xml:space="preserve">• </w:t>
      </w:r>
      <w:r>
        <w:t>If actual charges are expected to exceed the estimate by 20 percent or more, provide an updated estimate before exceeding it.</w:t>
      </w:r>
    </w:p>
    <w:p>
      <w:pPr>
        <w:pStyle w:val="CompactList"/>
      </w:pPr>
      <w:r>
        <w:rPr>
          <w:b/>
        </w:rPr>
        <w:t xml:space="preserve">• </w:t>
      </w:r>
      <w:r>
        <w:t>After an estimate, a city with more than 15 full-time employees may require a deposit if estimated cost exceeds $100; a smaller governmental body may require one if cost exceeds $50. A qualifying unpaid prior balance over $100 may also be required.</w:t>
      </w:r>
    </w:p>
    <w:p>
      <w:pPr>
        <w:pStyle w:val="CompactList"/>
      </w:pPr>
      <w:r>
        <w:rPr>
          <w:b/>
        </w:rPr>
        <w:t xml:space="preserve">• </w:t>
      </w:r>
      <w:r>
        <w:t>For specified deadline calculations under Subchapters F and G, a required deposit changes the statutory receipt date to the date the deposit is received.</w:t>
      </w:r>
    </w:p>
    <w:p>
      <w:pPr>
        <w:pStyle w:val="CompactList"/>
      </w:pPr>
      <w:r>
        <w:rPr>
          <w:b/>
        </w:rPr>
        <w:t xml:space="preserve">• </w:t>
      </w:r>
      <w:r>
        <w:t>Programming/customization requires a written cost/time statement and less-costly alternatives before work proceeds; requester election is required. Payment and reconciliation must follow the Texas cost rules in 1 TAC chapter 70.</w:t>
      </w:r>
    </w:p>
    <w:p>
      <w:pPr>
        <w:pStyle w:val="CompactList"/>
      </w:pPr>
      <w:r>
        <w:rPr>
          <w:b/>
        </w:rPr>
        <w:t xml:space="preserve">• </w:t>
      </w:r>
      <w:r>
        <w:t>For 50 or fewer standard paper pages, labor/overhead generally may not be charged, subject to statutory exceptions such as records in separate or remote facilities.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2448"/>
            <w:shd w:fill="17365D"/>
            <w:tcMar>
              <w:top w:w="70" w:type="dxa"/>
              <w:start w:w="80" w:type="dxa"/>
              <w:bottom w:w="70" w:type="dxa"/>
              <w:end w:w="80" w:type="dxa"/>
            </w:tcMar>
          </w:tcPr>
          <w:p>
            <w:pPr>
              <w:spacing w:after="0"/>
              <w:jc w:val="left"/>
            </w:pPr>
            <w:r>
              <w:rPr>
                <w:b/>
                <w:color w:val="FFFFFF"/>
                <w:sz w:val="15"/>
              </w:rPr>
              <w:t>Fee event</w:t>
            </w:r>
          </w:p>
        </w:tc>
        <w:tc>
          <w:tcPr>
            <w:tcW w:type="dxa" w:w="4536"/>
            <w:shd w:fill="17365D"/>
            <w:tcMar>
              <w:top w:w="70" w:type="dxa"/>
              <w:start w:w="80" w:type="dxa"/>
              <w:bottom w:w="70" w:type="dxa"/>
              <w:end w:w="80" w:type="dxa"/>
            </w:tcMar>
          </w:tcPr>
          <w:p>
            <w:pPr>
              <w:spacing w:after="0"/>
              <w:jc w:val="left"/>
            </w:pPr>
            <w:r>
              <w:rPr>
                <w:b/>
                <w:color w:val="FFFFFF"/>
                <w:sz w:val="15"/>
              </w:rPr>
              <w:t>Statewide rule</w:t>
            </w:r>
          </w:p>
        </w:tc>
        <w:tc>
          <w:tcPr>
            <w:tcW w:type="dxa" w:w="2736"/>
            <w:shd w:fill="17365D"/>
            <w:tcMar>
              <w:top w:w="70" w:type="dxa"/>
              <w:start w:w="80" w:type="dxa"/>
              <w:bottom w:w="70" w:type="dxa"/>
              <w:end w:w="80" w:type="dxa"/>
            </w:tcMar>
          </w:tcPr>
          <w:p>
            <w:pPr>
              <w:spacing w:after="0"/>
              <w:jc w:val="left"/>
            </w:pPr>
            <w:r>
              <w:rPr>
                <w:b/>
                <w:color w:val="FFFFFF"/>
                <w:sz w:val="15"/>
              </w:rPr>
              <w:t>Configurable city value</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Itemized estimate</w:t>
            </w:r>
          </w:p>
        </w:tc>
        <w:tc>
          <w:tcPr>
            <w:tcW w:type="dxa" w:w="4536"/>
            <w:tcMar>
              <w:top w:w="70" w:type="dxa"/>
              <w:start w:w="80" w:type="dxa"/>
              <w:bottom w:w="70" w:type="dxa"/>
              <w:end w:w="80" w:type="dxa"/>
            </w:tcMar>
            <w:vAlign w:val="top"/>
          </w:tcPr>
          <w:p>
            <w:pPr>
              <w:spacing w:after="0" w:line="240" w:lineRule="auto"/>
            </w:pPr>
            <w:r>
              <w:rPr>
                <w:rFonts w:ascii="Aptos" w:hAnsi="Aptos"/>
                <w:sz w:val="15"/>
              </w:rPr>
              <w:t>$40 trigger; written itemization and alternatives.</w:t>
            </w:r>
          </w:p>
        </w:tc>
        <w:tc>
          <w:tcPr>
            <w:tcW w:type="dxa" w:w="2736"/>
            <w:tcMar>
              <w:top w:w="70" w:type="dxa"/>
              <w:start w:w="80" w:type="dxa"/>
              <w:bottom w:w="70" w:type="dxa"/>
              <w:end w:w="80" w:type="dxa"/>
            </w:tcMar>
            <w:vAlign w:val="top"/>
          </w:tcPr>
          <w:p>
            <w:pPr>
              <w:spacing w:after="0" w:line="240" w:lineRule="auto"/>
            </w:pPr>
            <w:r>
              <w:rPr>
                <w:rFonts w:ascii="Aptos" w:hAnsi="Aptos"/>
                <w:sz w:val="15"/>
              </w:rPr>
              <w:t>Template wording; delivery method; responsible approver.</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Requester acceptance</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10 business days; nonresponse withdraws request.</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Portal/e-sign acceptance method.</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Revised estimate</w:t>
            </w:r>
          </w:p>
        </w:tc>
        <w:tc>
          <w:tcPr>
            <w:tcW w:type="dxa" w:w="4536"/>
            <w:tcMar>
              <w:top w:w="70" w:type="dxa"/>
              <w:start w:w="80" w:type="dxa"/>
              <w:bottom w:w="70" w:type="dxa"/>
              <w:end w:w="80" w:type="dxa"/>
            </w:tcMar>
            <w:vAlign w:val="top"/>
          </w:tcPr>
          <w:p>
            <w:pPr>
              <w:spacing w:after="0" w:line="240" w:lineRule="auto"/>
            </w:pPr>
            <w:r>
              <w:rPr>
                <w:rFonts w:ascii="Aptos" w:hAnsi="Aptos"/>
                <w:sz w:val="15"/>
              </w:rPr>
              <w:t>Required at 20% or greater increase.</w:t>
            </w:r>
          </w:p>
        </w:tc>
        <w:tc>
          <w:tcPr>
            <w:tcW w:type="dxa" w:w="2736"/>
            <w:tcMar>
              <w:top w:w="70" w:type="dxa"/>
              <w:start w:w="80" w:type="dxa"/>
              <w:bottom w:w="70" w:type="dxa"/>
              <w:end w:w="80" w:type="dxa"/>
            </w:tcMar>
            <w:vAlign w:val="top"/>
          </w:tcPr>
          <w:p>
            <w:pPr>
              <w:spacing w:after="0" w:line="240" w:lineRule="auto"/>
            </w:pPr>
            <w:r>
              <w:rPr>
                <w:rFonts w:ascii="Aptos" w:hAnsi="Aptos"/>
                <w:sz w:val="15"/>
              </w:rPr>
              <w:t>Internal variance alert below statutory trigger.</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Deposit</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$100 threshold for &gt;15 FTE; $50 for &lt;16 FTE.</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Whether city exercises authority; accepted payment methods.</w:t>
            </w:r>
          </w:p>
        </w:tc>
      </w:tr>
      <w:tr>
        <w:trPr>
          <w:cantSplit/>
        </w:trPr>
        <w:tc>
          <w:tcPr>
            <w:tcW w:type="dxa" w:w="2448"/>
            <w:tcMar>
              <w:top w:w="70" w:type="dxa"/>
              <w:start w:w="80" w:type="dxa"/>
              <w:bottom w:w="70" w:type="dxa"/>
              <w:end w:w="80" w:type="dxa"/>
            </w:tcMar>
            <w:vAlign w:val="top"/>
          </w:tcPr>
          <w:p>
            <w:pPr>
              <w:spacing w:after="0" w:line="240" w:lineRule="auto"/>
            </w:pPr>
            <w:r>
              <w:rPr>
                <w:rFonts w:ascii="Aptos" w:hAnsi="Aptos"/>
                <w:sz w:val="15"/>
              </w:rPr>
              <w:t>Programming statement</w:t>
            </w:r>
          </w:p>
        </w:tc>
        <w:tc>
          <w:tcPr>
            <w:tcW w:type="dxa" w:w="4536"/>
            <w:tcMar>
              <w:top w:w="70" w:type="dxa"/>
              <w:start w:w="80" w:type="dxa"/>
              <w:bottom w:w="70" w:type="dxa"/>
              <w:end w:w="80" w:type="dxa"/>
            </w:tcMar>
            <w:vAlign w:val="top"/>
          </w:tcPr>
          <w:p>
            <w:pPr>
              <w:spacing w:after="0" w:line="240" w:lineRule="auto"/>
            </w:pPr>
            <w:r>
              <w:rPr>
                <w:rFonts w:ascii="Aptos" w:hAnsi="Aptos"/>
                <w:sz w:val="15"/>
              </w:rPr>
              <w:t>20 days, extendable 10; requester election within 30 days.</w:t>
            </w:r>
          </w:p>
        </w:tc>
        <w:tc>
          <w:tcPr>
            <w:tcW w:type="dxa" w:w="2736"/>
            <w:tcMar>
              <w:top w:w="70" w:type="dxa"/>
              <w:start w:w="80" w:type="dxa"/>
              <w:bottom w:w="70" w:type="dxa"/>
              <w:end w:w="80" w:type="dxa"/>
            </w:tcMar>
            <w:vAlign w:val="top"/>
          </w:tcPr>
          <w:p>
            <w:pPr>
              <w:spacing w:after="0" w:line="240" w:lineRule="auto"/>
            </w:pPr>
            <w:r>
              <w:rPr>
                <w:rFonts w:ascii="Aptos" w:hAnsi="Aptos"/>
                <w:sz w:val="15"/>
              </w:rPr>
              <w:t>Hourly rates and available alternatives.</w:t>
            </w:r>
          </w:p>
        </w:tc>
      </w:tr>
      <w:tr>
        <w:trPr>
          <w:cantSplit/>
        </w:trPr>
        <w:tc>
          <w:tcPr>
            <w:tcW w:type="dxa" w:w="2448"/>
            <w:shd w:fill="FAFCFE"/>
            <w:tcMar>
              <w:top w:w="70" w:type="dxa"/>
              <w:start w:w="80" w:type="dxa"/>
              <w:bottom w:w="70" w:type="dxa"/>
              <w:end w:w="80" w:type="dxa"/>
            </w:tcMar>
            <w:vAlign w:val="top"/>
          </w:tcPr>
          <w:p>
            <w:pPr>
              <w:spacing w:after="0" w:line="240" w:lineRule="auto"/>
            </w:pPr>
            <w:r>
              <w:rPr>
                <w:rFonts w:ascii="Aptos" w:hAnsi="Aptos"/>
                <w:sz w:val="15"/>
              </w:rPr>
              <w:t>Final payment</w:t>
            </w:r>
          </w:p>
        </w:tc>
        <w:tc>
          <w:tcPr>
            <w:tcW w:type="dxa" w:w="4536"/>
            <w:shd w:fill="FAFCFE"/>
            <w:tcMar>
              <w:top w:w="70" w:type="dxa"/>
              <w:start w:w="80" w:type="dxa"/>
              <w:bottom w:w="70" w:type="dxa"/>
              <w:end w:w="80" w:type="dxa"/>
            </w:tcMar>
            <w:vAlign w:val="top"/>
          </w:tcPr>
          <w:p>
            <w:pPr>
              <w:spacing w:after="0" w:line="240" w:lineRule="auto"/>
            </w:pPr>
            <w:r>
              <w:rPr>
                <w:rFonts w:ascii="Aptos" w:hAnsi="Aptos"/>
                <w:sz w:val="15"/>
              </w:rPr>
              <w:t>Charges under statute and 1 TAC; delivery may be payment-gated.</w:t>
            </w:r>
          </w:p>
        </w:tc>
        <w:tc>
          <w:tcPr>
            <w:tcW w:type="dxa" w:w="2736"/>
            <w:shd w:fill="FAFCFE"/>
            <w:tcMar>
              <w:top w:w="70" w:type="dxa"/>
              <w:start w:w="80" w:type="dxa"/>
              <w:bottom w:w="70" w:type="dxa"/>
              <w:end w:w="80" w:type="dxa"/>
            </w:tcMar>
            <w:vAlign w:val="top"/>
          </w:tcPr>
          <w:p>
            <w:pPr>
              <w:spacing w:after="0" w:line="240" w:lineRule="auto"/>
            </w:pPr>
            <w:r>
              <w:rPr>
                <w:rFonts w:ascii="Aptos" w:hAnsi="Aptos"/>
                <w:sz w:val="15"/>
              </w:rPr>
              <w:t>Invoice, refund, small-balance, and collection policy.</w:t>
            </w:r>
          </w:p>
        </w:tc>
      </w:tr>
    </w:tbl>
    <w:p>
      <w:pPr>
        <w:pStyle w:val="Heading1"/>
      </w:pPr>
      <w:r>
        <w:t>7. Normalized software rule matrix</w:t>
      </w:r>
    </w:p>
    <w:tbl>
      <w:tblPr>
        <w:tblStyle w:val="TableGrid"/>
        <w:tblW w:type="auto" w:w="0"/>
        <w:jc w:val="center"/>
        <w:tblLayout w:type="fixed"/>
        <w:tblLook w:firstColumn="1" w:firstRow="1" w:lastColumn="0" w:lastRow="0" w:noHBand="0" w:noVBand="1" w:val="04A0"/>
      </w:tblPr>
      <w:tblGrid>
        <w:gridCol w:w="2613"/>
        <w:gridCol w:w="2613"/>
        <w:gridCol w:w="2613"/>
        <w:gridCol w:w="2613"/>
      </w:tblGrid>
      <w:tr>
        <w:trPr>
          <w:tblHeader w:val="true"/>
          <w:cantSplit/>
        </w:trPr>
        <w:tc>
          <w:tcPr>
            <w:tcW w:type="dxa" w:w="2232"/>
            <w:shd w:fill="17365D"/>
            <w:tcMar>
              <w:top w:w="70" w:type="dxa"/>
              <w:start w:w="80" w:type="dxa"/>
              <w:bottom w:w="70" w:type="dxa"/>
              <w:end w:w="80" w:type="dxa"/>
            </w:tcMar>
          </w:tcPr>
          <w:p>
            <w:pPr>
              <w:spacing w:after="0"/>
              <w:jc w:val="left"/>
            </w:pPr>
            <w:r>
              <w:rPr>
                <w:b/>
                <w:color w:val="FFFFFF"/>
                <w:sz w:val="14"/>
              </w:rPr>
              <w:t>Rule / trigger</w:t>
            </w:r>
          </w:p>
        </w:tc>
        <w:tc>
          <w:tcPr>
            <w:tcW w:type="dxa" w:w="3168"/>
            <w:shd w:fill="17365D"/>
            <w:tcMar>
              <w:top w:w="70" w:type="dxa"/>
              <w:start w:w="80" w:type="dxa"/>
              <w:bottom w:w="70" w:type="dxa"/>
              <w:end w:w="80" w:type="dxa"/>
            </w:tcMar>
          </w:tcPr>
          <w:p>
            <w:pPr>
              <w:spacing w:after="0"/>
              <w:jc w:val="left"/>
            </w:pPr>
            <w:r>
              <w:rPr>
                <w:b/>
                <w:color w:val="FFFFFF"/>
                <w:sz w:val="14"/>
              </w:rPr>
              <w:t>Required system action</w:t>
            </w:r>
          </w:p>
        </w:tc>
        <w:tc>
          <w:tcPr>
            <w:tcW w:type="dxa" w:w="3024"/>
            <w:shd w:fill="17365D"/>
            <w:tcMar>
              <w:top w:w="70" w:type="dxa"/>
              <w:start w:w="80" w:type="dxa"/>
              <w:bottom w:w="70" w:type="dxa"/>
              <w:end w:w="80" w:type="dxa"/>
            </w:tcMar>
          </w:tcPr>
          <w:p>
            <w:pPr>
              <w:spacing w:after="0"/>
              <w:jc w:val="left"/>
            </w:pPr>
            <w:r>
              <w:rPr>
                <w:b/>
                <w:color w:val="FFFFFF"/>
                <w:sz w:val="14"/>
              </w:rPr>
              <w:t>Communication / deadline</w:t>
            </w:r>
          </w:p>
        </w:tc>
        <w:tc>
          <w:tcPr>
            <w:tcW w:type="dxa" w:w="2232"/>
            <w:shd w:fill="17365D"/>
            <w:tcMar>
              <w:top w:w="70" w:type="dxa"/>
              <w:start w:w="80" w:type="dxa"/>
              <w:bottom w:w="70" w:type="dxa"/>
              <w:end w:w="80" w:type="dxa"/>
            </w:tcMar>
          </w:tcPr>
          <w:p>
            <w:pPr>
              <w:spacing w:after="0"/>
              <w:jc w:val="left"/>
            </w:pPr>
            <w:r>
              <w:rPr>
                <w:b/>
                <w:color w:val="FFFFFF"/>
                <w:sz w:val="14"/>
              </w:rPr>
              <w:t>Clock / configuration</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Valid written request received</w:t>
            </w:r>
          </w:p>
        </w:tc>
        <w:tc>
          <w:tcPr>
            <w:tcW w:type="dxa" w:w="3168"/>
            <w:tcMar>
              <w:top w:w="70" w:type="dxa"/>
              <w:start w:w="80" w:type="dxa"/>
              <w:bottom w:w="70" w:type="dxa"/>
              <w:end w:w="80" w:type="dxa"/>
            </w:tcMar>
            <w:vAlign w:val="top"/>
          </w:tcPr>
          <w:p>
            <w:pPr>
              <w:spacing w:after="0" w:line="240" w:lineRule="auto"/>
            </w:pPr>
            <w:r>
              <w:rPr>
                <w:rFonts w:ascii="Aptos" w:hAnsi="Aptos"/>
                <w:sz w:val="14"/>
              </w:rPr>
              <w:t>Create request; timestamp receipt; calculate business-day timers using designated-channel rules.</w:t>
            </w:r>
          </w:p>
        </w:tc>
        <w:tc>
          <w:tcPr>
            <w:tcW w:type="dxa" w:w="3024"/>
            <w:tcMar>
              <w:top w:w="70" w:type="dxa"/>
              <w:start w:w="80" w:type="dxa"/>
              <w:bottom w:w="70" w:type="dxa"/>
              <w:end w:w="80" w:type="dxa"/>
            </w:tcMar>
            <w:vAlign w:val="top"/>
          </w:tcPr>
          <w:p>
            <w:pPr>
              <w:spacing w:after="0" w:line="240" w:lineRule="auto"/>
            </w:pPr>
            <w:r>
              <w:rPr>
                <w:rFonts w:ascii="Aptos" w:hAnsi="Aptos"/>
                <w:sz w:val="14"/>
              </w:rPr>
              <w:t>Receipt acknowledgment is policy-driven unless another branch requires notice.</w:t>
            </w:r>
          </w:p>
        </w:tc>
        <w:tc>
          <w:tcPr>
            <w:tcW w:type="dxa" w:w="2232"/>
            <w:tcMar>
              <w:top w:w="70" w:type="dxa"/>
              <w:start w:w="80" w:type="dxa"/>
              <w:bottom w:w="70" w:type="dxa"/>
              <w:end w:w="80" w:type="dxa"/>
            </w:tcMar>
            <w:vAlign w:val="top"/>
          </w:tcPr>
          <w:p>
            <w:pPr>
              <w:spacing w:after="0" w:line="240" w:lineRule="auto"/>
            </w:pPr>
            <w:r>
              <w:rPr>
                <w:rFonts w:ascii="Aptos" w:hAnsi="Aptos"/>
                <w:sz w:val="14"/>
              </w:rPr>
              <w:t>Statutory receipt rules + city calendar.</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Records readily available</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Assign custodian; search/review; release promptly.</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If &gt;10 business days, certify date and hour.</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Qualitative “prompt”; city internal target.</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No responsive information</w:t>
            </w:r>
          </w:p>
        </w:tc>
        <w:tc>
          <w:tcPr>
            <w:tcW w:type="dxa" w:w="3168"/>
            <w:tcMar>
              <w:top w:w="70" w:type="dxa"/>
              <w:start w:w="80" w:type="dxa"/>
              <w:bottom w:w="70" w:type="dxa"/>
              <w:end w:w="80" w:type="dxa"/>
            </w:tcMar>
            <w:vAlign w:val="top"/>
          </w:tcPr>
          <w:p>
            <w:pPr>
              <w:spacing w:after="0" w:line="240" w:lineRule="auto"/>
            </w:pPr>
            <w:r>
              <w:rPr>
                <w:rFonts w:ascii="Aptos" w:hAnsi="Aptos"/>
                <w:sz w:val="14"/>
              </w:rPr>
              <w:t>Record search certification; close no-record branch.</w:t>
            </w:r>
          </w:p>
        </w:tc>
        <w:tc>
          <w:tcPr>
            <w:tcW w:type="dxa" w:w="3024"/>
            <w:tcMar>
              <w:top w:w="70" w:type="dxa"/>
              <w:start w:w="80" w:type="dxa"/>
              <w:bottom w:w="70" w:type="dxa"/>
              <w:end w:w="80" w:type="dxa"/>
            </w:tcMar>
            <w:vAlign w:val="top"/>
          </w:tcPr>
          <w:p>
            <w:pPr>
              <w:spacing w:after="0" w:line="240" w:lineRule="auto"/>
            </w:pPr>
            <w:r>
              <w:rPr>
                <w:rFonts w:ascii="Aptos" w:hAnsi="Aptos"/>
                <w:sz w:val="14"/>
              </w:rPr>
              <w:t>Written notice by 10th business day.</w:t>
            </w:r>
          </w:p>
        </w:tc>
        <w:tc>
          <w:tcPr>
            <w:tcW w:type="dxa" w:w="2232"/>
            <w:tcMar>
              <w:top w:w="70" w:type="dxa"/>
              <w:start w:w="80" w:type="dxa"/>
              <w:bottom w:w="70" w:type="dxa"/>
              <w:end w:w="80" w:type="dxa"/>
            </w:tcMar>
            <w:vAlign w:val="top"/>
          </w:tcPr>
          <w:p>
            <w:pPr>
              <w:spacing w:after="0" w:line="240" w:lineRule="auto"/>
            </w:pPr>
            <w:r>
              <w:rPr>
                <w:rFonts w:ascii="Aptos" w:hAnsi="Aptos"/>
                <w:sz w:val="14"/>
              </w:rPr>
              <w:t>Hard deadline.</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Information may be withheld</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Check self-redaction/previous determination; otherwise launch AG case.</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Requester notice by day 10; AG package day 15.</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Parallel statutory timers.</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Request unclear / very broad</w:t>
            </w:r>
          </w:p>
        </w:tc>
        <w:tc>
          <w:tcPr>
            <w:tcW w:type="dxa" w:w="3168"/>
            <w:tcMar>
              <w:top w:w="70" w:type="dxa"/>
              <w:start w:w="80" w:type="dxa"/>
              <w:bottom w:w="70" w:type="dxa"/>
              <w:end w:w="80" w:type="dxa"/>
            </w:tcMar>
            <w:vAlign w:val="top"/>
          </w:tcPr>
          <w:p>
            <w:pPr>
              <w:spacing w:after="0" w:line="240" w:lineRule="auto"/>
            </w:pPr>
            <w:r>
              <w:rPr>
                <w:rFonts w:ascii="Aptos" w:hAnsi="Aptos"/>
                <w:sz w:val="14"/>
              </w:rPr>
              <w:t>Send good-faith clarification with withdrawal warning.</w:t>
            </w:r>
          </w:p>
        </w:tc>
        <w:tc>
          <w:tcPr>
            <w:tcW w:type="dxa" w:w="3024"/>
            <w:tcMar>
              <w:top w:w="70" w:type="dxa"/>
              <w:start w:w="80" w:type="dxa"/>
              <w:bottom w:w="70" w:type="dxa"/>
              <w:end w:w="80" w:type="dxa"/>
            </w:tcMar>
            <w:vAlign w:val="top"/>
          </w:tcPr>
          <w:p>
            <w:pPr>
              <w:spacing w:after="0" w:line="240" w:lineRule="auto"/>
            </w:pPr>
            <w:r>
              <w:rPr>
                <w:rFonts w:ascii="Aptos" w:hAnsi="Aptos"/>
                <w:sz w:val="14"/>
              </w:rPr>
              <w:t>Written response due by day 61.</w:t>
            </w:r>
          </w:p>
        </w:tc>
        <w:tc>
          <w:tcPr>
            <w:tcW w:type="dxa" w:w="2232"/>
            <w:tcMar>
              <w:top w:w="70" w:type="dxa"/>
              <w:start w:w="80" w:type="dxa"/>
              <w:bottom w:w="70" w:type="dxa"/>
              <w:end w:w="80" w:type="dxa"/>
            </w:tcMar>
            <w:vAlign w:val="top"/>
          </w:tcPr>
          <w:p>
            <w:pPr>
              <w:spacing w:after="0" w:line="240" w:lineRule="auto"/>
            </w:pPr>
            <w:r>
              <w:rPr>
                <w:rFonts w:ascii="Aptos" w:hAnsi="Aptos"/>
                <w:sz w:val="14"/>
              </w:rPr>
              <w:t>Reset only mapped §552.301 timer.</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Estimated cost &gt;$40</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Lock chargeable work; generate estimate and alternatives.</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Requester choice within 10 business days.</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Awaiting acceptance; nonresponse closes.</w:t>
            </w:r>
          </w:p>
        </w:tc>
      </w:tr>
      <w:tr>
        <w:trPr>
          <w:cantSplit/>
        </w:trPr>
        <w:tc>
          <w:tcPr>
            <w:tcW w:type="dxa" w:w="2232"/>
            <w:tcMar>
              <w:top w:w="70" w:type="dxa"/>
              <w:start w:w="80" w:type="dxa"/>
              <w:bottom w:w="70" w:type="dxa"/>
              <w:end w:w="80" w:type="dxa"/>
            </w:tcMar>
            <w:vAlign w:val="top"/>
          </w:tcPr>
          <w:p>
            <w:pPr>
              <w:spacing w:after="0" w:line="240" w:lineRule="auto"/>
            </w:pPr>
            <w:r>
              <w:rPr>
                <w:rFonts w:ascii="Aptos" w:hAnsi="Aptos"/>
                <w:sz w:val="14"/>
              </w:rPr>
              <w:t>Deposit threshold met</w:t>
            </w:r>
          </w:p>
        </w:tc>
        <w:tc>
          <w:tcPr>
            <w:tcW w:type="dxa" w:w="3168"/>
            <w:tcMar>
              <w:top w:w="70" w:type="dxa"/>
              <w:start w:w="80" w:type="dxa"/>
              <w:bottom w:w="70" w:type="dxa"/>
              <w:end w:w="80" w:type="dxa"/>
            </w:tcMar>
            <w:vAlign w:val="top"/>
          </w:tcPr>
          <w:p>
            <w:pPr>
              <w:spacing w:after="0" w:line="240" w:lineRule="auto"/>
            </w:pPr>
            <w:r>
              <w:rPr>
                <w:rFonts w:ascii="Aptos" w:hAnsi="Aptos"/>
                <w:sz w:val="14"/>
              </w:rPr>
              <w:t>Issue deposit request; suspend payment-gated work.</w:t>
            </w:r>
          </w:p>
        </w:tc>
        <w:tc>
          <w:tcPr>
            <w:tcW w:type="dxa" w:w="3024"/>
            <w:tcMar>
              <w:top w:w="70" w:type="dxa"/>
              <w:start w:w="80" w:type="dxa"/>
              <w:bottom w:w="70" w:type="dxa"/>
              <w:end w:w="80" w:type="dxa"/>
            </w:tcMar>
            <w:vAlign w:val="top"/>
          </w:tcPr>
          <w:p>
            <w:pPr>
              <w:spacing w:after="0" w:line="240" w:lineRule="auto"/>
            </w:pPr>
            <w:r>
              <w:rPr>
                <w:rFonts w:ascii="Aptos" w:hAnsi="Aptos"/>
                <w:sz w:val="14"/>
              </w:rPr>
              <w:t>Receipt date resets where statute specifies.</w:t>
            </w:r>
          </w:p>
        </w:tc>
        <w:tc>
          <w:tcPr>
            <w:tcW w:type="dxa" w:w="2232"/>
            <w:tcMar>
              <w:top w:w="70" w:type="dxa"/>
              <w:start w:w="80" w:type="dxa"/>
              <w:bottom w:w="70" w:type="dxa"/>
              <w:end w:w="80" w:type="dxa"/>
            </w:tcMar>
            <w:vAlign w:val="top"/>
          </w:tcPr>
          <w:p>
            <w:pPr>
              <w:spacing w:after="0" w:line="240" w:lineRule="auto"/>
            </w:pPr>
            <w:r>
              <w:rPr>
                <w:rFonts w:ascii="Aptos" w:hAnsi="Aptos"/>
                <w:sz w:val="14"/>
              </w:rPr>
              <w:t>City chooses whether to require deposit.</w:t>
            </w:r>
          </w:p>
        </w:tc>
      </w:tr>
      <w:tr>
        <w:trPr>
          <w:cantSplit/>
        </w:trPr>
        <w:tc>
          <w:tcPr>
            <w:tcW w:type="dxa" w:w="2232"/>
            <w:shd w:fill="FAFCFE"/>
            <w:tcMar>
              <w:top w:w="70" w:type="dxa"/>
              <w:start w:w="80" w:type="dxa"/>
              <w:bottom w:w="70" w:type="dxa"/>
              <w:end w:w="80" w:type="dxa"/>
            </w:tcMar>
            <w:vAlign w:val="top"/>
          </w:tcPr>
          <w:p>
            <w:pPr>
              <w:spacing w:after="0" w:line="240" w:lineRule="auto"/>
            </w:pPr>
            <w:r>
              <w:rPr>
                <w:rFonts w:ascii="Aptos" w:hAnsi="Aptos"/>
                <w:sz w:val="14"/>
              </w:rPr>
              <w:t>Programming required</w:t>
            </w:r>
          </w:p>
        </w:tc>
        <w:tc>
          <w:tcPr>
            <w:tcW w:type="dxa" w:w="3168"/>
            <w:shd w:fill="FAFCFE"/>
            <w:tcMar>
              <w:top w:w="70" w:type="dxa"/>
              <w:start w:w="80" w:type="dxa"/>
              <w:bottom w:w="70" w:type="dxa"/>
              <w:end w:w="80" w:type="dxa"/>
            </w:tcMar>
            <w:vAlign w:val="top"/>
          </w:tcPr>
          <w:p>
            <w:pPr>
              <w:spacing w:after="0" w:line="240" w:lineRule="auto"/>
            </w:pPr>
            <w:r>
              <w:rPr>
                <w:rFonts w:ascii="Aptos" w:hAnsi="Aptos"/>
                <w:sz w:val="14"/>
              </w:rPr>
              <w:t>Generate cost/time/alternatives statement.</w:t>
            </w:r>
          </w:p>
        </w:tc>
        <w:tc>
          <w:tcPr>
            <w:tcW w:type="dxa" w:w="3024"/>
            <w:shd w:fill="FAFCFE"/>
            <w:tcMar>
              <w:top w:w="70" w:type="dxa"/>
              <w:start w:w="80" w:type="dxa"/>
              <w:bottom w:w="70" w:type="dxa"/>
              <w:end w:w="80" w:type="dxa"/>
            </w:tcMar>
            <w:vAlign w:val="top"/>
          </w:tcPr>
          <w:p>
            <w:pPr>
              <w:spacing w:after="0" w:line="240" w:lineRule="auto"/>
            </w:pPr>
            <w:r>
              <w:rPr>
                <w:rFonts w:ascii="Aptos" w:hAnsi="Aptos"/>
                <w:sz w:val="14"/>
              </w:rPr>
              <w:t>20 days (+10 notice); requester election 30 days.</w:t>
            </w:r>
          </w:p>
        </w:tc>
        <w:tc>
          <w:tcPr>
            <w:tcW w:type="dxa" w:w="2232"/>
            <w:shd w:fill="FAFCFE"/>
            <w:tcMar>
              <w:top w:w="70" w:type="dxa"/>
              <w:start w:w="80" w:type="dxa"/>
              <w:bottom w:w="70" w:type="dxa"/>
              <w:end w:w="80" w:type="dxa"/>
            </w:tcMar>
            <w:vAlign w:val="top"/>
          </w:tcPr>
          <w:p>
            <w:pPr>
              <w:spacing w:after="0" w:line="240" w:lineRule="auto"/>
            </w:pPr>
            <w:r>
              <w:rPr>
                <w:rFonts w:ascii="Aptos" w:hAnsi="Aptos"/>
                <w:sz w:val="14"/>
              </w:rPr>
              <w:t>Separate statutory subworkflow.</w:t>
            </w:r>
          </w:p>
        </w:tc>
      </w:tr>
    </w:tbl>
    <w:p>
      <w:pPr>
        <w:pStyle w:val="Heading1"/>
      </w:pPr>
      <w:r>
        <w:t>8. Required jurisdiction-configuration fields</w:t>
      </w:r>
    </w:p>
    <w:tbl>
      <w:tblPr>
        <w:tblStyle w:val="TableGrid"/>
        <w:tblW w:type="auto" w:w="0"/>
        <w:jc w:val="center"/>
        <w:tblLayout w:type="fixed"/>
        <w:tblLook w:firstColumn="1" w:firstRow="1" w:lastColumn="0" w:lastRow="0" w:noHBand="0" w:noVBand="1" w:val="04A0"/>
      </w:tblPr>
      <w:tblGrid>
        <w:gridCol w:w="3485"/>
        <w:gridCol w:w="3485"/>
        <w:gridCol w:w="3485"/>
      </w:tblGrid>
      <w:tr>
        <w:trPr>
          <w:tblHeader w:val="true"/>
          <w:cantSplit/>
        </w:trPr>
        <w:tc>
          <w:tcPr>
            <w:tcW w:type="dxa" w:w="3168"/>
            <w:shd w:fill="17365D"/>
            <w:tcMar>
              <w:top w:w="70" w:type="dxa"/>
              <w:start w:w="80" w:type="dxa"/>
              <w:bottom w:w="70" w:type="dxa"/>
              <w:end w:w="80" w:type="dxa"/>
            </w:tcMar>
          </w:tcPr>
          <w:p>
            <w:pPr>
              <w:spacing w:after="0"/>
              <w:jc w:val="left"/>
            </w:pPr>
            <w:r>
              <w:rPr>
                <w:b/>
                <w:color w:val="FFFFFF"/>
                <w:sz w:val="15"/>
              </w:rPr>
              <w:t>Field</w:t>
            </w:r>
          </w:p>
        </w:tc>
        <w:tc>
          <w:tcPr>
            <w:tcW w:type="dxa" w:w="3240"/>
            <w:shd w:fill="17365D"/>
            <w:tcMar>
              <w:top w:w="70" w:type="dxa"/>
              <w:start w:w="80" w:type="dxa"/>
              <w:bottom w:w="70" w:type="dxa"/>
              <w:end w:w="80" w:type="dxa"/>
            </w:tcMar>
          </w:tcPr>
          <w:p>
            <w:pPr>
              <w:spacing w:after="0"/>
              <w:jc w:val="left"/>
            </w:pPr>
            <w:r>
              <w:rPr>
                <w:b/>
                <w:color w:val="FFFFFF"/>
                <w:sz w:val="15"/>
              </w:rPr>
              <w:t>State-supplied default</w:t>
            </w:r>
          </w:p>
        </w:tc>
        <w:tc>
          <w:tcPr>
            <w:tcW w:type="dxa" w:w="4248"/>
            <w:shd w:fill="17365D"/>
            <w:tcMar>
              <w:top w:w="70" w:type="dxa"/>
              <w:start w:w="80" w:type="dxa"/>
              <w:bottom w:w="70" w:type="dxa"/>
              <w:end w:w="80" w:type="dxa"/>
            </w:tcMar>
          </w:tcPr>
          <w:p>
            <w:pPr>
              <w:spacing w:after="0"/>
              <w:jc w:val="left"/>
            </w:pPr>
            <w:r>
              <w:rPr>
                <w:b/>
                <w:color w:val="FFFFFF"/>
                <w:sz w:val="15"/>
              </w:rPr>
              <w:t>City configuration needed</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Business-day calendar / receipt cutoff</w:t>
            </w:r>
          </w:p>
        </w:tc>
        <w:tc>
          <w:tcPr>
            <w:tcW w:type="dxa" w:w="3240"/>
            <w:tcMar>
              <w:top w:w="70" w:type="dxa"/>
              <w:start w:w="80" w:type="dxa"/>
              <w:bottom w:w="70" w:type="dxa"/>
              <w:end w:w="80" w:type="dxa"/>
            </w:tcMar>
            <w:vAlign w:val="top"/>
          </w:tcPr>
          <w:p>
            <w:pPr>
              <w:spacing w:after="0" w:line="240" w:lineRule="auto"/>
            </w:pPr>
            <w:r>
              <w:rPr>
                <w:rFonts w:ascii="Aptos" w:hAnsi="Aptos"/>
                <w:sz w:val="15"/>
              </w:rPr>
              <w:t>Business-day statutory units; channel rules in §552.234.</w:t>
            </w:r>
          </w:p>
        </w:tc>
        <w:tc>
          <w:tcPr>
            <w:tcW w:type="dxa" w:w="4248"/>
            <w:tcMar>
              <w:top w:w="70" w:type="dxa"/>
              <w:start w:w="80" w:type="dxa"/>
              <w:bottom w:w="70" w:type="dxa"/>
              <w:end w:w="80" w:type="dxa"/>
            </w:tcMar>
            <w:vAlign w:val="top"/>
          </w:tcPr>
          <w:p>
            <w:pPr>
              <w:spacing w:after="0" w:line="240" w:lineRule="auto"/>
            </w:pPr>
            <w:r>
              <w:rPr>
                <w:rFonts w:ascii="Aptos" w:hAnsi="Aptos"/>
                <w:sz w:val="15"/>
              </w:rPr>
              <w:t>Holidays, office hours, designated emails/portal, after-hours receipt rule.</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Operational service levels</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No simple/complex legal classes.</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Internal routine/standard/complex targets and escalation.</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Estimate and deposit election</w:t>
            </w:r>
          </w:p>
        </w:tc>
        <w:tc>
          <w:tcPr>
            <w:tcW w:type="dxa" w:w="3240"/>
            <w:tcMar>
              <w:top w:w="70" w:type="dxa"/>
              <w:start w:w="80" w:type="dxa"/>
              <w:bottom w:w="70" w:type="dxa"/>
              <w:end w:w="80" w:type="dxa"/>
            </w:tcMar>
            <w:vAlign w:val="top"/>
          </w:tcPr>
          <w:p>
            <w:pPr>
              <w:spacing w:after="0" w:line="240" w:lineRule="auto"/>
            </w:pPr>
            <w:r>
              <w:rPr>
                <w:rFonts w:ascii="Aptos" w:hAnsi="Aptos"/>
                <w:sz w:val="15"/>
              </w:rPr>
              <w:t>$40 estimate; $100/$50 deposit authority.</w:t>
            </w:r>
          </w:p>
        </w:tc>
        <w:tc>
          <w:tcPr>
            <w:tcW w:type="dxa" w:w="4248"/>
            <w:tcMar>
              <w:top w:w="70" w:type="dxa"/>
              <w:start w:w="80" w:type="dxa"/>
              <w:bottom w:w="70" w:type="dxa"/>
              <w:end w:w="80" w:type="dxa"/>
            </w:tcMar>
            <w:vAlign w:val="top"/>
          </w:tcPr>
          <w:p>
            <w:pPr>
              <w:spacing w:after="0" w:line="240" w:lineRule="auto"/>
            </w:pPr>
            <w:r>
              <w:rPr>
                <w:rFonts w:ascii="Aptos" w:hAnsi="Aptos"/>
                <w:sz w:val="15"/>
              </w:rPr>
              <w:t>Whether deposit is required; payment methods; invoice workflow.</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Labor / programming rates</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Texas cost rules constrain components.</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Current personnel rates, overhead rules, approved alternatives.</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Previous determinations</w:t>
            </w:r>
          </w:p>
        </w:tc>
        <w:tc>
          <w:tcPr>
            <w:tcW w:type="dxa" w:w="3240"/>
            <w:tcMar>
              <w:top w:w="70" w:type="dxa"/>
              <w:start w:w="80" w:type="dxa"/>
              <w:bottom w:w="70" w:type="dxa"/>
              <w:end w:w="80" w:type="dxa"/>
            </w:tcMar>
            <w:vAlign w:val="top"/>
          </w:tcPr>
          <w:p>
            <w:pPr>
              <w:spacing w:after="0" w:line="240" w:lineRule="auto"/>
            </w:pPr>
            <w:r>
              <w:rPr>
                <w:rFonts w:ascii="Aptos" w:hAnsi="Aptos"/>
                <w:sz w:val="15"/>
              </w:rPr>
              <w:t>Authority may permit no-new-AG withholding.</w:t>
            </w:r>
          </w:p>
        </w:tc>
        <w:tc>
          <w:tcPr>
            <w:tcW w:type="dxa" w:w="4248"/>
            <w:tcMar>
              <w:top w:w="70" w:type="dxa"/>
              <w:start w:w="80" w:type="dxa"/>
              <w:bottom w:w="70" w:type="dxa"/>
              <w:end w:w="80" w:type="dxa"/>
            </w:tcMar>
            <w:vAlign w:val="top"/>
          </w:tcPr>
          <w:p>
            <w:pPr>
              <w:spacing w:after="0" w:line="240" w:lineRule="auto"/>
            </w:pPr>
            <w:r>
              <w:rPr>
                <w:rFonts w:ascii="Aptos" w:hAnsi="Aptos"/>
                <w:sz w:val="15"/>
              </w:rPr>
              <w:t>Jurisdiction library of applicable determinations and redaction statutes.</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Frequent requester policy</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Statutory authority and limits exist.</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Whether adopted, annual personnel-time limit, notices, exemptions.</w:t>
            </w:r>
          </w:p>
        </w:tc>
      </w:tr>
      <w:tr>
        <w:trPr>
          <w:cantSplit/>
        </w:trPr>
        <w:tc>
          <w:tcPr>
            <w:tcW w:type="dxa" w:w="3168"/>
            <w:tcMar>
              <w:top w:w="70" w:type="dxa"/>
              <w:start w:w="80" w:type="dxa"/>
              <w:bottom w:w="70" w:type="dxa"/>
              <w:end w:w="80" w:type="dxa"/>
            </w:tcMar>
            <w:vAlign w:val="top"/>
          </w:tcPr>
          <w:p>
            <w:pPr>
              <w:spacing w:after="0" w:line="240" w:lineRule="auto"/>
            </w:pPr>
            <w:r>
              <w:rPr>
                <w:rFonts w:ascii="Aptos" w:hAnsi="Aptos"/>
                <w:sz w:val="15"/>
              </w:rPr>
              <w:t>Communication templates</w:t>
            </w:r>
          </w:p>
        </w:tc>
        <w:tc>
          <w:tcPr>
            <w:tcW w:type="dxa" w:w="3240"/>
            <w:tcMar>
              <w:top w:w="70" w:type="dxa"/>
              <w:start w:w="80" w:type="dxa"/>
              <w:bottom w:w="70" w:type="dxa"/>
              <w:end w:w="80" w:type="dxa"/>
            </w:tcMar>
            <w:vAlign w:val="top"/>
          </w:tcPr>
          <w:p>
            <w:pPr>
              <w:spacing w:after="0" w:line="240" w:lineRule="auto"/>
            </w:pPr>
            <w:r>
              <w:rPr>
                <w:rFonts w:ascii="Aptos" w:hAnsi="Aptos"/>
                <w:sz w:val="15"/>
              </w:rPr>
              <w:t>Mandatory content varies by branch.</w:t>
            </w:r>
          </w:p>
        </w:tc>
        <w:tc>
          <w:tcPr>
            <w:tcW w:type="dxa" w:w="4248"/>
            <w:tcMar>
              <w:top w:w="70" w:type="dxa"/>
              <w:start w:w="80" w:type="dxa"/>
              <w:bottom w:w="70" w:type="dxa"/>
              <w:end w:w="80" w:type="dxa"/>
            </w:tcMar>
            <w:vAlign w:val="top"/>
          </w:tcPr>
          <w:p>
            <w:pPr>
              <w:spacing w:after="0" w:line="240" w:lineRule="auto"/>
            </w:pPr>
            <w:r>
              <w:rPr>
                <w:rFonts w:ascii="Aptos" w:hAnsi="Aptos"/>
                <w:sz w:val="15"/>
              </w:rPr>
              <w:t>Approved city wording, signatory, delivery and proof-of-service.</w:t>
            </w:r>
          </w:p>
        </w:tc>
      </w:tr>
      <w:tr>
        <w:trPr>
          <w:cantSplit/>
        </w:trPr>
        <w:tc>
          <w:tcPr>
            <w:tcW w:type="dxa" w:w="3168"/>
            <w:shd w:fill="FAFCFE"/>
            <w:tcMar>
              <w:top w:w="70" w:type="dxa"/>
              <w:start w:w="80" w:type="dxa"/>
              <w:bottom w:w="70" w:type="dxa"/>
              <w:end w:w="80" w:type="dxa"/>
            </w:tcMar>
            <w:vAlign w:val="top"/>
          </w:tcPr>
          <w:p>
            <w:pPr>
              <w:spacing w:after="0" w:line="240" w:lineRule="auto"/>
            </w:pPr>
            <w:r>
              <w:rPr>
                <w:rFonts w:ascii="Aptos" w:hAnsi="Aptos"/>
                <w:sz w:val="15"/>
              </w:rPr>
              <w:t>Qualitative production date</w:t>
            </w:r>
          </w:p>
        </w:tc>
        <w:tc>
          <w:tcPr>
            <w:tcW w:type="dxa" w:w="3240"/>
            <w:shd w:fill="FAFCFE"/>
            <w:tcMar>
              <w:top w:w="70" w:type="dxa"/>
              <w:start w:w="80" w:type="dxa"/>
              <w:bottom w:w="70" w:type="dxa"/>
              <w:end w:w="80" w:type="dxa"/>
            </w:tcMar>
            <w:vAlign w:val="top"/>
          </w:tcPr>
          <w:p>
            <w:pPr>
              <w:spacing w:after="0" w:line="240" w:lineRule="auto"/>
            </w:pPr>
            <w:r>
              <w:rPr>
                <w:rFonts w:ascii="Aptos" w:hAnsi="Aptos"/>
                <w:sz w:val="15"/>
              </w:rPr>
              <w:t>“Prompt” / “reasonable date and hour.”</w:t>
            </w:r>
          </w:p>
        </w:tc>
        <w:tc>
          <w:tcPr>
            <w:tcW w:type="dxa" w:w="4248"/>
            <w:shd w:fill="FAFCFE"/>
            <w:tcMar>
              <w:top w:w="70" w:type="dxa"/>
              <w:start w:w="80" w:type="dxa"/>
              <w:bottom w:w="70" w:type="dxa"/>
              <w:end w:w="80" w:type="dxa"/>
            </w:tcMar>
            <w:vAlign w:val="top"/>
          </w:tcPr>
          <w:p>
            <w:pPr>
              <w:spacing w:after="0" w:line="240" w:lineRule="auto"/>
            </w:pPr>
            <w:r>
              <w:rPr>
                <w:rFonts w:ascii="Aptos" w:hAnsi="Aptos"/>
                <w:sz w:val="15"/>
              </w:rPr>
              <w:t>Method and approval level for selecting a defensible date.</w:t>
            </w:r>
          </w:p>
        </w:tc>
      </w:tr>
    </w:tbl>
    <w:p>
      <w:pPr>
        <w:pStyle w:val="Heading1"/>
      </w:pPr>
      <w:r>
        <w:t>9. Suggested workflow states for this jurisdiction</w:t>
      </w:r>
    </w:p>
    <w:p>
      <w:pPr>
        <w:spacing w:after="40"/>
      </w:pPr>
      <w:r>
        <w:rPr>
          <w:b/>
          <w:sz w:val="17"/>
        </w:rPr>
        <w:t>Received</w:t>
      </w:r>
      <w:r>
        <w:t xml:space="preserve">  →  </w:t>
      </w:r>
      <w:r>
        <w:rPr>
          <w:b w:val="0"/>
          <w:sz w:val="17"/>
        </w:rPr>
        <w:t>Validated</w:t>
      </w:r>
      <w:r>
        <w:t xml:space="preserve">  →  </w:t>
      </w:r>
      <w:r>
        <w:rPr>
          <w:b w:val="0"/>
          <w:sz w:val="17"/>
        </w:rPr>
        <w:t>Triage Complete</w:t>
      </w:r>
      <w:r>
        <w:t xml:space="preserve">  →  </w:t>
      </w:r>
      <w:r>
        <w:rPr>
          <w:b w:val="0"/>
          <w:sz w:val="17"/>
        </w:rPr>
        <w:t>Clarification Pending / Search &amp; Review</w:t>
      </w:r>
      <w:r>
        <w:t xml:space="preserve">  →  </w:t>
      </w:r>
      <w:r>
        <w:rPr>
          <w:b w:val="0"/>
          <w:sz w:val="17"/>
        </w:rPr>
        <w:t>Estimate or Deposit Pending</w:t>
      </w:r>
      <w:r>
        <w:t xml:space="preserve">  →  </w:t>
      </w:r>
      <w:r>
        <w:rPr>
          <w:b w:val="0"/>
          <w:sz w:val="17"/>
        </w:rPr>
        <w:t>AG / Third-Party Review</w:t>
      </w:r>
      <w:r>
        <w:t xml:space="preserve">  →  </w:t>
      </w:r>
      <w:r>
        <w:rPr>
          <w:b w:val="0"/>
          <w:sz w:val="17"/>
        </w:rPr>
        <w:t>Redaction &amp; Production</w:t>
      </w:r>
      <w:r>
        <w:t xml:space="preserve">  →  </w:t>
      </w:r>
      <w:r>
        <w:rPr>
          <w:b w:val="0"/>
          <w:sz w:val="17"/>
        </w:rPr>
        <w:t>Payment Pending</w:t>
      </w:r>
      <w:r>
        <w:t xml:space="preserve">  →  </w:t>
      </w:r>
      <w:r>
        <w:rPr>
          <w:b w:val="0"/>
          <w:sz w:val="17"/>
        </w:rPr>
        <w:t>Delivered / Closed</w:t>
      </w:r>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Implementation boundary: </w:t>
            </w:r>
            <w:r>
              <w:t>Automate calculations, notices, routing, and statutory consequences. Preserve human determinations for responsiveness, applicability of exceptions, whether a previous determination controls, reasonableness of production dates, and whether programming is actually necessary.</w:t>
            </w:r>
          </w:p>
        </w:tc>
      </w:tr>
    </w:tbl>
    <w:p>
      <w:pPr>
        <w:pStyle w:val="Heading1"/>
      </w:pPr>
      <w:r>
        <w:t>10. Confidence and unresolved local-policy questions</w:t>
      </w:r>
    </w:p>
    <w:p>
      <w:pPr>
        <w:pStyle w:val="CompactList"/>
      </w:pPr>
      <w:r>
        <w:rPr>
          <w:b/>
        </w:rPr>
        <w:t xml:space="preserve">• </w:t>
      </w:r>
      <w:r>
        <w:t>High confidence for the stated statutory deadlines and fee triggers because they are stated in chapter 552 and the 2026 Attorney General handbook.</w:t>
      </w:r>
    </w:p>
    <w:p>
      <w:pPr>
        <w:pStyle w:val="CompactList"/>
      </w:pPr>
      <w:r>
        <w:rPr>
          <w:b/>
        </w:rPr>
        <w:t xml:space="preserve">• </w:t>
      </w:r>
      <w:r>
        <w:t>City-specific cost rates, frequent-requester policies, designated submission channels, and operational classifications must be loaded from local policy.</w:t>
      </w:r>
    </w:p>
    <w:p>
      <w:pPr>
        <w:pStyle w:val="CompactList"/>
      </w:pPr>
      <w:r>
        <w:rPr>
          <w:b/>
        </w:rPr>
        <w:t xml:space="preserve">• </w:t>
      </w:r>
      <w:r>
        <w:t>Texas law changed in 2025 in areas including written notice of no responsive information and previous determinations; deployment should use the current 2026 handbook and current codification.</w:t>
      </w:r>
    </w:p>
    <w:p>
      <w:pPr>
        <w:pStyle w:val="Heading1"/>
      </w:pPr>
      <w:r>
        <w:t>Primary authorities and official resources</w:t>
      </w:r>
    </w:p>
    <w:p>
      <w:pPr>
        <w:pStyle w:val="CompactList"/>
      </w:pPr>
      <w:r>
        <w:rPr>
          <w:b/>
        </w:rPr>
        <w:t xml:space="preserve">• Texas Government Code, chapter 552: </w:t>
      </w:r>
      <w:hyperlink r:id="rId11">
        <w:r>
          <w:rPr>
            <w:color w:val="0563C1"/>
            <w:u w:val="single"/>
          </w:rPr>
          <w:t>https://statutes.capitol.texas.gov/Docs/GV/htm/GV.552.htm</w:t>
        </w:r>
      </w:hyperlink>
    </w:p>
    <w:p>
      <w:pPr>
        <w:pStyle w:val="CompactList"/>
      </w:pPr>
      <w:r>
        <w:rPr>
          <w:b/>
        </w:rPr>
        <w:t xml:space="preserve">• Texas Attorney General, 2026 Public Information Handbook: </w:t>
      </w:r>
      <w:hyperlink r:id="rId12">
        <w:r>
          <w:rPr>
            <w:color w:val="0563C1"/>
            <w:u w:val="single"/>
          </w:rPr>
          <w:t>https://www.texasattorneygeneral.gov/sites/default/files/files/divisions/open-government/PIA-Handbook-2026.pdf</w:t>
        </w:r>
      </w:hyperlink>
    </w:p>
    <w:p>
      <w:pPr>
        <w:pStyle w:val="CompactList"/>
      </w:pPr>
      <w:r>
        <w:rPr>
          <w:b/>
        </w:rPr>
        <w:t xml:space="preserve">• Texas Attorney General, Responding to a Public Information Act Request: </w:t>
      </w:r>
      <w:hyperlink r:id="rId13">
        <w:r>
          <w:rPr>
            <w:color w:val="0563C1"/>
            <w:u w:val="single"/>
          </w:rPr>
          <w:t>https://www.texasattorneygeneral.gov/open-government/governmental-bodies/responding-pia-request</w:t>
        </w:r>
      </w:hyperlink>
    </w:p>
    <w:p>
      <w:pPr>
        <w:pStyle w:val="CompactList"/>
      </w:pPr>
      <w:r>
        <w:rPr>
          <w:b/>
        </w:rPr>
        <w:t xml:space="preserve">• Texas Administrative Code, title 1, chapter 70 cost rules: </w:t>
      </w:r>
      <w:hyperlink r:id="rId14">
        <w:r>
          <w:rPr>
            <w:color w:val="0563C1"/>
            <w:u w:val="single"/>
          </w:rPr>
          <w:t>https://texreg.sos.state.tx.us/public/readtac$ext.ViewTAC?tac_view=4&amp;ti=1&amp;pt=3&amp;ch=70</w:t>
        </w:r>
      </w:hyperlink>
    </w:p>
    <w:tbl>
      <w:tblPr>
        <w:tblW w:type="auto" w:w="0"/>
        <w:jc w:val="center"/>
        <w:tblLayout w:type="fixed"/>
        <w:tblLook w:firstColumn="1" w:firstRow="1" w:lastColumn="0" w:lastRow="0" w:noHBand="0" w:noVBand="1" w:val="04A0"/>
      </w:tblPr>
      <w:tblGrid>
        <w:gridCol w:w="10454"/>
      </w:tblGrid>
      <w:tr>
        <w:tc>
          <w:tcPr>
            <w:tcW w:type="dxa" w:w="10152"/>
            <w:shd w:fill="F3F6F9"/>
            <w:tcMar>
              <w:top w:w="90" w:type="dxa"/>
              <w:start w:w="120" w:type="dxa"/>
              <w:bottom w:w="90" w:type="dxa"/>
              <w:end w:w="120" w:type="dxa"/>
            </w:tcMar>
          </w:tcPr>
          <w:p>
            <w:pPr>
              <w:spacing w:after="0"/>
            </w:pPr>
            <w:r>
              <w:rPr>
                <w:b/>
                <w:color w:val="17365D"/>
              </w:rPr>
              <w:t xml:space="preserve">Legal-use caution: </w:t>
            </w:r>
            <w:r>
              <w:t>This is implementation-oriented legal research, not legal advice. Before production deployment, the city should validate the configuration against current statutes, regulations, controlling decisions, Attorney General or oversight guidance, and the city's adopted fee and records policies.</w:t>
            </w:r>
          </w:p>
        </w:tc>
      </w:tr>
    </w:tbl>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 xml:space="preserve">Research and software-configuration analysis | Accessed July 22,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5"/>
      </w:rPr>
      <w:t>National Open Records Workflow Schema Pilot | 01 Texas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List">
    <w:name w:val="Compact List"/>
    <w:pPr>
      <w:spacing w:after="30"/>
      <w:ind w:left="259" w:hanging="187"/>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tatutes.capitol.texas.gov/Docs/GV/htm/GV.552.htm" TargetMode="External"/><Relationship Id="rId12" Type="http://schemas.openxmlformats.org/officeDocument/2006/relationships/hyperlink" Target="https://www.texasattorneygeneral.gov/sites/default/files/files/divisions/open-government/PIA-Handbook-2026.pdf" TargetMode="External"/><Relationship Id="rId13" Type="http://schemas.openxmlformats.org/officeDocument/2006/relationships/hyperlink" Target="https://www.texasattorneygeneral.gov/open-government/governmental-bodies/responding-pia-request" TargetMode="External"/><Relationship Id="rId14" Type="http://schemas.openxmlformats.org/officeDocument/2006/relationships/hyperlink" Target="https://texreg.sos.state.tx.us/public/readtac$ext.ViewTAC?tac_view=4&amp;ti=1&amp;pt=3&amp;ch=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