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52"/>
        </w:rPr>
        <w:t>Nevada</w:t>
        <w:br/>
      </w:r>
      <w:r>
        <w:rPr>
          <w:color w:val="17365D"/>
          <w:sz w:val="34"/>
        </w:rPr>
        <w:t>Initial Public-Records Processing Workflow</w:t>
        <w:br/>
        <w:t>and Software Configuration Analysis</w:t>
      </w:r>
    </w:p>
    <w:p>
      <w:pPr>
        <w:jc w:val="center"/>
      </w:pPr>
      <w:r>
        <w:rPr>
          <w:i/>
          <w:color w:val="5A5A5A"/>
          <w:sz w:val="18"/>
        </w:rPr>
        <w:t>Pilot State 02 of 10 | City / municipal applicability | Research accessed July 22, 2026</w:t>
      </w:r>
    </w:p>
    <w:tbl>
      <w:tblPr>
        <w:tblW w:type="auto" w:w="0"/>
        <w:jc w:val="center"/>
        <w:tblLayout w:type="fixed"/>
        <w:tblLook w:firstColumn="1" w:firstRow="1" w:lastColumn="0" w:lastRow="0" w:noHBand="0" w:noVBand="1" w:val="04A0"/>
      </w:tblPr>
      <w:tblGrid>
        <w:gridCol w:w="10454"/>
      </w:tblGrid>
      <w:tr>
        <w:tc>
          <w:tcPr>
            <w:tcW w:type="dxa" w:w="10152"/>
            <w:shd w:fill="F3F6F9"/>
            <w:tcMar>
              <w:top w:w="90" w:type="dxa"/>
              <w:start w:w="120" w:type="dxa"/>
              <w:bottom w:w="90" w:type="dxa"/>
              <w:end w:w="120" w:type="dxa"/>
            </w:tcMar>
          </w:tcPr>
          <w:p>
            <w:pPr>
              <w:spacing w:after="0"/>
            </w:pPr>
            <w:r>
              <w:rPr>
                <w:b/>
                <w:color w:val="17365D"/>
              </w:rPr>
              <w:t xml:space="preserve">Scope: </w:t>
            </w:r>
            <w:r>
              <w:t>Nevada Revised Statutes chapter 239 applies to cities and other governmental entities. Although the user’s target is a written city request, NRS 239.0107 also covers oral requests.</w:t>
            </w:r>
          </w:p>
        </w:tc>
      </w:tr>
    </w:tbl>
    <w:tbl>
      <w:tblPr>
        <w:tblW w:type="auto" w:w="0"/>
        <w:jc w:val="center"/>
        <w:tblLayout w:type="fixed"/>
        <w:tblLook w:firstColumn="1" w:firstRow="1" w:lastColumn="0" w:lastRow="0" w:noHBand="0" w:noVBand="1" w:val="04A0"/>
      </w:tblPr>
      <w:tblGrid>
        <w:gridCol w:w="10454"/>
      </w:tblGrid>
      <w:tr>
        <w:tc>
          <w:tcPr>
            <w:tcW w:type="dxa" w:w="10152"/>
            <w:shd w:fill="F3F6F9"/>
            <w:tcMar>
              <w:top w:w="90" w:type="dxa"/>
              <w:start w:w="120" w:type="dxa"/>
              <w:bottom w:w="90" w:type="dxa"/>
              <w:end w:w="120" w:type="dxa"/>
            </w:tcMar>
          </w:tcPr>
          <w:p>
            <w:pPr>
              <w:spacing w:after="0"/>
            </w:pPr>
            <w:r>
              <w:rPr>
                <w:b/>
                <w:color w:val="17365D"/>
              </w:rPr>
              <w:t xml:space="preserve">Method: </w:t>
            </w:r>
            <w:r>
              <w:t>The same fixed method is used for all ten states. Each rule is separated into trigger, condition, action, communication, deadline, clock effect, and configuration source. A qualitative term such as 'prompt' or 'reasonable' is preserved as law and paired with a local-policy configuration field; no numeric value is invented.</w:t>
            </w:r>
          </w:p>
        </w:tc>
      </w:tr>
    </w:tbl>
    <w:p>
      <w:pPr>
        <w:pStyle w:val="Heading1"/>
      </w:pPr>
      <w:r>
        <w:t>Executive conclusions</w:t>
      </w:r>
    </w:p>
    <w:p>
      <w:pPr>
        <w:pStyle w:val="CompactList"/>
      </w:pPr>
      <w:r>
        <w:rPr>
          <w:b/>
        </w:rPr>
        <w:t xml:space="preserve">• </w:t>
      </w:r>
      <w:r>
        <w:t>Nevada uses a single five-business-day response framework rather than statutory “simple” and “complex” tracks.</w:t>
      </w:r>
    </w:p>
    <w:p>
      <w:pPr>
        <w:pStyle w:val="CompactList"/>
      </w:pPr>
      <w:r>
        <w:rPr>
          <w:b/>
        </w:rPr>
        <w:t xml:space="preserve">• </w:t>
      </w:r>
      <w:r>
        <w:t>By the fifth business day the city must produce, redirect to the known custodian, issue a written delay notice with the earliest expected date and time, or issue a written confidentiality denial citing specific legal authority.</w:t>
      </w:r>
    </w:p>
    <w:p>
      <w:pPr>
        <w:pStyle w:val="CompactList"/>
      </w:pPr>
      <w:r>
        <w:rPr>
          <w:b/>
        </w:rPr>
        <w:t xml:space="preserve">• </w:t>
      </w:r>
      <w:r>
        <w:t>If the promised date is missed, the city must send another written explanation and a new expected date and time. This creates a renewable commitment-date workflow rather than a one-time extension.</w:t>
      </w:r>
    </w:p>
    <w:p>
      <w:pPr>
        <w:pStyle w:val="CompactList"/>
      </w:pPr>
      <w:r>
        <w:rPr>
          <w:b/>
        </w:rPr>
        <w:t xml:space="preserve">• </w:t>
      </w:r>
      <w:r>
        <w:t>The city must make a reasonable effort to help focus a request when production cannot occur within five business days. Nevada does not expressly create a clarification tolling or abandonment period.</w:t>
      </w:r>
    </w:p>
    <w:p>
      <w:pPr>
        <w:pStyle w:val="CompactList"/>
      </w:pPr>
      <w:r>
        <w:rPr>
          <w:b/>
        </w:rPr>
        <w:t xml:space="preserve">• </w:t>
      </w:r>
      <w:r>
        <w:t>Current statewide city fee authority is generally actual direct copying cost under NRS 239.052. Former NRS 239.055 extraordinary-use fees were repealed in 2019; a city should not configure an extraordinary personnel fee unless another current statute or regulation authorizes it.</w:t>
      </w:r>
    </w:p>
    <w:p>
      <w:pPr>
        <w:pStyle w:val="Heading2"/>
      </w:pPr>
      <w:r>
        <w:t>Configuration-source legend</w:t>
      </w:r>
    </w:p>
    <w:tbl>
      <w:tblPr>
        <w:tblStyle w:val="TableGrid"/>
        <w:tblW w:type="auto" w:w="0"/>
        <w:jc w:val="center"/>
        <w:tblLayout w:type="fixed"/>
        <w:tblLook w:firstColumn="1" w:firstRow="1" w:lastColumn="0" w:lastRow="0" w:noHBand="0" w:noVBand="1" w:val="04A0"/>
      </w:tblPr>
      <w:tblGrid>
        <w:gridCol w:w="5227"/>
        <w:gridCol w:w="5227"/>
      </w:tblGrid>
      <w:tr>
        <w:trPr>
          <w:tblHeader w:val="true"/>
          <w:cantSplit/>
        </w:trPr>
        <w:tc>
          <w:tcPr>
            <w:tcW w:type="dxa" w:w="2088"/>
            <w:shd w:fill="17365D"/>
            <w:tcMar>
              <w:top w:w="70" w:type="dxa"/>
              <w:start w:w="80" w:type="dxa"/>
              <w:bottom w:w="70" w:type="dxa"/>
              <w:end w:w="80" w:type="dxa"/>
            </w:tcMar>
          </w:tcPr>
          <w:p>
            <w:pPr>
              <w:spacing w:after="0"/>
              <w:jc w:val="left"/>
            </w:pPr>
            <w:r>
              <w:rPr>
                <w:b/>
                <w:color w:val="FFFFFF"/>
                <w:sz w:val="16"/>
              </w:rPr>
              <w:t>Source type</w:t>
            </w:r>
          </w:p>
        </w:tc>
        <w:tc>
          <w:tcPr>
            <w:tcW w:type="dxa" w:w="8063"/>
            <w:shd w:fill="17365D"/>
            <w:tcMar>
              <w:top w:w="70" w:type="dxa"/>
              <w:start w:w="80" w:type="dxa"/>
              <w:bottom w:w="70" w:type="dxa"/>
              <w:end w:w="80" w:type="dxa"/>
            </w:tcMar>
          </w:tcPr>
          <w:p>
            <w:pPr>
              <w:spacing w:after="0"/>
              <w:jc w:val="left"/>
            </w:pPr>
            <w:r>
              <w:rPr>
                <w:b/>
                <w:color w:val="FFFFFF"/>
                <w:sz w:val="16"/>
              </w:rPr>
              <w:t>Meaning</w:t>
            </w:r>
          </w:p>
        </w:tc>
      </w:tr>
      <w:tr>
        <w:trPr>
          <w:cantSplit/>
        </w:trPr>
        <w:tc>
          <w:tcPr>
            <w:tcW w:type="dxa" w:w="2088"/>
            <w:tcMar>
              <w:top w:w="70" w:type="dxa"/>
              <w:start w:w="80" w:type="dxa"/>
              <w:bottom w:w="70" w:type="dxa"/>
              <w:end w:w="80" w:type="dxa"/>
            </w:tcMar>
            <w:vAlign w:val="top"/>
          </w:tcPr>
          <w:p>
            <w:pPr>
              <w:spacing w:after="0" w:line="240" w:lineRule="auto"/>
            </w:pPr>
            <w:r>
              <w:rPr>
                <w:rFonts w:ascii="Aptos" w:hAnsi="Aptos"/>
                <w:sz w:val="16"/>
              </w:rPr>
              <w:t>Statutory / statewide</w:t>
            </w:r>
          </w:p>
        </w:tc>
        <w:tc>
          <w:tcPr>
            <w:tcW w:type="dxa" w:w="8063"/>
            <w:tcMar>
              <w:top w:w="70" w:type="dxa"/>
              <w:start w:w="80" w:type="dxa"/>
              <w:bottom w:w="70" w:type="dxa"/>
              <w:end w:w="80" w:type="dxa"/>
            </w:tcMar>
            <w:vAlign w:val="top"/>
          </w:tcPr>
          <w:p>
            <w:pPr>
              <w:spacing w:after="0" w:line="240" w:lineRule="auto"/>
            </w:pPr>
            <w:r>
              <w:rPr>
                <w:rFonts w:ascii="Aptos" w:hAnsi="Aptos"/>
                <w:sz w:val="16"/>
              </w:rPr>
              <w:t>A value or rule supplied by binding statewide law or generally applicable regulation.</w:t>
            </w:r>
          </w:p>
        </w:tc>
      </w:tr>
      <w:tr>
        <w:trPr>
          <w:cantSplit/>
        </w:trPr>
        <w:tc>
          <w:tcPr>
            <w:tcW w:type="dxa" w:w="2088"/>
            <w:shd w:fill="FAFCFE"/>
            <w:tcMar>
              <w:top w:w="70" w:type="dxa"/>
              <w:start w:w="80" w:type="dxa"/>
              <w:bottom w:w="70" w:type="dxa"/>
              <w:end w:w="80" w:type="dxa"/>
            </w:tcMar>
            <w:vAlign w:val="top"/>
          </w:tcPr>
          <w:p>
            <w:pPr>
              <w:spacing w:after="0" w:line="240" w:lineRule="auto"/>
            </w:pPr>
            <w:r>
              <w:rPr>
                <w:rFonts w:ascii="Aptos" w:hAnsi="Aptos"/>
                <w:sz w:val="16"/>
              </w:rPr>
              <w:t>Jurisdiction policy</w:t>
            </w:r>
          </w:p>
        </w:tc>
        <w:tc>
          <w:tcPr>
            <w:tcW w:type="dxa" w:w="8063"/>
            <w:shd w:fill="FAFCFE"/>
            <w:tcMar>
              <w:top w:w="70" w:type="dxa"/>
              <w:start w:w="80" w:type="dxa"/>
              <w:bottom w:w="70" w:type="dxa"/>
              <w:end w:w="80" w:type="dxa"/>
            </w:tcMar>
            <w:vAlign w:val="top"/>
          </w:tcPr>
          <w:p>
            <w:pPr>
              <w:spacing w:after="0" w:line="240" w:lineRule="auto"/>
            </w:pPr>
            <w:r>
              <w:rPr>
                <w:rFonts w:ascii="Aptos" w:hAnsi="Aptos"/>
                <w:sz w:val="16"/>
              </w:rPr>
              <w:t>The state leaves a number, standard, workflow choice, rate, or notice practice to the city.</w:t>
            </w:r>
          </w:p>
        </w:tc>
      </w:tr>
      <w:tr>
        <w:trPr>
          <w:cantSplit/>
        </w:trPr>
        <w:tc>
          <w:tcPr>
            <w:tcW w:type="dxa" w:w="2088"/>
            <w:tcMar>
              <w:top w:w="70" w:type="dxa"/>
              <w:start w:w="80" w:type="dxa"/>
              <w:bottom w:w="70" w:type="dxa"/>
              <w:end w:w="80" w:type="dxa"/>
            </w:tcMar>
            <w:vAlign w:val="top"/>
          </w:tcPr>
          <w:p>
            <w:pPr>
              <w:spacing w:after="0" w:line="240" w:lineRule="auto"/>
            </w:pPr>
            <w:r>
              <w:rPr>
                <w:rFonts w:ascii="Aptos" w:hAnsi="Aptos"/>
                <w:sz w:val="16"/>
              </w:rPr>
              <w:t>Operational</w:t>
            </w:r>
          </w:p>
        </w:tc>
        <w:tc>
          <w:tcPr>
            <w:tcW w:type="dxa" w:w="8063"/>
            <w:tcMar>
              <w:top w:w="70" w:type="dxa"/>
              <w:start w:w="80" w:type="dxa"/>
              <w:bottom w:w="70" w:type="dxa"/>
              <w:end w:w="80" w:type="dxa"/>
            </w:tcMar>
            <w:vAlign w:val="top"/>
          </w:tcPr>
          <w:p>
            <w:pPr>
              <w:spacing w:after="0" w:line="240" w:lineRule="auto"/>
            </w:pPr>
            <w:r>
              <w:rPr>
                <w:rFonts w:ascii="Aptos" w:hAnsi="Aptos"/>
                <w:sz w:val="16"/>
              </w:rPr>
              <w:t>A workload-management choice that does not itself alter legal rights or deadlines.</w:t>
            </w:r>
          </w:p>
        </w:tc>
      </w:tr>
    </w:tbl>
    <w:p>
      <w:pPr>
        <w:pStyle w:val="Heading1"/>
      </w:pPr>
      <w:r>
        <w:t>1. Intake and initial legal review</w:t>
      </w:r>
    </w:p>
    <w:p>
      <w:pPr>
        <w:pStyle w:val="CompactList"/>
      </w:pPr>
      <w:r>
        <w:rPr>
          <w:b/>
        </w:rPr>
        <w:t xml:space="preserve">• </w:t>
      </w:r>
      <w:r>
        <w:t>Capture the date the person with legal custody or control receives the request; that event starts the five-business-day timer.</w:t>
      </w:r>
    </w:p>
    <w:p>
      <w:pPr>
        <w:pStyle w:val="CompactList"/>
      </w:pPr>
      <w:r>
        <w:rPr>
          <w:b/>
        </w:rPr>
        <w:t xml:space="preserve">• </w:t>
      </w:r>
      <w:r>
        <w:t>Determine custody/control, whether the record is readily available, whether confidential material can be segregated, and whether the request needs focusing assistance.</w:t>
      </w:r>
    </w:p>
    <w:p>
      <w:pPr>
        <w:pStyle w:val="CompactList"/>
      </w:pPr>
      <w:r>
        <w:rPr>
          <w:b/>
        </w:rPr>
        <w:t xml:space="preserve">• </w:t>
      </w:r>
      <w:r>
        <w:t>Because the law accepts oral requests, the city’s software should allow staff to memorialize an oral request even if the city encourages a written form.</w:t>
      </w:r>
    </w:p>
    <w:p>
      <w:pPr>
        <w:pStyle w:val="CompactList"/>
      </w:pPr>
      <w:r>
        <w:rPr>
          <w:b/>
        </w:rPr>
        <w:t xml:space="preserve">• </w:t>
      </w:r>
      <w:r>
        <w:t>Readily available records must be provided as expeditiously as practicable; the city may not routinely wait until day five.</w:t>
      </w:r>
    </w:p>
    <w:p>
      <w:pPr>
        <w:pStyle w:val="Heading1"/>
      </w:pPr>
      <w:r>
        <w:t>2. Deadline and required-communication matrix</w:t>
      </w:r>
    </w:p>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1872"/>
            <w:shd w:fill="17365D"/>
            <w:tcMar>
              <w:top w:w="70" w:type="dxa"/>
              <w:start w:w="80" w:type="dxa"/>
              <w:bottom w:w="70" w:type="dxa"/>
              <w:end w:w="80" w:type="dxa"/>
            </w:tcMar>
          </w:tcPr>
          <w:p>
            <w:pPr>
              <w:spacing w:after="0"/>
              <w:jc w:val="left"/>
            </w:pPr>
            <w:r>
              <w:rPr>
                <w:b/>
                <w:color w:val="FFFFFF"/>
                <w:sz w:val="15"/>
              </w:rPr>
              <w:t>Trigger / deadline</w:t>
            </w:r>
          </w:p>
        </w:tc>
        <w:tc>
          <w:tcPr>
            <w:tcW w:type="dxa" w:w="4752"/>
            <w:shd w:fill="17365D"/>
            <w:tcMar>
              <w:top w:w="70" w:type="dxa"/>
              <w:start w:w="80" w:type="dxa"/>
              <w:bottom w:w="70" w:type="dxa"/>
              <w:end w:w="80" w:type="dxa"/>
            </w:tcMar>
          </w:tcPr>
          <w:p>
            <w:pPr>
              <w:spacing w:after="0"/>
              <w:jc w:val="left"/>
            </w:pPr>
            <w:r>
              <w:rPr>
                <w:b/>
                <w:color w:val="FFFFFF"/>
                <w:sz w:val="15"/>
              </w:rPr>
              <w:t>Required outcome or communication</w:t>
            </w:r>
          </w:p>
        </w:tc>
        <w:tc>
          <w:tcPr>
            <w:tcW w:type="dxa" w:w="1655"/>
            <w:shd w:fill="17365D"/>
            <w:tcMar>
              <w:top w:w="70" w:type="dxa"/>
              <w:start w:w="80" w:type="dxa"/>
              <w:bottom w:w="70" w:type="dxa"/>
              <w:end w:w="80" w:type="dxa"/>
            </w:tcMar>
          </w:tcPr>
          <w:p>
            <w:pPr>
              <w:spacing w:after="0"/>
              <w:jc w:val="left"/>
            </w:pPr>
            <w:r>
              <w:rPr>
                <w:b/>
                <w:color w:val="FFFFFF"/>
                <w:sz w:val="15"/>
              </w:rPr>
              <w:t>Clock effect</w:t>
            </w:r>
          </w:p>
        </w:tc>
        <w:tc>
          <w:tcPr>
            <w:tcW w:type="dxa" w:w="1872"/>
            <w:shd w:fill="17365D"/>
            <w:tcMar>
              <w:top w:w="70" w:type="dxa"/>
              <w:start w:w="80" w:type="dxa"/>
              <w:bottom w:w="70" w:type="dxa"/>
              <w:end w:w="80" w:type="dxa"/>
            </w:tcMar>
          </w:tcPr>
          <w:p>
            <w:pPr>
              <w:spacing w:after="0"/>
              <w:jc w:val="left"/>
            </w:pPr>
            <w:r>
              <w:rPr>
                <w:b/>
                <w:color w:val="FFFFFF"/>
                <w:sz w:val="15"/>
              </w:rPr>
              <w:t>Source</w:t>
            </w:r>
          </w:p>
        </w:tc>
      </w:tr>
      <w:tr>
        <w:trPr>
          <w:cantSplit/>
        </w:trPr>
        <w:tc>
          <w:tcPr>
            <w:tcW w:type="dxa" w:w="1872"/>
            <w:tcMar>
              <w:top w:w="70" w:type="dxa"/>
              <w:start w:w="80" w:type="dxa"/>
              <w:bottom w:w="70" w:type="dxa"/>
              <w:end w:w="80" w:type="dxa"/>
            </w:tcMar>
            <w:vAlign w:val="top"/>
          </w:tcPr>
          <w:p>
            <w:pPr>
              <w:spacing w:after="0" w:line="240" w:lineRule="auto"/>
            </w:pPr>
            <w:r>
              <w:rPr>
                <w:rFonts w:ascii="Aptos" w:hAnsi="Aptos"/>
                <w:sz w:val="15"/>
              </w:rPr>
              <w:t>End of 5th business day</w:t>
            </w:r>
          </w:p>
        </w:tc>
        <w:tc>
          <w:tcPr>
            <w:tcW w:type="dxa" w:w="4752"/>
            <w:tcMar>
              <w:top w:w="70" w:type="dxa"/>
              <w:start w:w="80" w:type="dxa"/>
              <w:bottom w:w="70" w:type="dxa"/>
              <w:end w:w="80" w:type="dxa"/>
            </w:tcMar>
            <w:vAlign w:val="top"/>
          </w:tcPr>
          <w:p>
            <w:pPr>
              <w:spacing w:after="0" w:line="240" w:lineRule="auto"/>
            </w:pPr>
            <w:r>
              <w:rPr>
                <w:rFonts w:ascii="Aptos" w:hAnsi="Aptos"/>
                <w:sz w:val="15"/>
              </w:rPr>
              <w:t>Produce; or send no-custody notice and known custodian; or written delay with earliest date/time; or written denial with specific legal authority.</w:t>
            </w:r>
          </w:p>
        </w:tc>
        <w:tc>
          <w:tcPr>
            <w:tcW w:type="dxa" w:w="1655"/>
            <w:tcMar>
              <w:top w:w="70" w:type="dxa"/>
              <w:start w:w="80" w:type="dxa"/>
              <w:bottom w:w="70" w:type="dxa"/>
              <w:end w:w="80" w:type="dxa"/>
            </w:tcMar>
            <w:vAlign w:val="top"/>
          </w:tcPr>
          <w:p>
            <w:pPr>
              <w:spacing w:after="0" w:line="240" w:lineRule="auto"/>
            </w:pPr>
            <w:r>
              <w:rPr>
                <w:rFonts w:ascii="Aptos" w:hAnsi="Aptos"/>
                <w:sz w:val="15"/>
              </w:rPr>
              <w:t>Initial response satisfied; production may continue.</w:t>
            </w:r>
          </w:p>
        </w:tc>
        <w:tc>
          <w:tcPr>
            <w:tcW w:type="dxa" w:w="1872"/>
            <w:tcMar>
              <w:top w:w="70" w:type="dxa"/>
              <w:start w:w="80" w:type="dxa"/>
              <w:bottom w:w="70" w:type="dxa"/>
              <w:end w:w="80" w:type="dxa"/>
            </w:tcMar>
            <w:vAlign w:val="top"/>
          </w:tcPr>
          <w:p>
            <w:pPr>
              <w:spacing w:after="0" w:line="240" w:lineRule="auto"/>
            </w:pPr>
            <w:r>
              <w:rPr>
                <w:rFonts w:ascii="Aptos" w:hAnsi="Aptos"/>
                <w:sz w:val="15"/>
              </w:rPr>
              <w:t>NRS 239.0107(1)</w:t>
            </w:r>
          </w:p>
        </w:tc>
      </w:tr>
      <w:tr>
        <w:trPr>
          <w:cantSplit/>
        </w:trPr>
        <w:tc>
          <w:tcPr>
            <w:tcW w:type="dxa" w:w="1872"/>
            <w:shd w:fill="FAFCFE"/>
            <w:tcMar>
              <w:top w:w="70" w:type="dxa"/>
              <w:start w:w="80" w:type="dxa"/>
              <w:bottom w:w="70" w:type="dxa"/>
              <w:end w:w="80" w:type="dxa"/>
            </w:tcMar>
            <w:vAlign w:val="top"/>
          </w:tcPr>
          <w:p>
            <w:pPr>
              <w:spacing w:after="0" w:line="240" w:lineRule="auto"/>
            </w:pPr>
            <w:r>
              <w:rPr>
                <w:rFonts w:ascii="Aptos" w:hAnsi="Aptos"/>
                <w:sz w:val="15"/>
              </w:rPr>
              <w:t>Readily available</w:t>
            </w:r>
          </w:p>
        </w:tc>
        <w:tc>
          <w:tcPr>
            <w:tcW w:type="dxa" w:w="4752"/>
            <w:shd w:fill="FAFCFE"/>
            <w:tcMar>
              <w:top w:w="70" w:type="dxa"/>
              <w:start w:w="80" w:type="dxa"/>
              <w:bottom w:w="70" w:type="dxa"/>
              <w:end w:w="80" w:type="dxa"/>
            </w:tcMar>
            <w:vAlign w:val="top"/>
          </w:tcPr>
          <w:p>
            <w:pPr>
              <w:spacing w:after="0" w:line="240" w:lineRule="auto"/>
            </w:pPr>
            <w:r>
              <w:rPr>
                <w:rFonts w:ascii="Aptos" w:hAnsi="Aptos"/>
                <w:sz w:val="15"/>
              </w:rPr>
              <w:t>Allow inspection/copy or provide copy as expeditiously as practicable.</w:t>
            </w:r>
          </w:p>
        </w:tc>
        <w:tc>
          <w:tcPr>
            <w:tcW w:type="dxa" w:w="1655"/>
            <w:shd w:fill="FAFCFE"/>
            <w:tcMar>
              <w:top w:w="70" w:type="dxa"/>
              <w:start w:w="80" w:type="dxa"/>
              <w:bottom w:w="70" w:type="dxa"/>
              <w:end w:w="80" w:type="dxa"/>
            </w:tcMar>
            <w:vAlign w:val="top"/>
          </w:tcPr>
          <w:p>
            <w:pPr>
              <w:spacing w:after="0" w:line="240" w:lineRule="auto"/>
            </w:pPr>
            <w:r>
              <w:rPr>
                <w:rFonts w:ascii="Aptos" w:hAnsi="Aptos"/>
                <w:sz w:val="15"/>
              </w:rPr>
              <w:t>No five-day waiting period.</w:t>
            </w:r>
          </w:p>
        </w:tc>
        <w:tc>
          <w:tcPr>
            <w:tcW w:type="dxa" w:w="1872"/>
            <w:shd w:fill="FAFCFE"/>
            <w:tcMar>
              <w:top w:w="70" w:type="dxa"/>
              <w:start w:w="80" w:type="dxa"/>
              <w:bottom w:w="70" w:type="dxa"/>
              <w:end w:w="80" w:type="dxa"/>
            </w:tcMar>
            <w:vAlign w:val="top"/>
          </w:tcPr>
          <w:p>
            <w:pPr>
              <w:spacing w:after="0" w:line="240" w:lineRule="auto"/>
            </w:pPr>
            <w:r>
              <w:rPr>
                <w:rFonts w:ascii="Aptos" w:hAnsi="Aptos"/>
                <w:sz w:val="15"/>
              </w:rPr>
              <w:t>NRS 239.0107(2)</w:t>
            </w:r>
          </w:p>
        </w:tc>
      </w:tr>
      <w:tr>
        <w:trPr>
          <w:cantSplit/>
        </w:trPr>
        <w:tc>
          <w:tcPr>
            <w:tcW w:type="dxa" w:w="1872"/>
            <w:tcMar>
              <w:top w:w="70" w:type="dxa"/>
              <w:start w:w="80" w:type="dxa"/>
              <w:bottom w:w="70" w:type="dxa"/>
              <w:end w:w="80" w:type="dxa"/>
            </w:tcMar>
            <w:vAlign w:val="top"/>
          </w:tcPr>
          <w:p>
            <w:pPr>
              <w:spacing w:after="0" w:line="240" w:lineRule="auto"/>
            </w:pPr>
            <w:r>
              <w:rPr>
                <w:rFonts w:ascii="Aptos" w:hAnsi="Aptos"/>
                <w:sz w:val="15"/>
              </w:rPr>
              <w:t>Promised date missed</w:t>
            </w:r>
          </w:p>
        </w:tc>
        <w:tc>
          <w:tcPr>
            <w:tcW w:type="dxa" w:w="4752"/>
            <w:tcMar>
              <w:top w:w="70" w:type="dxa"/>
              <w:start w:w="80" w:type="dxa"/>
              <w:bottom w:w="70" w:type="dxa"/>
              <w:end w:w="80" w:type="dxa"/>
            </w:tcMar>
            <w:vAlign w:val="top"/>
          </w:tcPr>
          <w:p>
            <w:pPr>
              <w:spacing w:after="0" w:line="240" w:lineRule="auto"/>
            </w:pPr>
            <w:r>
              <w:rPr>
                <w:rFonts w:ascii="Aptos" w:hAnsi="Aptos"/>
                <w:sz w:val="15"/>
              </w:rPr>
              <w:t>Send written explanation and a new date and time reasonably believed available.</w:t>
            </w:r>
          </w:p>
        </w:tc>
        <w:tc>
          <w:tcPr>
            <w:tcW w:type="dxa" w:w="1655"/>
            <w:tcMar>
              <w:top w:w="70" w:type="dxa"/>
              <w:start w:w="80" w:type="dxa"/>
              <w:bottom w:w="70" w:type="dxa"/>
              <w:end w:w="80" w:type="dxa"/>
            </w:tcMar>
            <w:vAlign w:val="top"/>
          </w:tcPr>
          <w:p>
            <w:pPr>
              <w:spacing w:after="0" w:line="240" w:lineRule="auto"/>
            </w:pPr>
            <w:r>
              <w:rPr>
                <w:rFonts w:ascii="Aptos" w:hAnsi="Aptos"/>
                <w:sz w:val="15"/>
              </w:rPr>
              <w:t>Replaces commitment date; repeats if missed.</w:t>
            </w:r>
          </w:p>
        </w:tc>
        <w:tc>
          <w:tcPr>
            <w:tcW w:type="dxa" w:w="1872"/>
            <w:tcMar>
              <w:top w:w="70" w:type="dxa"/>
              <w:start w:w="80" w:type="dxa"/>
              <w:bottom w:w="70" w:type="dxa"/>
              <w:end w:w="80" w:type="dxa"/>
            </w:tcMar>
            <w:vAlign w:val="top"/>
          </w:tcPr>
          <w:p>
            <w:pPr>
              <w:spacing w:after="0" w:line="240" w:lineRule="auto"/>
            </w:pPr>
            <w:r>
              <w:rPr>
                <w:rFonts w:ascii="Aptos" w:hAnsi="Aptos"/>
                <w:sz w:val="15"/>
              </w:rPr>
              <w:t>NRS 239.0107(1)(c)(1)</w:t>
            </w:r>
          </w:p>
        </w:tc>
      </w:tr>
      <w:tr>
        <w:trPr>
          <w:cantSplit/>
        </w:trPr>
        <w:tc>
          <w:tcPr>
            <w:tcW w:type="dxa" w:w="1872"/>
            <w:shd w:fill="FAFCFE"/>
            <w:tcMar>
              <w:top w:w="70" w:type="dxa"/>
              <w:start w:w="80" w:type="dxa"/>
              <w:bottom w:w="70" w:type="dxa"/>
              <w:end w:w="80" w:type="dxa"/>
            </w:tcMar>
            <w:vAlign w:val="top"/>
          </w:tcPr>
          <w:p>
            <w:pPr>
              <w:spacing w:after="0" w:line="240" w:lineRule="auto"/>
            </w:pPr>
            <w:r>
              <w:rPr>
                <w:rFonts w:ascii="Aptos" w:hAnsi="Aptos"/>
                <w:sz w:val="15"/>
              </w:rPr>
              <w:t>Delay branch</w:t>
            </w:r>
          </w:p>
        </w:tc>
        <w:tc>
          <w:tcPr>
            <w:tcW w:type="dxa" w:w="4752"/>
            <w:shd w:fill="FAFCFE"/>
            <w:tcMar>
              <w:top w:w="70" w:type="dxa"/>
              <w:start w:w="80" w:type="dxa"/>
              <w:bottom w:w="70" w:type="dxa"/>
              <w:end w:w="80" w:type="dxa"/>
            </w:tcMar>
            <w:vAlign w:val="top"/>
          </w:tcPr>
          <w:p>
            <w:pPr>
              <w:spacing w:after="0" w:line="240" w:lineRule="auto"/>
            </w:pPr>
            <w:r>
              <w:rPr>
                <w:rFonts w:ascii="Aptos" w:hAnsi="Aptos"/>
                <w:sz w:val="15"/>
              </w:rPr>
              <w:t>Make reasonable effort to assist requester to focus request for expeditious access.</w:t>
            </w:r>
          </w:p>
        </w:tc>
        <w:tc>
          <w:tcPr>
            <w:tcW w:type="dxa" w:w="1655"/>
            <w:shd w:fill="FAFCFE"/>
            <w:tcMar>
              <w:top w:w="70" w:type="dxa"/>
              <w:start w:w="80" w:type="dxa"/>
              <w:bottom w:w="70" w:type="dxa"/>
              <w:end w:w="80" w:type="dxa"/>
            </w:tcMar>
            <w:vAlign w:val="top"/>
          </w:tcPr>
          <w:p>
            <w:pPr>
              <w:spacing w:after="0" w:line="240" w:lineRule="auto"/>
            </w:pPr>
            <w:r>
              <w:rPr>
                <w:rFonts w:ascii="Aptos" w:hAnsi="Aptos"/>
                <w:sz w:val="15"/>
              </w:rPr>
              <w:t>No express tolling.</w:t>
            </w:r>
          </w:p>
        </w:tc>
        <w:tc>
          <w:tcPr>
            <w:tcW w:type="dxa" w:w="1872"/>
            <w:shd w:fill="FAFCFE"/>
            <w:tcMar>
              <w:top w:w="70" w:type="dxa"/>
              <w:start w:w="80" w:type="dxa"/>
              <w:bottom w:w="70" w:type="dxa"/>
              <w:end w:w="80" w:type="dxa"/>
            </w:tcMar>
            <w:vAlign w:val="top"/>
          </w:tcPr>
          <w:p>
            <w:pPr>
              <w:spacing w:after="0" w:line="240" w:lineRule="auto"/>
            </w:pPr>
            <w:r>
              <w:rPr>
                <w:rFonts w:ascii="Aptos" w:hAnsi="Aptos"/>
                <w:sz w:val="15"/>
              </w:rPr>
              <w:t>NRS 239.0107(1)(c)(2)</w:t>
            </w:r>
          </w:p>
        </w:tc>
      </w:tr>
      <w:tr>
        <w:trPr>
          <w:cantSplit/>
        </w:trPr>
        <w:tc>
          <w:tcPr>
            <w:tcW w:type="dxa" w:w="1872"/>
            <w:tcMar>
              <w:top w:w="70" w:type="dxa"/>
              <w:start w:w="80" w:type="dxa"/>
              <w:bottom w:w="70" w:type="dxa"/>
              <w:end w:w="80" w:type="dxa"/>
            </w:tcMar>
            <w:vAlign w:val="top"/>
          </w:tcPr>
          <w:p>
            <w:pPr>
              <w:spacing w:after="0" w:line="240" w:lineRule="auto"/>
            </w:pPr>
            <w:r>
              <w:rPr>
                <w:rFonts w:ascii="Aptos" w:hAnsi="Aptos"/>
                <w:sz w:val="15"/>
              </w:rPr>
              <w:t>Confidential record/portion</w:t>
            </w:r>
          </w:p>
        </w:tc>
        <w:tc>
          <w:tcPr>
            <w:tcW w:type="dxa" w:w="4752"/>
            <w:tcMar>
              <w:top w:w="70" w:type="dxa"/>
              <w:start w:w="80" w:type="dxa"/>
              <w:bottom w:w="70" w:type="dxa"/>
              <w:end w:w="80" w:type="dxa"/>
            </w:tcMar>
            <w:vAlign w:val="top"/>
          </w:tcPr>
          <w:p>
            <w:pPr>
              <w:spacing w:after="0" w:line="240" w:lineRule="auto"/>
            </w:pPr>
            <w:r>
              <w:rPr>
                <w:rFonts w:ascii="Aptos" w:hAnsi="Aptos"/>
                <w:sz w:val="15"/>
              </w:rPr>
              <w:t>Written denial notice plus citation to specific statute or other authority.</w:t>
            </w:r>
          </w:p>
        </w:tc>
        <w:tc>
          <w:tcPr>
            <w:tcW w:type="dxa" w:w="1655"/>
            <w:tcMar>
              <w:top w:w="70" w:type="dxa"/>
              <w:start w:w="80" w:type="dxa"/>
              <w:bottom w:w="70" w:type="dxa"/>
              <w:end w:w="80" w:type="dxa"/>
            </w:tcMar>
            <w:vAlign w:val="top"/>
          </w:tcPr>
          <w:p>
            <w:pPr>
              <w:spacing w:after="0" w:line="240" w:lineRule="auto"/>
            </w:pPr>
            <w:r>
              <w:rPr>
                <w:rFonts w:ascii="Aptos" w:hAnsi="Aptos"/>
                <w:sz w:val="15"/>
              </w:rPr>
              <w:t>Closes withheld portion; segregable remainder continues.</w:t>
            </w:r>
          </w:p>
        </w:tc>
        <w:tc>
          <w:tcPr>
            <w:tcW w:type="dxa" w:w="1872"/>
            <w:tcMar>
              <w:top w:w="70" w:type="dxa"/>
              <w:start w:w="80" w:type="dxa"/>
              <w:bottom w:w="70" w:type="dxa"/>
              <w:end w:w="80" w:type="dxa"/>
            </w:tcMar>
            <w:vAlign w:val="top"/>
          </w:tcPr>
          <w:p>
            <w:pPr>
              <w:spacing w:after="0" w:line="240" w:lineRule="auto"/>
            </w:pPr>
            <w:r>
              <w:rPr>
                <w:rFonts w:ascii="Aptos" w:hAnsi="Aptos"/>
                <w:sz w:val="15"/>
              </w:rPr>
              <w:t>NRS 239.0107(1)(d)</w:t>
            </w:r>
          </w:p>
        </w:tc>
      </w:tr>
    </w:tbl>
    <w:p>
      <w:pPr>
        <w:pStyle w:val="Heading1"/>
      </w:pPr>
      <w:r>
        <w:t>3. Vague, unclear, or overly broad requests</w:t>
      </w:r>
    </w:p>
    <w:p>
      <w:pPr>
        <w:pStyle w:val="CompactList"/>
      </w:pPr>
      <w:r>
        <w:rPr>
          <w:b/>
        </w:rPr>
        <w:t xml:space="preserve">• </w:t>
      </w:r>
      <w:r>
        <w:t>Nevada expressly requires reasonable focusing assistance when the city cannot make the record available by the fifth business day.</w:t>
      </w:r>
    </w:p>
    <w:p>
      <w:pPr>
        <w:pStyle w:val="CompactList"/>
      </w:pPr>
      <w:r>
        <w:rPr>
          <w:b/>
        </w:rPr>
        <w:t xml:space="preserve">• </w:t>
      </w:r>
      <w:r>
        <w:t>The statute does not specify a separate deadline for the requester to clarify, does not say the five-day clock pauses, and does not create a statewide abandonment rule.</w:t>
      </w:r>
    </w:p>
    <w:p>
      <w:pPr>
        <w:pStyle w:val="CompactList"/>
      </w:pPr>
      <w:r>
        <w:rPr>
          <w:b/>
        </w:rPr>
        <w:t xml:space="preserve">• </w:t>
      </w:r>
      <w:r>
        <w:t>The safest normalized workflow is to meet the original five-day deadline with an authorized written response while simultaneously requesting clarification and offering concrete narrowing options.</w:t>
      </w:r>
    </w:p>
    <w:p>
      <w:pPr>
        <w:pStyle w:val="CompactList"/>
      </w:pPr>
      <w:r>
        <w:rPr>
          <w:b/>
        </w:rPr>
        <w:t xml:space="preserve">• </w:t>
      </w:r>
      <w:r>
        <w:t>Any local nonresponse-closure period should be labeled jurisdiction policy, not Nevada statutory law.</w:t>
      </w:r>
    </w:p>
    <w:tbl>
      <w:tblPr>
        <w:tblW w:type="auto" w:w="0"/>
        <w:jc w:val="center"/>
        <w:tblLayout w:type="fixed"/>
        <w:tblLook w:firstColumn="1" w:firstRow="1" w:lastColumn="0" w:lastRow="0" w:noHBand="0" w:noVBand="1" w:val="04A0"/>
      </w:tblPr>
      <w:tblGrid>
        <w:gridCol w:w="10454"/>
      </w:tblGrid>
      <w:tr>
        <w:tc>
          <w:tcPr>
            <w:tcW w:type="dxa" w:w="10152"/>
            <w:shd w:fill="F3F6F9"/>
            <w:tcMar>
              <w:top w:w="90" w:type="dxa"/>
              <w:start w:w="120" w:type="dxa"/>
              <w:bottom w:w="90" w:type="dxa"/>
              <w:end w:w="120" w:type="dxa"/>
            </w:tcMar>
          </w:tcPr>
          <w:p>
            <w:pPr>
              <w:spacing w:after="0"/>
            </w:pPr>
            <w:r>
              <w:rPr>
                <w:b/>
                <w:color w:val="17365D"/>
              </w:rPr>
              <w:t xml:space="preserve">Engine treatment: </w:t>
            </w:r>
            <w:r>
              <w:t>Do not implement a statewide automatic clock stop. Store clarification as a parallel requester-action task. Require the city to choose an authorized five-day response branch and configure any local inactivity/closure period separately.</w:t>
            </w:r>
          </w:p>
        </w:tc>
      </w:tr>
    </w:tbl>
    <w:p>
      <w:pPr>
        <w:pStyle w:val="Heading1"/>
      </w:pPr>
      <w:r>
        <w:t>4. Denial, withholding, and partial production</w:t>
      </w:r>
    </w:p>
    <w:p>
      <w:pPr>
        <w:pStyle w:val="CompactList"/>
      </w:pPr>
      <w:r>
        <w:rPr>
          <w:b/>
        </w:rPr>
        <w:t xml:space="preserve">• </w:t>
      </w:r>
      <w:r>
        <w:t>A confidentiality denial must be written and cite the specific statute or other legal authority making the record or portion confidential.</w:t>
      </w:r>
    </w:p>
    <w:p>
      <w:pPr>
        <w:pStyle w:val="CompactList"/>
      </w:pPr>
      <w:r>
        <w:rPr>
          <w:b/>
        </w:rPr>
        <w:t xml:space="preserve">• </w:t>
      </w:r>
      <w:r>
        <w:t>The presence of confidential material is not a basis to withhold an entire record when confidential content can be redacted, deleted, concealed, or separated.</w:t>
      </w:r>
    </w:p>
    <w:p>
      <w:pPr>
        <w:pStyle w:val="CompactList"/>
      </w:pPr>
      <w:r>
        <w:rPr>
          <w:b/>
        </w:rPr>
        <w:t xml:space="preserve">• </w:t>
      </w:r>
      <w:r>
        <w:t>No-custody is a separate response, not a denial: the city must identify the governmental entity with custody and its name/address if known.</w:t>
      </w:r>
    </w:p>
    <w:p>
      <w:pPr>
        <w:pStyle w:val="CompactList"/>
      </w:pPr>
      <w:r>
        <w:rPr>
          <w:b/>
        </w:rPr>
        <w:t xml:space="preserve">• </w:t>
      </w:r>
      <w:r>
        <w:t>An unreasonably delayed or denied requester may seek judicial relief; the engine should preserve the full date and communication history.</w:t>
      </w:r>
    </w:p>
    <w:p>
      <w:pPr>
        <w:pStyle w:val="Heading1"/>
      </w:pPr>
      <w:r>
        <w:t>5. Request classification and processing tracks</w:t>
      </w:r>
    </w:p>
    <w:p>
      <w:pPr>
        <w:pStyle w:val="CompactList"/>
      </w:pPr>
      <w:r>
        <w:rPr>
          <w:b/>
        </w:rPr>
        <w:t xml:space="preserve">• </w:t>
      </w:r>
      <w:r>
        <w:t>Nevada creates no statewide simple/moderate/complex designations and no different statutory deadlines based on volume or redaction.</w:t>
      </w:r>
    </w:p>
    <w:p>
      <w:pPr>
        <w:pStyle w:val="CompactList"/>
      </w:pPr>
      <w:r>
        <w:rPr>
          <w:b/>
        </w:rPr>
        <w:t xml:space="preserve">• </w:t>
      </w:r>
      <w:r>
        <w:t>The legally meaningful response classifications are: produced; no custody; delayed with commitment date; and denied as confidential.</w:t>
      </w:r>
    </w:p>
    <w:p>
      <w:pPr>
        <w:pStyle w:val="CompactList"/>
      </w:pPr>
      <w:r>
        <w:rPr>
          <w:b/>
        </w:rPr>
        <w:t xml:space="preserve">• </w:t>
      </w:r>
      <w:r>
        <w:t>Volume, off-site location, review, and redaction may justify the selected future date, but are workload attributes rather than legal deadline classes.</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3024"/>
            <w:shd w:fill="17365D"/>
            <w:tcMar>
              <w:top w:w="70" w:type="dxa"/>
              <w:start w:w="80" w:type="dxa"/>
              <w:bottom w:w="70" w:type="dxa"/>
              <w:end w:w="80" w:type="dxa"/>
            </w:tcMar>
          </w:tcPr>
          <w:p>
            <w:pPr>
              <w:spacing w:after="0"/>
              <w:jc w:val="left"/>
            </w:pPr>
            <w:r>
              <w:rPr>
                <w:b/>
                <w:color w:val="FFFFFF"/>
                <w:sz w:val="15"/>
              </w:rPr>
              <w:t>Classification / flag</w:t>
            </w:r>
          </w:p>
        </w:tc>
        <w:tc>
          <w:tcPr>
            <w:tcW w:type="dxa" w:w="1944"/>
            <w:shd w:fill="17365D"/>
            <w:tcMar>
              <w:top w:w="70" w:type="dxa"/>
              <w:start w:w="80" w:type="dxa"/>
              <w:bottom w:w="70" w:type="dxa"/>
              <w:end w:w="80" w:type="dxa"/>
            </w:tcMar>
          </w:tcPr>
          <w:p>
            <w:pPr>
              <w:spacing w:after="0"/>
              <w:jc w:val="left"/>
            </w:pPr>
            <w:r>
              <w:rPr>
                <w:b/>
                <w:color w:val="FFFFFF"/>
                <w:sz w:val="15"/>
              </w:rPr>
              <w:t>Legal or operational?</w:t>
            </w:r>
          </w:p>
        </w:tc>
        <w:tc>
          <w:tcPr>
            <w:tcW w:type="dxa" w:w="4752"/>
            <w:shd w:fill="17365D"/>
            <w:tcMar>
              <w:top w:w="70" w:type="dxa"/>
              <w:start w:w="80" w:type="dxa"/>
              <w:bottom w:w="70" w:type="dxa"/>
              <w:end w:w="80" w:type="dxa"/>
            </w:tcMar>
          </w:tcPr>
          <w:p>
            <w:pPr>
              <w:spacing w:after="0"/>
              <w:jc w:val="left"/>
            </w:pPr>
            <w:r>
              <w:rPr>
                <w:b/>
                <w:color w:val="FFFFFF"/>
                <w:sz w:val="15"/>
              </w:rPr>
              <w:t>Workflow consequence</w:t>
            </w:r>
          </w:p>
        </w:tc>
      </w:tr>
      <w:tr>
        <w:trPr>
          <w:cantSplit/>
        </w:trPr>
        <w:tc>
          <w:tcPr>
            <w:tcW w:type="dxa" w:w="3024"/>
            <w:tcMar>
              <w:top w:w="70" w:type="dxa"/>
              <w:start w:w="80" w:type="dxa"/>
              <w:bottom w:w="70" w:type="dxa"/>
              <w:end w:w="80" w:type="dxa"/>
            </w:tcMar>
            <w:vAlign w:val="top"/>
          </w:tcPr>
          <w:p>
            <w:pPr>
              <w:spacing w:after="0" w:line="240" w:lineRule="auto"/>
            </w:pPr>
            <w:r>
              <w:rPr>
                <w:rFonts w:ascii="Aptos" w:hAnsi="Aptos"/>
                <w:sz w:val="15"/>
              </w:rPr>
              <w:t>Ready for immediate production</w:t>
            </w:r>
          </w:p>
        </w:tc>
        <w:tc>
          <w:tcPr>
            <w:tcW w:type="dxa" w:w="1944"/>
            <w:tcMar>
              <w:top w:w="70" w:type="dxa"/>
              <w:start w:w="80" w:type="dxa"/>
              <w:bottom w:w="70" w:type="dxa"/>
              <w:end w:w="80" w:type="dxa"/>
            </w:tcMar>
            <w:vAlign w:val="top"/>
          </w:tcPr>
          <w:p>
            <w:pPr>
              <w:spacing w:after="0" w:line="240" w:lineRule="auto"/>
            </w:pPr>
            <w:r>
              <w:rPr>
                <w:rFonts w:ascii="Aptos" w:hAnsi="Aptos"/>
                <w:sz w:val="15"/>
              </w:rPr>
              <w:t>Legal response branch</w:t>
            </w:r>
          </w:p>
        </w:tc>
        <w:tc>
          <w:tcPr>
            <w:tcW w:type="dxa" w:w="4752"/>
            <w:tcMar>
              <w:top w:w="70" w:type="dxa"/>
              <w:start w:w="80" w:type="dxa"/>
              <w:bottom w:w="70" w:type="dxa"/>
              <w:end w:w="80" w:type="dxa"/>
            </w:tcMar>
            <w:vAlign w:val="top"/>
          </w:tcPr>
          <w:p>
            <w:pPr>
              <w:spacing w:after="0" w:line="240" w:lineRule="auto"/>
            </w:pPr>
            <w:r>
              <w:rPr>
                <w:rFonts w:ascii="Aptos" w:hAnsi="Aptos"/>
                <w:sz w:val="15"/>
              </w:rPr>
              <w:t>Produce as expeditiously as practicable.</w:t>
            </w:r>
          </w:p>
        </w:tc>
      </w:tr>
      <w:tr>
        <w:trPr>
          <w:cantSplit/>
        </w:trPr>
        <w:tc>
          <w:tcPr>
            <w:tcW w:type="dxa" w:w="3024"/>
            <w:shd w:fill="FAFCFE"/>
            <w:tcMar>
              <w:top w:w="70" w:type="dxa"/>
              <w:start w:w="80" w:type="dxa"/>
              <w:bottom w:w="70" w:type="dxa"/>
              <w:end w:w="80" w:type="dxa"/>
            </w:tcMar>
            <w:vAlign w:val="top"/>
          </w:tcPr>
          <w:p>
            <w:pPr>
              <w:spacing w:after="0" w:line="240" w:lineRule="auto"/>
            </w:pPr>
            <w:r>
              <w:rPr>
                <w:rFonts w:ascii="Aptos" w:hAnsi="Aptos"/>
                <w:sz w:val="15"/>
              </w:rPr>
              <w:t>No custody/control</w:t>
            </w:r>
          </w:p>
        </w:tc>
        <w:tc>
          <w:tcPr>
            <w:tcW w:type="dxa" w:w="1944"/>
            <w:shd w:fill="FAFCFE"/>
            <w:tcMar>
              <w:top w:w="70" w:type="dxa"/>
              <w:start w:w="80" w:type="dxa"/>
              <w:bottom w:w="70" w:type="dxa"/>
              <w:end w:w="80" w:type="dxa"/>
            </w:tcMar>
            <w:vAlign w:val="top"/>
          </w:tcPr>
          <w:p>
            <w:pPr>
              <w:spacing w:after="0" w:line="240" w:lineRule="auto"/>
            </w:pPr>
            <w:r>
              <w:rPr>
                <w:rFonts w:ascii="Aptos" w:hAnsi="Aptos"/>
                <w:sz w:val="15"/>
              </w:rPr>
              <w:t>Legal response branch</w:t>
            </w:r>
          </w:p>
        </w:tc>
        <w:tc>
          <w:tcPr>
            <w:tcW w:type="dxa" w:w="4752"/>
            <w:shd w:fill="FAFCFE"/>
            <w:tcMar>
              <w:top w:w="70" w:type="dxa"/>
              <w:start w:w="80" w:type="dxa"/>
              <w:bottom w:w="70" w:type="dxa"/>
              <w:end w:w="80" w:type="dxa"/>
            </w:tcMar>
            <w:vAlign w:val="top"/>
          </w:tcPr>
          <w:p>
            <w:pPr>
              <w:spacing w:after="0" w:line="240" w:lineRule="auto"/>
            </w:pPr>
            <w:r>
              <w:rPr>
                <w:rFonts w:ascii="Aptos" w:hAnsi="Aptos"/>
                <w:sz w:val="15"/>
              </w:rPr>
              <w:t>Written notice plus known custodian name/address.</w:t>
            </w:r>
          </w:p>
        </w:tc>
      </w:tr>
      <w:tr>
        <w:trPr>
          <w:cantSplit/>
        </w:trPr>
        <w:tc>
          <w:tcPr>
            <w:tcW w:type="dxa" w:w="3024"/>
            <w:tcMar>
              <w:top w:w="70" w:type="dxa"/>
              <w:start w:w="80" w:type="dxa"/>
              <w:bottom w:w="70" w:type="dxa"/>
              <w:end w:w="80" w:type="dxa"/>
            </w:tcMar>
            <w:vAlign w:val="top"/>
          </w:tcPr>
          <w:p>
            <w:pPr>
              <w:spacing w:after="0" w:line="240" w:lineRule="auto"/>
            </w:pPr>
            <w:r>
              <w:rPr>
                <w:rFonts w:ascii="Aptos" w:hAnsi="Aptos"/>
                <w:sz w:val="15"/>
              </w:rPr>
              <w:t>Delayed / future availability</w:t>
            </w:r>
          </w:p>
        </w:tc>
        <w:tc>
          <w:tcPr>
            <w:tcW w:type="dxa" w:w="1944"/>
            <w:tcMar>
              <w:top w:w="70" w:type="dxa"/>
              <w:start w:w="80" w:type="dxa"/>
              <w:bottom w:w="70" w:type="dxa"/>
              <w:end w:w="80" w:type="dxa"/>
            </w:tcMar>
            <w:vAlign w:val="top"/>
          </w:tcPr>
          <w:p>
            <w:pPr>
              <w:spacing w:after="0" w:line="240" w:lineRule="auto"/>
            </w:pPr>
            <w:r>
              <w:rPr>
                <w:rFonts w:ascii="Aptos" w:hAnsi="Aptos"/>
                <w:sz w:val="15"/>
              </w:rPr>
              <w:t>Legal response branch</w:t>
            </w:r>
          </w:p>
        </w:tc>
        <w:tc>
          <w:tcPr>
            <w:tcW w:type="dxa" w:w="4752"/>
            <w:tcMar>
              <w:top w:w="70" w:type="dxa"/>
              <w:start w:w="80" w:type="dxa"/>
              <w:bottom w:w="70" w:type="dxa"/>
              <w:end w:w="80" w:type="dxa"/>
            </w:tcMar>
            <w:vAlign w:val="top"/>
          </w:tcPr>
          <w:p>
            <w:pPr>
              <w:spacing w:after="0" w:line="240" w:lineRule="auto"/>
            </w:pPr>
            <w:r>
              <w:rPr>
                <w:rFonts w:ascii="Aptos" w:hAnsi="Aptos"/>
                <w:sz w:val="15"/>
              </w:rPr>
              <w:t>Written earliest date/time; recurring update if missed; focusing assistance.</w:t>
            </w:r>
          </w:p>
        </w:tc>
      </w:tr>
      <w:tr>
        <w:trPr>
          <w:cantSplit/>
        </w:trPr>
        <w:tc>
          <w:tcPr>
            <w:tcW w:type="dxa" w:w="3024"/>
            <w:shd w:fill="FAFCFE"/>
            <w:tcMar>
              <w:top w:w="70" w:type="dxa"/>
              <w:start w:w="80" w:type="dxa"/>
              <w:bottom w:w="70" w:type="dxa"/>
              <w:end w:w="80" w:type="dxa"/>
            </w:tcMar>
            <w:vAlign w:val="top"/>
          </w:tcPr>
          <w:p>
            <w:pPr>
              <w:spacing w:after="0" w:line="240" w:lineRule="auto"/>
            </w:pPr>
            <w:r>
              <w:rPr>
                <w:rFonts w:ascii="Aptos" w:hAnsi="Aptos"/>
                <w:sz w:val="15"/>
              </w:rPr>
              <w:t>Confidential denial</w:t>
            </w:r>
          </w:p>
        </w:tc>
        <w:tc>
          <w:tcPr>
            <w:tcW w:type="dxa" w:w="1944"/>
            <w:shd w:fill="FAFCFE"/>
            <w:tcMar>
              <w:top w:w="70" w:type="dxa"/>
              <w:start w:w="80" w:type="dxa"/>
              <w:bottom w:w="70" w:type="dxa"/>
              <w:end w:w="80" w:type="dxa"/>
            </w:tcMar>
            <w:vAlign w:val="top"/>
          </w:tcPr>
          <w:p>
            <w:pPr>
              <w:spacing w:after="0" w:line="240" w:lineRule="auto"/>
            </w:pPr>
            <w:r>
              <w:rPr>
                <w:rFonts w:ascii="Aptos" w:hAnsi="Aptos"/>
                <w:sz w:val="15"/>
              </w:rPr>
              <w:t>Legal response branch</w:t>
            </w:r>
          </w:p>
        </w:tc>
        <w:tc>
          <w:tcPr>
            <w:tcW w:type="dxa" w:w="4752"/>
            <w:shd w:fill="FAFCFE"/>
            <w:tcMar>
              <w:top w:w="70" w:type="dxa"/>
              <w:start w:w="80" w:type="dxa"/>
              <w:bottom w:w="70" w:type="dxa"/>
              <w:end w:w="80" w:type="dxa"/>
            </w:tcMar>
            <w:vAlign w:val="top"/>
          </w:tcPr>
          <w:p>
            <w:pPr>
              <w:spacing w:after="0" w:line="240" w:lineRule="auto"/>
            </w:pPr>
            <w:r>
              <w:rPr>
                <w:rFonts w:ascii="Aptos" w:hAnsi="Aptos"/>
                <w:sz w:val="15"/>
              </w:rPr>
              <w:t>Written notice and specific authority; produce segregable portions.</w:t>
            </w:r>
          </w:p>
        </w:tc>
      </w:tr>
      <w:tr>
        <w:trPr>
          <w:cantSplit/>
        </w:trPr>
        <w:tc>
          <w:tcPr>
            <w:tcW w:type="dxa" w:w="3024"/>
            <w:tcMar>
              <w:top w:w="70" w:type="dxa"/>
              <w:start w:w="80" w:type="dxa"/>
              <w:bottom w:w="70" w:type="dxa"/>
              <w:end w:w="80" w:type="dxa"/>
            </w:tcMar>
            <w:vAlign w:val="top"/>
          </w:tcPr>
          <w:p>
            <w:pPr>
              <w:spacing w:after="0" w:line="240" w:lineRule="auto"/>
            </w:pPr>
            <w:r>
              <w:rPr>
                <w:rFonts w:ascii="Aptos" w:hAnsi="Aptos"/>
                <w:sz w:val="15"/>
              </w:rPr>
              <w:t>Simple / complex / voluminous</w:t>
            </w:r>
          </w:p>
        </w:tc>
        <w:tc>
          <w:tcPr>
            <w:tcW w:type="dxa" w:w="1944"/>
            <w:tcMar>
              <w:top w:w="70" w:type="dxa"/>
              <w:start w:w="80" w:type="dxa"/>
              <w:bottom w:w="70" w:type="dxa"/>
              <w:end w:w="80" w:type="dxa"/>
            </w:tcMar>
            <w:vAlign w:val="top"/>
          </w:tcPr>
          <w:p>
            <w:pPr>
              <w:spacing w:after="0" w:line="240" w:lineRule="auto"/>
            </w:pPr>
            <w:r>
              <w:rPr>
                <w:rFonts w:ascii="Aptos" w:hAnsi="Aptos"/>
                <w:sz w:val="15"/>
              </w:rPr>
              <w:t>Operational</w:t>
            </w:r>
          </w:p>
        </w:tc>
        <w:tc>
          <w:tcPr>
            <w:tcW w:type="dxa" w:w="4752"/>
            <w:tcMar>
              <w:top w:w="70" w:type="dxa"/>
              <w:start w:w="80" w:type="dxa"/>
              <w:bottom w:w="70" w:type="dxa"/>
              <w:end w:w="80" w:type="dxa"/>
            </w:tcMar>
            <w:vAlign w:val="top"/>
          </w:tcPr>
          <w:p>
            <w:pPr>
              <w:spacing w:after="0" w:line="240" w:lineRule="auto"/>
            </w:pPr>
            <w:r>
              <w:rPr>
                <w:rFonts w:ascii="Aptos" w:hAnsi="Aptos"/>
                <w:sz w:val="15"/>
              </w:rPr>
              <w:t>May set staffing and internal target; cannot alter five-day response duty.</w:t>
            </w:r>
          </w:p>
        </w:tc>
      </w:tr>
    </w:tbl>
    <w:p>
      <w:pPr>
        <w:pStyle w:val="Heading1"/>
      </w:pPr>
      <w:r>
        <w:t>6. Fees, estimates, deposits, and payment timing</w:t>
      </w:r>
    </w:p>
    <w:p>
      <w:pPr>
        <w:pStyle w:val="CompactList"/>
      </w:pPr>
      <w:r>
        <w:rPr>
          <w:b/>
        </w:rPr>
        <w:t xml:space="preserve">• </w:t>
      </w:r>
      <w:r>
        <w:t>NRS 239.052 permits a copy fee not exceeding the governmental entity’s actual cost unless another specific statute or regulation establishes a required fee. “Actual cost” is direct cost such as ink, toner, paper, media, and postage, not ordinary overhead.</w:t>
      </w:r>
    </w:p>
    <w:p>
      <w:pPr>
        <w:pStyle w:val="CompactList"/>
      </w:pPr>
      <w:r>
        <w:rPr>
          <w:b/>
        </w:rPr>
        <w:t xml:space="preserve">• </w:t>
      </w:r>
      <w:r>
        <w:t>The city must maintain and post its fee list or the location where the list is available. A written waiver policy may be adopted and posted.</w:t>
      </w:r>
    </w:p>
    <w:p>
      <w:pPr>
        <w:pStyle w:val="CompactList"/>
      </w:pPr>
      <w:r>
        <w:rPr>
          <w:b/>
        </w:rPr>
        <w:t xml:space="preserve">• </w:t>
      </w:r>
      <w:r>
        <w:t>Chapter 239 does not impose a general city estimate threshold, deposit percentage, requester-acceptance deadline, or express prepayment workflow. Those controls therefore require city policy and review for consistency with actual-cost limits.</w:t>
      </w:r>
    </w:p>
    <w:p>
      <w:pPr>
        <w:pStyle w:val="CompactList"/>
      </w:pPr>
      <w:r>
        <w:rPr>
          <w:b/>
        </w:rPr>
        <w:t xml:space="preserve">• </w:t>
      </w:r>
      <w:r>
        <w:t>Executive-branch administrative regulations should not be imported as binding municipal rules unless independently adopted or made applicable.</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2448"/>
            <w:shd w:fill="17365D"/>
            <w:tcMar>
              <w:top w:w="70" w:type="dxa"/>
              <w:start w:w="80" w:type="dxa"/>
              <w:bottom w:w="70" w:type="dxa"/>
              <w:end w:w="80" w:type="dxa"/>
            </w:tcMar>
          </w:tcPr>
          <w:p>
            <w:pPr>
              <w:spacing w:after="0"/>
              <w:jc w:val="left"/>
            </w:pPr>
            <w:r>
              <w:rPr>
                <w:b/>
                <w:color w:val="FFFFFF"/>
                <w:sz w:val="15"/>
              </w:rPr>
              <w:t>Fee event</w:t>
            </w:r>
          </w:p>
        </w:tc>
        <w:tc>
          <w:tcPr>
            <w:tcW w:type="dxa" w:w="4536"/>
            <w:shd w:fill="17365D"/>
            <w:tcMar>
              <w:top w:w="70" w:type="dxa"/>
              <w:start w:w="80" w:type="dxa"/>
              <w:bottom w:w="70" w:type="dxa"/>
              <w:end w:w="80" w:type="dxa"/>
            </w:tcMar>
          </w:tcPr>
          <w:p>
            <w:pPr>
              <w:spacing w:after="0"/>
              <w:jc w:val="left"/>
            </w:pPr>
            <w:r>
              <w:rPr>
                <w:b/>
                <w:color w:val="FFFFFF"/>
                <w:sz w:val="15"/>
              </w:rPr>
              <w:t>Statewide rule</w:t>
            </w:r>
          </w:p>
        </w:tc>
        <w:tc>
          <w:tcPr>
            <w:tcW w:type="dxa" w:w="2736"/>
            <w:shd w:fill="17365D"/>
            <w:tcMar>
              <w:top w:w="70" w:type="dxa"/>
              <w:start w:w="80" w:type="dxa"/>
              <w:bottom w:w="70" w:type="dxa"/>
              <w:end w:w="80" w:type="dxa"/>
            </w:tcMar>
          </w:tcPr>
          <w:p>
            <w:pPr>
              <w:spacing w:after="0"/>
              <w:jc w:val="left"/>
            </w:pPr>
            <w:r>
              <w:rPr>
                <w:b/>
                <w:color w:val="FFFFFF"/>
                <w:sz w:val="15"/>
              </w:rPr>
              <w:t>Configurable city value</w:t>
            </w:r>
          </w:p>
        </w:tc>
      </w:tr>
      <w:tr>
        <w:trPr>
          <w:cantSplit/>
        </w:trPr>
        <w:tc>
          <w:tcPr>
            <w:tcW w:type="dxa" w:w="2448"/>
            <w:tcMar>
              <w:top w:w="70" w:type="dxa"/>
              <w:start w:w="80" w:type="dxa"/>
              <w:bottom w:w="70" w:type="dxa"/>
              <w:end w:w="80" w:type="dxa"/>
            </w:tcMar>
            <w:vAlign w:val="top"/>
          </w:tcPr>
          <w:p>
            <w:pPr>
              <w:spacing w:after="0" w:line="240" w:lineRule="auto"/>
            </w:pPr>
            <w:r>
              <w:rPr>
                <w:rFonts w:ascii="Aptos" w:hAnsi="Aptos"/>
                <w:sz w:val="15"/>
              </w:rPr>
              <w:t>Copy fee</w:t>
            </w:r>
          </w:p>
        </w:tc>
        <w:tc>
          <w:tcPr>
            <w:tcW w:type="dxa" w:w="4536"/>
            <w:tcMar>
              <w:top w:w="70" w:type="dxa"/>
              <w:start w:w="80" w:type="dxa"/>
              <w:bottom w:w="70" w:type="dxa"/>
              <w:end w:w="80" w:type="dxa"/>
            </w:tcMar>
            <w:vAlign w:val="top"/>
          </w:tcPr>
          <w:p>
            <w:pPr>
              <w:spacing w:after="0" w:line="240" w:lineRule="auto"/>
            </w:pPr>
            <w:r>
              <w:rPr>
                <w:rFonts w:ascii="Aptos" w:hAnsi="Aptos"/>
                <w:sz w:val="15"/>
              </w:rPr>
              <w:t>No more than actual direct cost unless specific law sets another fee.</w:t>
            </w:r>
          </w:p>
        </w:tc>
        <w:tc>
          <w:tcPr>
            <w:tcW w:type="dxa" w:w="2736"/>
            <w:tcMar>
              <w:top w:w="70" w:type="dxa"/>
              <w:start w:w="80" w:type="dxa"/>
              <w:bottom w:w="70" w:type="dxa"/>
              <w:end w:w="80" w:type="dxa"/>
            </w:tcMar>
            <w:vAlign w:val="top"/>
          </w:tcPr>
          <w:p>
            <w:pPr>
              <w:spacing w:after="0" w:line="240" w:lineRule="auto"/>
            </w:pPr>
            <w:r>
              <w:rPr>
                <w:rFonts w:ascii="Aptos" w:hAnsi="Aptos"/>
                <w:sz w:val="15"/>
              </w:rPr>
              <w:t>Current media/page/postage schedule and source statute.</w:t>
            </w:r>
          </w:p>
        </w:tc>
      </w:tr>
      <w:tr>
        <w:trPr>
          <w:cantSplit/>
        </w:trPr>
        <w:tc>
          <w:tcPr>
            <w:tcW w:type="dxa" w:w="2448"/>
            <w:shd w:fill="FAFCFE"/>
            <w:tcMar>
              <w:top w:w="70" w:type="dxa"/>
              <w:start w:w="80" w:type="dxa"/>
              <w:bottom w:w="70" w:type="dxa"/>
              <w:end w:w="80" w:type="dxa"/>
            </w:tcMar>
            <w:vAlign w:val="top"/>
          </w:tcPr>
          <w:p>
            <w:pPr>
              <w:spacing w:after="0" w:line="240" w:lineRule="auto"/>
            </w:pPr>
            <w:r>
              <w:rPr>
                <w:rFonts w:ascii="Aptos" w:hAnsi="Aptos"/>
                <w:sz w:val="15"/>
              </w:rPr>
              <w:t>Estimate</w:t>
            </w:r>
          </w:p>
        </w:tc>
        <w:tc>
          <w:tcPr>
            <w:tcW w:type="dxa" w:w="4536"/>
            <w:shd w:fill="FAFCFE"/>
            <w:tcMar>
              <w:top w:w="70" w:type="dxa"/>
              <w:start w:w="80" w:type="dxa"/>
              <w:bottom w:w="70" w:type="dxa"/>
              <w:end w:w="80" w:type="dxa"/>
            </w:tcMar>
            <w:vAlign w:val="top"/>
          </w:tcPr>
          <w:p>
            <w:pPr>
              <w:spacing w:after="0" w:line="240" w:lineRule="auto"/>
            </w:pPr>
            <w:r>
              <w:rPr>
                <w:rFonts w:ascii="Aptos" w:hAnsi="Aptos"/>
                <w:sz w:val="15"/>
              </w:rPr>
              <w:t>No general municipal threshold in chapter 239.</w:t>
            </w:r>
          </w:p>
        </w:tc>
        <w:tc>
          <w:tcPr>
            <w:tcW w:type="dxa" w:w="2736"/>
            <w:shd w:fill="FAFCFE"/>
            <w:tcMar>
              <w:top w:w="70" w:type="dxa"/>
              <w:start w:w="80" w:type="dxa"/>
              <w:bottom w:w="70" w:type="dxa"/>
              <w:end w:w="80" w:type="dxa"/>
            </w:tcMar>
            <w:vAlign w:val="top"/>
          </w:tcPr>
          <w:p>
            <w:pPr>
              <w:spacing w:after="0" w:line="240" w:lineRule="auto"/>
            </w:pPr>
            <w:r>
              <w:rPr>
                <w:rFonts w:ascii="Aptos" w:hAnsi="Aptos"/>
                <w:sz w:val="15"/>
              </w:rPr>
              <w:t>Whether/when city gives estimate; acceptance method.</w:t>
            </w:r>
          </w:p>
        </w:tc>
      </w:tr>
      <w:tr>
        <w:trPr>
          <w:cantSplit/>
        </w:trPr>
        <w:tc>
          <w:tcPr>
            <w:tcW w:type="dxa" w:w="2448"/>
            <w:tcMar>
              <w:top w:w="70" w:type="dxa"/>
              <w:start w:w="80" w:type="dxa"/>
              <w:bottom w:w="70" w:type="dxa"/>
              <w:end w:w="80" w:type="dxa"/>
            </w:tcMar>
            <w:vAlign w:val="top"/>
          </w:tcPr>
          <w:p>
            <w:pPr>
              <w:spacing w:after="0" w:line="240" w:lineRule="auto"/>
            </w:pPr>
            <w:r>
              <w:rPr>
                <w:rFonts w:ascii="Aptos" w:hAnsi="Aptos"/>
                <w:sz w:val="15"/>
              </w:rPr>
              <w:t>Deposit / prepayment</w:t>
            </w:r>
          </w:p>
        </w:tc>
        <w:tc>
          <w:tcPr>
            <w:tcW w:type="dxa" w:w="4536"/>
            <w:tcMar>
              <w:top w:w="70" w:type="dxa"/>
              <w:start w:w="80" w:type="dxa"/>
              <w:bottom w:w="70" w:type="dxa"/>
              <w:end w:w="80" w:type="dxa"/>
            </w:tcMar>
            <w:vAlign w:val="top"/>
          </w:tcPr>
          <w:p>
            <w:pPr>
              <w:spacing w:after="0" w:line="240" w:lineRule="auto"/>
            </w:pPr>
            <w:r>
              <w:rPr>
                <w:rFonts w:ascii="Aptos" w:hAnsi="Aptos"/>
                <w:sz w:val="15"/>
              </w:rPr>
              <w:t>No general chapter-wide city formula.</w:t>
            </w:r>
          </w:p>
        </w:tc>
        <w:tc>
          <w:tcPr>
            <w:tcW w:type="dxa" w:w="2736"/>
            <w:tcMar>
              <w:top w:w="70" w:type="dxa"/>
              <w:start w:w="80" w:type="dxa"/>
              <w:bottom w:w="70" w:type="dxa"/>
              <w:end w:w="80" w:type="dxa"/>
            </w:tcMar>
            <w:vAlign w:val="top"/>
          </w:tcPr>
          <w:p>
            <w:pPr>
              <w:spacing w:after="0" w:line="240" w:lineRule="auto"/>
            </w:pPr>
            <w:r>
              <w:rPr>
                <w:rFonts w:ascii="Aptos" w:hAnsi="Aptos"/>
                <w:sz w:val="15"/>
              </w:rPr>
              <w:t>Authority, threshold, percentage, and effect on work.</w:t>
            </w:r>
          </w:p>
        </w:tc>
      </w:tr>
      <w:tr>
        <w:trPr>
          <w:cantSplit/>
        </w:trPr>
        <w:tc>
          <w:tcPr>
            <w:tcW w:type="dxa" w:w="2448"/>
            <w:shd w:fill="FAFCFE"/>
            <w:tcMar>
              <w:top w:w="70" w:type="dxa"/>
              <w:start w:w="80" w:type="dxa"/>
              <w:bottom w:w="70" w:type="dxa"/>
              <w:end w:w="80" w:type="dxa"/>
            </w:tcMar>
            <w:vAlign w:val="top"/>
          </w:tcPr>
          <w:p>
            <w:pPr>
              <w:spacing w:after="0" w:line="240" w:lineRule="auto"/>
            </w:pPr>
            <w:r>
              <w:rPr>
                <w:rFonts w:ascii="Aptos" w:hAnsi="Aptos"/>
                <w:sz w:val="15"/>
              </w:rPr>
              <w:t>Waiver</w:t>
            </w:r>
          </w:p>
        </w:tc>
        <w:tc>
          <w:tcPr>
            <w:tcW w:type="dxa" w:w="4536"/>
            <w:shd w:fill="FAFCFE"/>
            <w:tcMar>
              <w:top w:w="70" w:type="dxa"/>
              <w:start w:w="80" w:type="dxa"/>
              <w:bottom w:w="70" w:type="dxa"/>
              <w:end w:w="80" w:type="dxa"/>
            </w:tcMar>
            <w:vAlign w:val="top"/>
          </w:tcPr>
          <w:p>
            <w:pPr>
              <w:spacing w:after="0" w:line="240" w:lineRule="auto"/>
            </w:pPr>
            <w:r>
              <w:rPr>
                <w:rFonts w:ascii="Aptos" w:hAnsi="Aptos"/>
                <w:sz w:val="15"/>
              </w:rPr>
              <w:t>Permitted only under written posted policy.</w:t>
            </w:r>
          </w:p>
        </w:tc>
        <w:tc>
          <w:tcPr>
            <w:tcW w:type="dxa" w:w="2736"/>
            <w:shd w:fill="FAFCFE"/>
            <w:tcMar>
              <w:top w:w="70" w:type="dxa"/>
              <w:start w:w="80" w:type="dxa"/>
              <w:bottom w:w="70" w:type="dxa"/>
              <w:end w:w="80" w:type="dxa"/>
            </w:tcMar>
            <w:vAlign w:val="top"/>
          </w:tcPr>
          <w:p>
            <w:pPr>
              <w:spacing w:after="0" w:line="240" w:lineRule="auto"/>
            </w:pPr>
            <w:r>
              <w:rPr>
                <w:rFonts w:ascii="Aptos" w:hAnsi="Aptos"/>
                <w:sz w:val="15"/>
              </w:rPr>
              <w:t>Eligibility, approval, full/partial waiver.</w:t>
            </w:r>
          </w:p>
        </w:tc>
      </w:tr>
      <w:tr>
        <w:trPr>
          <w:cantSplit/>
        </w:trPr>
        <w:tc>
          <w:tcPr>
            <w:tcW w:type="dxa" w:w="2448"/>
            <w:tcMar>
              <w:top w:w="70" w:type="dxa"/>
              <w:start w:w="80" w:type="dxa"/>
              <w:bottom w:w="70" w:type="dxa"/>
              <w:end w:w="80" w:type="dxa"/>
            </w:tcMar>
            <w:vAlign w:val="top"/>
          </w:tcPr>
          <w:p>
            <w:pPr>
              <w:spacing w:after="0" w:line="240" w:lineRule="auto"/>
            </w:pPr>
            <w:r>
              <w:rPr>
                <w:rFonts w:ascii="Aptos" w:hAnsi="Aptos"/>
                <w:sz w:val="15"/>
              </w:rPr>
              <w:t>Extraordinary personnel fee</w:t>
            </w:r>
          </w:p>
        </w:tc>
        <w:tc>
          <w:tcPr>
            <w:tcW w:type="dxa" w:w="4536"/>
            <w:tcMar>
              <w:top w:w="70" w:type="dxa"/>
              <w:start w:w="80" w:type="dxa"/>
              <w:bottom w:w="70" w:type="dxa"/>
              <w:end w:w="80" w:type="dxa"/>
            </w:tcMar>
            <w:vAlign w:val="top"/>
          </w:tcPr>
          <w:p>
            <w:pPr>
              <w:spacing w:after="0" w:line="240" w:lineRule="auto"/>
            </w:pPr>
            <w:r>
              <w:rPr>
                <w:rFonts w:ascii="Aptos" w:hAnsi="Aptos"/>
                <w:sz w:val="15"/>
              </w:rPr>
              <w:t>Former NRS 239.055 repealed.</w:t>
            </w:r>
          </w:p>
        </w:tc>
        <w:tc>
          <w:tcPr>
            <w:tcW w:type="dxa" w:w="2736"/>
            <w:tcMar>
              <w:top w:w="70" w:type="dxa"/>
              <w:start w:w="80" w:type="dxa"/>
              <w:bottom w:w="70" w:type="dxa"/>
              <w:end w:w="80" w:type="dxa"/>
            </w:tcMar>
            <w:vAlign w:val="top"/>
          </w:tcPr>
          <w:p>
            <w:pPr>
              <w:spacing w:after="0" w:line="240" w:lineRule="auto"/>
            </w:pPr>
            <w:r>
              <w:rPr>
                <w:rFonts w:ascii="Aptos" w:hAnsi="Aptos"/>
                <w:sz w:val="15"/>
              </w:rPr>
              <w:t>Do not enable absent current specific authority.</w:t>
            </w:r>
          </w:p>
        </w:tc>
      </w:tr>
    </w:tbl>
    <w:p>
      <w:pPr>
        <w:pStyle w:val="Heading1"/>
      </w:pPr>
      <w:r>
        <w:t>7. Normalized software rule matrix</w:t>
      </w:r>
    </w:p>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2232"/>
            <w:shd w:fill="17365D"/>
            <w:tcMar>
              <w:top w:w="70" w:type="dxa"/>
              <w:start w:w="80" w:type="dxa"/>
              <w:bottom w:w="70" w:type="dxa"/>
              <w:end w:w="80" w:type="dxa"/>
            </w:tcMar>
          </w:tcPr>
          <w:p>
            <w:pPr>
              <w:spacing w:after="0"/>
              <w:jc w:val="left"/>
            </w:pPr>
            <w:r>
              <w:rPr>
                <w:b/>
                <w:color w:val="FFFFFF"/>
                <w:sz w:val="14"/>
              </w:rPr>
              <w:t>Rule / trigger</w:t>
            </w:r>
          </w:p>
        </w:tc>
        <w:tc>
          <w:tcPr>
            <w:tcW w:type="dxa" w:w="3168"/>
            <w:shd w:fill="17365D"/>
            <w:tcMar>
              <w:top w:w="70" w:type="dxa"/>
              <w:start w:w="80" w:type="dxa"/>
              <w:bottom w:w="70" w:type="dxa"/>
              <w:end w:w="80" w:type="dxa"/>
            </w:tcMar>
          </w:tcPr>
          <w:p>
            <w:pPr>
              <w:spacing w:after="0"/>
              <w:jc w:val="left"/>
            </w:pPr>
            <w:r>
              <w:rPr>
                <w:b/>
                <w:color w:val="FFFFFF"/>
                <w:sz w:val="14"/>
              </w:rPr>
              <w:t>Required system action</w:t>
            </w:r>
          </w:p>
        </w:tc>
        <w:tc>
          <w:tcPr>
            <w:tcW w:type="dxa" w:w="3024"/>
            <w:shd w:fill="17365D"/>
            <w:tcMar>
              <w:top w:w="70" w:type="dxa"/>
              <w:start w:w="80" w:type="dxa"/>
              <w:bottom w:w="70" w:type="dxa"/>
              <w:end w:w="80" w:type="dxa"/>
            </w:tcMar>
          </w:tcPr>
          <w:p>
            <w:pPr>
              <w:spacing w:after="0"/>
              <w:jc w:val="left"/>
            </w:pPr>
            <w:r>
              <w:rPr>
                <w:b/>
                <w:color w:val="FFFFFF"/>
                <w:sz w:val="14"/>
              </w:rPr>
              <w:t>Communication / deadline</w:t>
            </w:r>
          </w:p>
        </w:tc>
        <w:tc>
          <w:tcPr>
            <w:tcW w:type="dxa" w:w="2232"/>
            <w:shd w:fill="17365D"/>
            <w:tcMar>
              <w:top w:w="70" w:type="dxa"/>
              <w:start w:w="80" w:type="dxa"/>
              <w:bottom w:w="70" w:type="dxa"/>
              <w:end w:w="80" w:type="dxa"/>
            </w:tcMar>
          </w:tcPr>
          <w:p>
            <w:pPr>
              <w:spacing w:after="0"/>
              <w:jc w:val="left"/>
            </w:pPr>
            <w:r>
              <w:rPr>
                <w:b/>
                <w:color w:val="FFFFFF"/>
                <w:sz w:val="14"/>
              </w:rPr>
              <w:t>Clock / configuration</w:t>
            </w:r>
          </w:p>
        </w:tc>
      </w:tr>
      <w:tr>
        <w:trPr>
          <w:cantSplit/>
        </w:trPr>
        <w:tc>
          <w:tcPr>
            <w:tcW w:type="dxa" w:w="2232"/>
            <w:tcMar>
              <w:top w:w="70" w:type="dxa"/>
              <w:start w:w="80" w:type="dxa"/>
              <w:bottom w:w="70" w:type="dxa"/>
              <w:end w:w="80" w:type="dxa"/>
            </w:tcMar>
            <w:vAlign w:val="top"/>
          </w:tcPr>
          <w:p>
            <w:pPr>
              <w:spacing w:after="0" w:line="240" w:lineRule="auto"/>
            </w:pPr>
            <w:r>
              <w:rPr>
                <w:rFonts w:ascii="Aptos" w:hAnsi="Aptos"/>
                <w:sz w:val="14"/>
              </w:rPr>
              <w:t>Custodian receives request</w:t>
            </w:r>
          </w:p>
        </w:tc>
        <w:tc>
          <w:tcPr>
            <w:tcW w:type="dxa" w:w="3168"/>
            <w:tcMar>
              <w:top w:w="70" w:type="dxa"/>
              <w:start w:w="80" w:type="dxa"/>
              <w:bottom w:w="70" w:type="dxa"/>
              <w:end w:w="80" w:type="dxa"/>
            </w:tcMar>
            <w:vAlign w:val="top"/>
          </w:tcPr>
          <w:p>
            <w:pPr>
              <w:spacing w:after="0" w:line="240" w:lineRule="auto"/>
            </w:pPr>
            <w:r>
              <w:rPr>
                <w:rFonts w:ascii="Aptos" w:hAnsi="Aptos"/>
                <w:sz w:val="14"/>
              </w:rPr>
              <w:t>Create request and calculate fifth business day.</w:t>
            </w:r>
          </w:p>
        </w:tc>
        <w:tc>
          <w:tcPr>
            <w:tcW w:type="dxa" w:w="3024"/>
            <w:tcMar>
              <w:top w:w="70" w:type="dxa"/>
              <w:start w:w="80" w:type="dxa"/>
              <w:bottom w:w="70" w:type="dxa"/>
              <w:end w:w="80" w:type="dxa"/>
            </w:tcMar>
            <w:vAlign w:val="top"/>
          </w:tcPr>
          <w:p>
            <w:pPr>
              <w:spacing w:after="0" w:line="240" w:lineRule="auto"/>
            </w:pPr>
            <w:r>
              <w:rPr>
                <w:rFonts w:ascii="Aptos" w:hAnsi="Aptos"/>
                <w:sz w:val="14"/>
              </w:rPr>
              <w:t>No separate acknowledgment mandated if another branch is completed.</w:t>
            </w:r>
          </w:p>
        </w:tc>
        <w:tc>
          <w:tcPr>
            <w:tcW w:type="dxa" w:w="2232"/>
            <w:tcMar>
              <w:top w:w="70" w:type="dxa"/>
              <w:start w:w="80" w:type="dxa"/>
              <w:bottom w:w="70" w:type="dxa"/>
              <w:end w:w="80" w:type="dxa"/>
            </w:tcMar>
            <w:vAlign w:val="top"/>
          </w:tcPr>
          <w:p>
            <w:pPr>
              <w:spacing w:after="0" w:line="240" w:lineRule="auto"/>
            </w:pPr>
            <w:r>
              <w:rPr>
                <w:rFonts w:ascii="Aptos" w:hAnsi="Aptos"/>
                <w:sz w:val="14"/>
              </w:rPr>
              <w:t>Hard initial-response timer.</w:t>
            </w:r>
          </w:p>
        </w:tc>
      </w:tr>
      <w:tr>
        <w:trPr>
          <w:cantSplit/>
        </w:trPr>
        <w:tc>
          <w:tcPr>
            <w:tcW w:type="dxa" w:w="2232"/>
            <w:shd w:fill="FAFCFE"/>
            <w:tcMar>
              <w:top w:w="70" w:type="dxa"/>
              <w:start w:w="80" w:type="dxa"/>
              <w:bottom w:w="70" w:type="dxa"/>
              <w:end w:w="80" w:type="dxa"/>
            </w:tcMar>
            <w:vAlign w:val="top"/>
          </w:tcPr>
          <w:p>
            <w:pPr>
              <w:spacing w:after="0" w:line="240" w:lineRule="auto"/>
            </w:pPr>
            <w:r>
              <w:rPr>
                <w:rFonts w:ascii="Aptos" w:hAnsi="Aptos"/>
                <w:sz w:val="14"/>
              </w:rPr>
              <w:t>Record readily available</w:t>
            </w:r>
          </w:p>
        </w:tc>
        <w:tc>
          <w:tcPr>
            <w:tcW w:type="dxa" w:w="3168"/>
            <w:shd w:fill="FAFCFE"/>
            <w:tcMar>
              <w:top w:w="70" w:type="dxa"/>
              <w:start w:w="80" w:type="dxa"/>
              <w:bottom w:w="70" w:type="dxa"/>
              <w:end w:w="80" w:type="dxa"/>
            </w:tcMar>
            <w:vAlign w:val="top"/>
          </w:tcPr>
          <w:p>
            <w:pPr>
              <w:spacing w:after="0" w:line="240" w:lineRule="auto"/>
            </w:pPr>
            <w:r>
              <w:rPr>
                <w:rFonts w:ascii="Aptos" w:hAnsi="Aptos"/>
                <w:sz w:val="14"/>
              </w:rPr>
              <w:t>Release immediately / as practicable.</w:t>
            </w:r>
          </w:p>
        </w:tc>
        <w:tc>
          <w:tcPr>
            <w:tcW w:type="dxa" w:w="3024"/>
            <w:shd w:fill="FAFCFE"/>
            <w:tcMar>
              <w:top w:w="70" w:type="dxa"/>
              <w:start w:w="80" w:type="dxa"/>
              <w:bottom w:w="70" w:type="dxa"/>
              <w:end w:w="80" w:type="dxa"/>
            </w:tcMar>
            <w:vAlign w:val="top"/>
          </w:tcPr>
          <w:p>
            <w:pPr>
              <w:spacing w:after="0" w:line="240" w:lineRule="auto"/>
            </w:pPr>
            <w:r>
              <w:rPr>
                <w:rFonts w:ascii="Aptos" w:hAnsi="Aptos"/>
                <w:sz w:val="14"/>
              </w:rPr>
              <w:t>Delivery communication.</w:t>
            </w:r>
          </w:p>
        </w:tc>
        <w:tc>
          <w:tcPr>
            <w:tcW w:type="dxa" w:w="2232"/>
            <w:shd w:fill="FAFCFE"/>
            <w:tcMar>
              <w:top w:w="70" w:type="dxa"/>
              <w:start w:w="80" w:type="dxa"/>
              <w:bottom w:w="70" w:type="dxa"/>
              <w:end w:w="80" w:type="dxa"/>
            </w:tcMar>
            <w:vAlign w:val="top"/>
          </w:tcPr>
          <w:p>
            <w:pPr>
              <w:spacing w:after="0" w:line="240" w:lineRule="auto"/>
            </w:pPr>
            <w:r>
              <w:rPr>
                <w:rFonts w:ascii="Aptos" w:hAnsi="Aptos"/>
                <w:sz w:val="14"/>
              </w:rPr>
              <w:t>Qualitative expedited standard.</w:t>
            </w:r>
          </w:p>
        </w:tc>
      </w:tr>
      <w:tr>
        <w:trPr>
          <w:cantSplit/>
        </w:trPr>
        <w:tc>
          <w:tcPr>
            <w:tcW w:type="dxa" w:w="2232"/>
            <w:tcMar>
              <w:top w:w="70" w:type="dxa"/>
              <w:start w:w="80" w:type="dxa"/>
              <w:bottom w:w="70" w:type="dxa"/>
              <w:end w:w="80" w:type="dxa"/>
            </w:tcMar>
            <w:vAlign w:val="top"/>
          </w:tcPr>
          <w:p>
            <w:pPr>
              <w:spacing w:after="0" w:line="240" w:lineRule="auto"/>
            </w:pPr>
            <w:r>
              <w:rPr>
                <w:rFonts w:ascii="Aptos" w:hAnsi="Aptos"/>
                <w:sz w:val="14"/>
              </w:rPr>
              <w:t>No custody</w:t>
            </w:r>
          </w:p>
        </w:tc>
        <w:tc>
          <w:tcPr>
            <w:tcW w:type="dxa" w:w="3168"/>
            <w:tcMar>
              <w:top w:w="70" w:type="dxa"/>
              <w:start w:w="80" w:type="dxa"/>
              <w:bottom w:w="70" w:type="dxa"/>
              <w:end w:w="80" w:type="dxa"/>
            </w:tcMar>
            <w:vAlign w:val="top"/>
          </w:tcPr>
          <w:p>
            <w:pPr>
              <w:spacing w:after="0" w:line="240" w:lineRule="auto"/>
            </w:pPr>
            <w:r>
              <w:rPr>
                <w:rFonts w:ascii="Aptos" w:hAnsi="Aptos"/>
                <w:sz w:val="14"/>
              </w:rPr>
              <w:t>Close city search; identify known custodian.</w:t>
            </w:r>
          </w:p>
        </w:tc>
        <w:tc>
          <w:tcPr>
            <w:tcW w:type="dxa" w:w="3024"/>
            <w:tcMar>
              <w:top w:w="70" w:type="dxa"/>
              <w:start w:w="80" w:type="dxa"/>
              <w:bottom w:w="70" w:type="dxa"/>
              <w:end w:w="80" w:type="dxa"/>
            </w:tcMar>
            <w:vAlign w:val="top"/>
          </w:tcPr>
          <w:p>
            <w:pPr>
              <w:spacing w:after="0" w:line="240" w:lineRule="auto"/>
            </w:pPr>
            <w:r>
              <w:rPr>
                <w:rFonts w:ascii="Aptos" w:hAnsi="Aptos"/>
                <w:sz w:val="14"/>
              </w:rPr>
              <w:t>Written by fifth business day.</w:t>
            </w:r>
          </w:p>
        </w:tc>
        <w:tc>
          <w:tcPr>
            <w:tcW w:type="dxa" w:w="2232"/>
            <w:tcMar>
              <w:top w:w="70" w:type="dxa"/>
              <w:start w:w="80" w:type="dxa"/>
              <w:bottom w:w="70" w:type="dxa"/>
              <w:end w:w="80" w:type="dxa"/>
            </w:tcMar>
            <w:vAlign w:val="top"/>
          </w:tcPr>
          <w:p>
            <w:pPr>
              <w:spacing w:after="0" w:line="240" w:lineRule="auto"/>
            </w:pPr>
            <w:r>
              <w:rPr>
                <w:rFonts w:ascii="Aptos" w:hAnsi="Aptos"/>
                <w:sz w:val="14"/>
              </w:rPr>
              <w:t>Hard deadline.</w:t>
            </w:r>
          </w:p>
        </w:tc>
      </w:tr>
      <w:tr>
        <w:trPr>
          <w:cantSplit/>
        </w:trPr>
        <w:tc>
          <w:tcPr>
            <w:tcW w:type="dxa" w:w="2232"/>
            <w:shd w:fill="FAFCFE"/>
            <w:tcMar>
              <w:top w:w="70" w:type="dxa"/>
              <w:start w:w="80" w:type="dxa"/>
              <w:bottom w:w="70" w:type="dxa"/>
              <w:end w:w="80" w:type="dxa"/>
            </w:tcMar>
            <w:vAlign w:val="top"/>
          </w:tcPr>
          <w:p>
            <w:pPr>
              <w:spacing w:after="0" w:line="240" w:lineRule="auto"/>
            </w:pPr>
            <w:r>
              <w:rPr>
                <w:rFonts w:ascii="Aptos" w:hAnsi="Aptos"/>
                <w:sz w:val="14"/>
              </w:rPr>
              <w:t>Cannot produce by day 5</w:t>
            </w:r>
          </w:p>
        </w:tc>
        <w:tc>
          <w:tcPr>
            <w:tcW w:type="dxa" w:w="3168"/>
            <w:shd w:fill="FAFCFE"/>
            <w:tcMar>
              <w:top w:w="70" w:type="dxa"/>
              <w:start w:w="80" w:type="dxa"/>
              <w:bottom w:w="70" w:type="dxa"/>
              <w:end w:w="80" w:type="dxa"/>
            </w:tcMar>
            <w:vAlign w:val="top"/>
          </w:tcPr>
          <w:p>
            <w:pPr>
              <w:spacing w:after="0" w:line="240" w:lineRule="auto"/>
            </w:pPr>
            <w:r>
              <w:rPr>
                <w:rFonts w:ascii="Aptos" w:hAnsi="Aptos"/>
                <w:sz w:val="14"/>
              </w:rPr>
              <w:t>Set defensible earliest date/time; send delay notice; offer focusing assistance.</w:t>
            </w:r>
          </w:p>
        </w:tc>
        <w:tc>
          <w:tcPr>
            <w:tcW w:type="dxa" w:w="3024"/>
            <w:shd w:fill="FAFCFE"/>
            <w:tcMar>
              <w:top w:w="70" w:type="dxa"/>
              <w:start w:w="80" w:type="dxa"/>
              <w:bottom w:w="70" w:type="dxa"/>
              <w:end w:w="80" w:type="dxa"/>
            </w:tcMar>
            <w:vAlign w:val="top"/>
          </w:tcPr>
          <w:p>
            <w:pPr>
              <w:spacing w:after="0" w:line="240" w:lineRule="auto"/>
            </w:pPr>
            <w:r>
              <w:rPr>
                <w:rFonts w:ascii="Aptos" w:hAnsi="Aptos"/>
                <w:sz w:val="14"/>
              </w:rPr>
              <w:t>Written by day 5.</w:t>
            </w:r>
          </w:p>
        </w:tc>
        <w:tc>
          <w:tcPr>
            <w:tcW w:type="dxa" w:w="2232"/>
            <w:shd w:fill="FAFCFE"/>
            <w:tcMar>
              <w:top w:w="70" w:type="dxa"/>
              <w:start w:w="80" w:type="dxa"/>
              <w:bottom w:w="70" w:type="dxa"/>
              <w:end w:w="80" w:type="dxa"/>
            </w:tcMar>
            <w:vAlign w:val="top"/>
          </w:tcPr>
          <w:p>
            <w:pPr>
              <w:spacing w:after="0" w:line="240" w:lineRule="auto"/>
            </w:pPr>
            <w:r>
              <w:rPr>
                <w:rFonts w:ascii="Aptos" w:hAnsi="Aptos"/>
                <w:sz w:val="14"/>
              </w:rPr>
              <w:t>Commitment-date timer.</w:t>
            </w:r>
          </w:p>
        </w:tc>
      </w:tr>
      <w:tr>
        <w:trPr>
          <w:cantSplit/>
        </w:trPr>
        <w:tc>
          <w:tcPr>
            <w:tcW w:type="dxa" w:w="2232"/>
            <w:tcMar>
              <w:top w:w="70" w:type="dxa"/>
              <w:start w:w="80" w:type="dxa"/>
              <w:bottom w:w="70" w:type="dxa"/>
              <w:end w:w="80" w:type="dxa"/>
            </w:tcMar>
            <w:vAlign w:val="top"/>
          </w:tcPr>
          <w:p>
            <w:pPr>
              <w:spacing w:after="0" w:line="240" w:lineRule="auto"/>
            </w:pPr>
            <w:r>
              <w:rPr>
                <w:rFonts w:ascii="Aptos" w:hAnsi="Aptos"/>
                <w:sz w:val="14"/>
              </w:rPr>
              <w:t>Commitment date missed</w:t>
            </w:r>
          </w:p>
        </w:tc>
        <w:tc>
          <w:tcPr>
            <w:tcW w:type="dxa" w:w="3168"/>
            <w:tcMar>
              <w:top w:w="70" w:type="dxa"/>
              <w:start w:w="80" w:type="dxa"/>
              <w:bottom w:w="70" w:type="dxa"/>
              <w:end w:w="80" w:type="dxa"/>
            </w:tcMar>
            <w:vAlign w:val="top"/>
          </w:tcPr>
          <w:p>
            <w:pPr>
              <w:spacing w:after="0" w:line="240" w:lineRule="auto"/>
            </w:pPr>
            <w:r>
              <w:rPr>
                <w:rFonts w:ascii="Aptos" w:hAnsi="Aptos"/>
                <w:sz w:val="14"/>
              </w:rPr>
              <w:t>Require explanation and new date/time.</w:t>
            </w:r>
          </w:p>
        </w:tc>
        <w:tc>
          <w:tcPr>
            <w:tcW w:type="dxa" w:w="3024"/>
            <w:tcMar>
              <w:top w:w="70" w:type="dxa"/>
              <w:start w:w="80" w:type="dxa"/>
              <w:bottom w:w="70" w:type="dxa"/>
              <w:end w:w="80" w:type="dxa"/>
            </w:tcMar>
            <w:vAlign w:val="top"/>
          </w:tcPr>
          <w:p>
            <w:pPr>
              <w:spacing w:after="0" w:line="240" w:lineRule="auto"/>
            </w:pPr>
            <w:r>
              <w:rPr>
                <w:rFonts w:ascii="Aptos" w:hAnsi="Aptos"/>
                <w:sz w:val="14"/>
              </w:rPr>
              <w:t>Written at missed commitment.</w:t>
            </w:r>
          </w:p>
        </w:tc>
        <w:tc>
          <w:tcPr>
            <w:tcW w:type="dxa" w:w="2232"/>
            <w:tcMar>
              <w:top w:w="70" w:type="dxa"/>
              <w:start w:w="80" w:type="dxa"/>
              <w:bottom w:w="70" w:type="dxa"/>
              <w:end w:w="80" w:type="dxa"/>
            </w:tcMar>
            <w:vAlign w:val="top"/>
          </w:tcPr>
          <w:p>
            <w:pPr>
              <w:spacing w:after="0" w:line="240" w:lineRule="auto"/>
            </w:pPr>
            <w:r>
              <w:rPr>
                <w:rFonts w:ascii="Aptos" w:hAnsi="Aptos"/>
                <w:sz w:val="14"/>
              </w:rPr>
              <w:t>Replace and re-arm timer.</w:t>
            </w:r>
          </w:p>
        </w:tc>
      </w:tr>
      <w:tr>
        <w:trPr>
          <w:cantSplit/>
        </w:trPr>
        <w:tc>
          <w:tcPr>
            <w:tcW w:type="dxa" w:w="2232"/>
            <w:shd w:fill="FAFCFE"/>
            <w:tcMar>
              <w:top w:w="70" w:type="dxa"/>
              <w:start w:w="80" w:type="dxa"/>
              <w:bottom w:w="70" w:type="dxa"/>
              <w:end w:w="80" w:type="dxa"/>
            </w:tcMar>
            <w:vAlign w:val="top"/>
          </w:tcPr>
          <w:p>
            <w:pPr>
              <w:spacing w:after="0" w:line="240" w:lineRule="auto"/>
            </w:pPr>
            <w:r>
              <w:rPr>
                <w:rFonts w:ascii="Aptos" w:hAnsi="Aptos"/>
                <w:sz w:val="14"/>
              </w:rPr>
              <w:t>Confidentiality applies</w:t>
            </w:r>
          </w:p>
        </w:tc>
        <w:tc>
          <w:tcPr>
            <w:tcW w:type="dxa" w:w="3168"/>
            <w:shd w:fill="FAFCFE"/>
            <w:tcMar>
              <w:top w:w="70" w:type="dxa"/>
              <w:start w:w="80" w:type="dxa"/>
              <w:bottom w:w="70" w:type="dxa"/>
              <w:end w:w="80" w:type="dxa"/>
            </w:tcMar>
            <w:vAlign w:val="top"/>
          </w:tcPr>
          <w:p>
            <w:pPr>
              <w:spacing w:after="0" w:line="240" w:lineRule="auto"/>
            </w:pPr>
            <w:r>
              <w:rPr>
                <w:rFonts w:ascii="Aptos" w:hAnsi="Aptos"/>
                <w:sz w:val="14"/>
              </w:rPr>
              <w:t>Redact/segregate; cite exact authority for withheld portion.</w:t>
            </w:r>
          </w:p>
        </w:tc>
        <w:tc>
          <w:tcPr>
            <w:tcW w:type="dxa" w:w="3024"/>
            <w:shd w:fill="FAFCFE"/>
            <w:tcMar>
              <w:top w:w="70" w:type="dxa"/>
              <w:start w:w="80" w:type="dxa"/>
              <w:bottom w:w="70" w:type="dxa"/>
              <w:end w:w="80" w:type="dxa"/>
            </w:tcMar>
            <w:vAlign w:val="top"/>
          </w:tcPr>
          <w:p>
            <w:pPr>
              <w:spacing w:after="0" w:line="240" w:lineRule="auto"/>
            </w:pPr>
            <w:r>
              <w:rPr>
                <w:rFonts w:ascii="Aptos" w:hAnsi="Aptos"/>
                <w:sz w:val="14"/>
              </w:rPr>
              <w:t>Written denial by day 5 if denial known.</w:t>
            </w:r>
          </w:p>
        </w:tc>
        <w:tc>
          <w:tcPr>
            <w:tcW w:type="dxa" w:w="2232"/>
            <w:shd w:fill="FAFCFE"/>
            <w:tcMar>
              <w:top w:w="70" w:type="dxa"/>
              <w:start w:w="80" w:type="dxa"/>
              <w:bottom w:w="70" w:type="dxa"/>
              <w:end w:w="80" w:type="dxa"/>
            </w:tcMar>
            <w:vAlign w:val="top"/>
          </w:tcPr>
          <w:p>
            <w:pPr>
              <w:spacing w:after="0" w:line="240" w:lineRule="auto"/>
            </w:pPr>
            <w:r>
              <w:rPr>
                <w:rFonts w:ascii="Aptos" w:hAnsi="Aptos"/>
                <w:sz w:val="14"/>
              </w:rPr>
              <w:t>No separate complexity track.</w:t>
            </w:r>
          </w:p>
        </w:tc>
      </w:tr>
      <w:tr>
        <w:trPr>
          <w:cantSplit/>
        </w:trPr>
        <w:tc>
          <w:tcPr>
            <w:tcW w:type="dxa" w:w="2232"/>
            <w:tcMar>
              <w:top w:w="70" w:type="dxa"/>
              <w:start w:w="80" w:type="dxa"/>
              <w:bottom w:w="70" w:type="dxa"/>
              <w:end w:w="80" w:type="dxa"/>
            </w:tcMar>
            <w:vAlign w:val="top"/>
          </w:tcPr>
          <w:p>
            <w:pPr>
              <w:spacing w:after="0" w:line="240" w:lineRule="auto"/>
            </w:pPr>
            <w:r>
              <w:rPr>
                <w:rFonts w:ascii="Aptos" w:hAnsi="Aptos"/>
                <w:sz w:val="14"/>
              </w:rPr>
              <w:t>Fee applies</w:t>
            </w:r>
          </w:p>
        </w:tc>
        <w:tc>
          <w:tcPr>
            <w:tcW w:type="dxa" w:w="3168"/>
            <w:tcMar>
              <w:top w:w="70" w:type="dxa"/>
              <w:start w:w="80" w:type="dxa"/>
              <w:bottom w:w="70" w:type="dxa"/>
              <w:end w:w="80" w:type="dxa"/>
            </w:tcMar>
            <w:vAlign w:val="top"/>
          </w:tcPr>
          <w:p>
            <w:pPr>
              <w:spacing w:after="0" w:line="240" w:lineRule="auto"/>
            </w:pPr>
            <w:r>
              <w:rPr>
                <w:rFonts w:ascii="Aptos" w:hAnsi="Aptos"/>
                <w:sz w:val="14"/>
              </w:rPr>
              <w:t>Calculate actual direct cost and apply posted schedule.</w:t>
            </w:r>
          </w:p>
        </w:tc>
        <w:tc>
          <w:tcPr>
            <w:tcW w:type="dxa" w:w="3024"/>
            <w:tcMar>
              <w:top w:w="70" w:type="dxa"/>
              <w:start w:w="80" w:type="dxa"/>
              <w:bottom w:w="70" w:type="dxa"/>
              <w:end w:w="80" w:type="dxa"/>
            </w:tcMar>
            <w:vAlign w:val="top"/>
          </w:tcPr>
          <w:p>
            <w:pPr>
              <w:spacing w:after="0" w:line="240" w:lineRule="auto"/>
            </w:pPr>
            <w:r>
              <w:rPr>
                <w:rFonts w:ascii="Aptos" w:hAnsi="Aptos"/>
                <w:sz w:val="14"/>
              </w:rPr>
              <w:t>Quote/collection per city policy.</w:t>
            </w:r>
          </w:p>
        </w:tc>
        <w:tc>
          <w:tcPr>
            <w:tcW w:type="dxa" w:w="2232"/>
            <w:tcMar>
              <w:top w:w="70" w:type="dxa"/>
              <w:start w:w="80" w:type="dxa"/>
              <w:bottom w:w="70" w:type="dxa"/>
              <w:end w:w="80" w:type="dxa"/>
            </w:tcMar>
            <w:vAlign w:val="top"/>
          </w:tcPr>
          <w:p>
            <w:pPr>
              <w:spacing w:after="0" w:line="240" w:lineRule="auto"/>
            </w:pPr>
            <w:r>
              <w:rPr>
                <w:rFonts w:ascii="Aptos" w:hAnsi="Aptos"/>
                <w:sz w:val="14"/>
              </w:rPr>
              <w:t>Jurisdiction-configured payment gate.</w:t>
            </w:r>
          </w:p>
        </w:tc>
      </w:tr>
    </w:tbl>
    <w:p>
      <w:pPr>
        <w:pStyle w:val="Heading1"/>
      </w:pPr>
      <w:r>
        <w:t>8. Required jurisdiction-configuration fields</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3168"/>
            <w:shd w:fill="17365D"/>
            <w:tcMar>
              <w:top w:w="70" w:type="dxa"/>
              <w:start w:w="80" w:type="dxa"/>
              <w:bottom w:w="70" w:type="dxa"/>
              <w:end w:w="80" w:type="dxa"/>
            </w:tcMar>
          </w:tcPr>
          <w:p>
            <w:pPr>
              <w:spacing w:after="0"/>
              <w:jc w:val="left"/>
            </w:pPr>
            <w:r>
              <w:rPr>
                <w:b/>
                <w:color w:val="FFFFFF"/>
                <w:sz w:val="15"/>
              </w:rPr>
              <w:t>Field</w:t>
            </w:r>
          </w:p>
        </w:tc>
        <w:tc>
          <w:tcPr>
            <w:tcW w:type="dxa" w:w="3240"/>
            <w:shd w:fill="17365D"/>
            <w:tcMar>
              <w:top w:w="70" w:type="dxa"/>
              <w:start w:w="80" w:type="dxa"/>
              <w:bottom w:w="70" w:type="dxa"/>
              <w:end w:w="80" w:type="dxa"/>
            </w:tcMar>
          </w:tcPr>
          <w:p>
            <w:pPr>
              <w:spacing w:after="0"/>
              <w:jc w:val="left"/>
            </w:pPr>
            <w:r>
              <w:rPr>
                <w:b/>
                <w:color w:val="FFFFFF"/>
                <w:sz w:val="15"/>
              </w:rPr>
              <w:t>State-supplied default</w:t>
            </w:r>
          </w:p>
        </w:tc>
        <w:tc>
          <w:tcPr>
            <w:tcW w:type="dxa" w:w="4248"/>
            <w:shd w:fill="17365D"/>
            <w:tcMar>
              <w:top w:w="70" w:type="dxa"/>
              <w:start w:w="80" w:type="dxa"/>
              <w:bottom w:w="70" w:type="dxa"/>
              <w:end w:w="80" w:type="dxa"/>
            </w:tcMar>
          </w:tcPr>
          <w:p>
            <w:pPr>
              <w:spacing w:after="0"/>
              <w:jc w:val="left"/>
            </w:pPr>
            <w:r>
              <w:rPr>
                <w:b/>
                <w:color w:val="FFFFFF"/>
                <w:sz w:val="15"/>
              </w:rPr>
              <w:t>City configuration needed</w:t>
            </w:r>
          </w:p>
        </w:tc>
      </w:tr>
      <w:tr>
        <w:trPr>
          <w:cantSplit/>
        </w:trPr>
        <w:tc>
          <w:tcPr>
            <w:tcW w:type="dxa" w:w="3168"/>
            <w:tcMar>
              <w:top w:w="70" w:type="dxa"/>
              <w:start w:w="80" w:type="dxa"/>
              <w:bottom w:w="70" w:type="dxa"/>
              <w:end w:w="80" w:type="dxa"/>
            </w:tcMar>
            <w:vAlign w:val="top"/>
          </w:tcPr>
          <w:p>
            <w:pPr>
              <w:spacing w:after="0" w:line="240" w:lineRule="auto"/>
            </w:pPr>
            <w:r>
              <w:rPr>
                <w:rFonts w:ascii="Aptos" w:hAnsi="Aptos"/>
                <w:sz w:val="15"/>
              </w:rPr>
              <w:t>Business-day calendar</w:t>
            </w:r>
          </w:p>
        </w:tc>
        <w:tc>
          <w:tcPr>
            <w:tcW w:type="dxa" w:w="3240"/>
            <w:tcMar>
              <w:top w:w="70" w:type="dxa"/>
              <w:start w:w="80" w:type="dxa"/>
              <w:bottom w:w="70" w:type="dxa"/>
              <w:end w:w="80" w:type="dxa"/>
            </w:tcMar>
            <w:vAlign w:val="top"/>
          </w:tcPr>
          <w:p>
            <w:pPr>
              <w:spacing w:after="0" w:line="240" w:lineRule="auto"/>
            </w:pPr>
            <w:r>
              <w:rPr>
                <w:rFonts w:ascii="Aptos" w:hAnsi="Aptos"/>
                <w:sz w:val="15"/>
              </w:rPr>
              <w:t>Five business days.</w:t>
            </w:r>
          </w:p>
        </w:tc>
        <w:tc>
          <w:tcPr>
            <w:tcW w:type="dxa" w:w="4248"/>
            <w:tcMar>
              <w:top w:w="70" w:type="dxa"/>
              <w:start w:w="80" w:type="dxa"/>
              <w:bottom w:w="70" w:type="dxa"/>
              <w:end w:w="80" w:type="dxa"/>
            </w:tcMar>
            <w:vAlign w:val="top"/>
          </w:tcPr>
          <w:p>
            <w:pPr>
              <w:spacing w:after="0" w:line="240" w:lineRule="auto"/>
            </w:pPr>
            <w:r>
              <w:rPr>
                <w:rFonts w:ascii="Aptos" w:hAnsi="Aptos"/>
                <w:sz w:val="15"/>
              </w:rPr>
              <w:t>City holidays, office hours, receipt cutoff.</w:t>
            </w:r>
          </w:p>
        </w:tc>
      </w:tr>
      <w:tr>
        <w:trPr>
          <w:cantSplit/>
        </w:trPr>
        <w:tc>
          <w:tcPr>
            <w:tcW w:type="dxa" w:w="3168"/>
            <w:shd w:fill="FAFCFE"/>
            <w:tcMar>
              <w:top w:w="70" w:type="dxa"/>
              <w:start w:w="80" w:type="dxa"/>
              <w:bottom w:w="70" w:type="dxa"/>
              <w:end w:w="80" w:type="dxa"/>
            </w:tcMar>
            <w:vAlign w:val="top"/>
          </w:tcPr>
          <w:p>
            <w:pPr>
              <w:spacing w:after="0" w:line="240" w:lineRule="auto"/>
            </w:pPr>
            <w:r>
              <w:rPr>
                <w:rFonts w:ascii="Aptos" w:hAnsi="Aptos"/>
                <w:sz w:val="15"/>
              </w:rPr>
              <w:t>Commitment-date method</w:t>
            </w:r>
          </w:p>
        </w:tc>
        <w:tc>
          <w:tcPr>
            <w:tcW w:type="dxa" w:w="3240"/>
            <w:shd w:fill="FAFCFE"/>
            <w:tcMar>
              <w:top w:w="70" w:type="dxa"/>
              <w:start w:w="80" w:type="dxa"/>
              <w:bottom w:w="70" w:type="dxa"/>
              <w:end w:w="80" w:type="dxa"/>
            </w:tcMar>
            <w:vAlign w:val="top"/>
          </w:tcPr>
          <w:p>
            <w:pPr>
              <w:spacing w:after="0" w:line="240" w:lineRule="auto"/>
            </w:pPr>
            <w:r>
              <w:rPr>
                <w:rFonts w:ascii="Aptos" w:hAnsi="Aptos"/>
                <w:sz w:val="15"/>
              </w:rPr>
              <w:t>Earliest date/time reasonably believed available.</w:t>
            </w:r>
          </w:p>
        </w:tc>
        <w:tc>
          <w:tcPr>
            <w:tcW w:type="dxa" w:w="4248"/>
            <w:shd w:fill="FAFCFE"/>
            <w:tcMar>
              <w:top w:w="70" w:type="dxa"/>
              <w:start w:w="80" w:type="dxa"/>
              <w:bottom w:w="70" w:type="dxa"/>
              <w:end w:w="80" w:type="dxa"/>
            </w:tcMar>
            <w:vAlign w:val="top"/>
          </w:tcPr>
          <w:p>
            <w:pPr>
              <w:spacing w:after="0" w:line="240" w:lineRule="auto"/>
            </w:pPr>
            <w:r>
              <w:rPr>
                <w:rFonts w:ascii="Aptos" w:hAnsi="Aptos"/>
                <w:sz w:val="15"/>
              </w:rPr>
              <w:t>Estimation method, approver, escalation and update cadence.</w:t>
            </w:r>
          </w:p>
        </w:tc>
      </w:tr>
      <w:tr>
        <w:trPr>
          <w:cantSplit/>
        </w:trPr>
        <w:tc>
          <w:tcPr>
            <w:tcW w:type="dxa" w:w="3168"/>
            <w:tcMar>
              <w:top w:w="70" w:type="dxa"/>
              <w:start w:w="80" w:type="dxa"/>
              <w:bottom w:w="70" w:type="dxa"/>
              <w:end w:w="80" w:type="dxa"/>
            </w:tcMar>
            <w:vAlign w:val="top"/>
          </w:tcPr>
          <w:p>
            <w:pPr>
              <w:spacing w:after="0" w:line="240" w:lineRule="auto"/>
            </w:pPr>
            <w:r>
              <w:rPr>
                <w:rFonts w:ascii="Aptos" w:hAnsi="Aptos"/>
                <w:sz w:val="15"/>
              </w:rPr>
              <w:t>Clarification nonresponse</w:t>
            </w:r>
          </w:p>
        </w:tc>
        <w:tc>
          <w:tcPr>
            <w:tcW w:type="dxa" w:w="3240"/>
            <w:tcMar>
              <w:top w:w="70" w:type="dxa"/>
              <w:start w:w="80" w:type="dxa"/>
              <w:bottom w:w="70" w:type="dxa"/>
              <w:end w:w="80" w:type="dxa"/>
            </w:tcMar>
            <w:vAlign w:val="top"/>
          </w:tcPr>
          <w:p>
            <w:pPr>
              <w:spacing w:after="0" w:line="240" w:lineRule="auto"/>
            </w:pPr>
            <w:r>
              <w:rPr>
                <w:rFonts w:ascii="Aptos" w:hAnsi="Aptos"/>
                <w:sz w:val="15"/>
              </w:rPr>
              <w:t>No statewide closure period.</w:t>
            </w:r>
          </w:p>
        </w:tc>
        <w:tc>
          <w:tcPr>
            <w:tcW w:type="dxa" w:w="4248"/>
            <w:tcMar>
              <w:top w:w="70" w:type="dxa"/>
              <w:start w:w="80" w:type="dxa"/>
              <w:bottom w:w="70" w:type="dxa"/>
              <w:end w:w="80" w:type="dxa"/>
            </w:tcMar>
            <w:vAlign w:val="top"/>
          </w:tcPr>
          <w:p>
            <w:pPr>
              <w:spacing w:after="0" w:line="240" w:lineRule="auto"/>
            </w:pPr>
            <w:r>
              <w:rPr>
                <w:rFonts w:ascii="Aptos" w:hAnsi="Aptos"/>
                <w:sz w:val="15"/>
              </w:rPr>
              <w:t>Optional local inactivity reminder/closure policy.</w:t>
            </w:r>
          </w:p>
        </w:tc>
      </w:tr>
      <w:tr>
        <w:trPr>
          <w:cantSplit/>
        </w:trPr>
        <w:tc>
          <w:tcPr>
            <w:tcW w:type="dxa" w:w="3168"/>
            <w:shd w:fill="FAFCFE"/>
            <w:tcMar>
              <w:top w:w="70" w:type="dxa"/>
              <w:start w:w="80" w:type="dxa"/>
              <w:bottom w:w="70" w:type="dxa"/>
              <w:end w:w="80" w:type="dxa"/>
            </w:tcMar>
            <w:vAlign w:val="top"/>
          </w:tcPr>
          <w:p>
            <w:pPr>
              <w:spacing w:after="0" w:line="240" w:lineRule="auto"/>
            </w:pPr>
            <w:r>
              <w:rPr>
                <w:rFonts w:ascii="Aptos" w:hAnsi="Aptos"/>
                <w:sz w:val="15"/>
              </w:rPr>
              <w:t>Copy fee schedule</w:t>
            </w:r>
          </w:p>
        </w:tc>
        <w:tc>
          <w:tcPr>
            <w:tcW w:type="dxa" w:w="3240"/>
            <w:shd w:fill="FAFCFE"/>
            <w:tcMar>
              <w:top w:w="70" w:type="dxa"/>
              <w:start w:w="80" w:type="dxa"/>
              <w:bottom w:w="70" w:type="dxa"/>
              <w:end w:w="80" w:type="dxa"/>
            </w:tcMar>
            <w:vAlign w:val="top"/>
          </w:tcPr>
          <w:p>
            <w:pPr>
              <w:spacing w:after="0" w:line="240" w:lineRule="auto"/>
            </w:pPr>
            <w:r>
              <w:rPr>
                <w:rFonts w:ascii="Aptos" w:hAnsi="Aptos"/>
                <w:sz w:val="15"/>
              </w:rPr>
              <w:t>Actual direct cost ceiling.</w:t>
            </w:r>
          </w:p>
        </w:tc>
        <w:tc>
          <w:tcPr>
            <w:tcW w:type="dxa" w:w="4248"/>
            <w:shd w:fill="FAFCFE"/>
            <w:tcMar>
              <w:top w:w="70" w:type="dxa"/>
              <w:start w:w="80" w:type="dxa"/>
              <w:bottom w:w="70" w:type="dxa"/>
              <w:end w:w="80" w:type="dxa"/>
            </w:tcMar>
            <w:vAlign w:val="top"/>
          </w:tcPr>
          <w:p>
            <w:pPr>
              <w:spacing w:after="0" w:line="240" w:lineRule="auto"/>
            </w:pPr>
            <w:r>
              <w:rPr>
                <w:rFonts w:ascii="Aptos" w:hAnsi="Aptos"/>
                <w:sz w:val="15"/>
              </w:rPr>
              <w:t>Page/media/postage rates and specific-law exceptions.</w:t>
            </w:r>
          </w:p>
        </w:tc>
      </w:tr>
      <w:tr>
        <w:trPr>
          <w:cantSplit/>
        </w:trPr>
        <w:tc>
          <w:tcPr>
            <w:tcW w:type="dxa" w:w="3168"/>
            <w:tcMar>
              <w:top w:w="70" w:type="dxa"/>
              <w:start w:w="80" w:type="dxa"/>
              <w:bottom w:w="70" w:type="dxa"/>
              <w:end w:w="80" w:type="dxa"/>
            </w:tcMar>
            <w:vAlign w:val="top"/>
          </w:tcPr>
          <w:p>
            <w:pPr>
              <w:spacing w:after="0" w:line="240" w:lineRule="auto"/>
            </w:pPr>
            <w:r>
              <w:rPr>
                <w:rFonts w:ascii="Aptos" w:hAnsi="Aptos"/>
                <w:sz w:val="15"/>
              </w:rPr>
              <w:t>Estimate/deposit policy</w:t>
            </w:r>
          </w:p>
        </w:tc>
        <w:tc>
          <w:tcPr>
            <w:tcW w:type="dxa" w:w="3240"/>
            <w:tcMar>
              <w:top w:w="70" w:type="dxa"/>
              <w:start w:w="80" w:type="dxa"/>
              <w:bottom w:w="70" w:type="dxa"/>
              <w:end w:w="80" w:type="dxa"/>
            </w:tcMar>
            <w:vAlign w:val="top"/>
          </w:tcPr>
          <w:p>
            <w:pPr>
              <w:spacing w:after="0" w:line="240" w:lineRule="auto"/>
            </w:pPr>
            <w:r>
              <w:rPr>
                <w:rFonts w:ascii="Aptos" w:hAnsi="Aptos"/>
                <w:sz w:val="15"/>
              </w:rPr>
              <w:t>No general municipal threshold.</w:t>
            </w:r>
          </w:p>
        </w:tc>
        <w:tc>
          <w:tcPr>
            <w:tcW w:type="dxa" w:w="4248"/>
            <w:tcMar>
              <w:top w:w="70" w:type="dxa"/>
              <w:start w:w="80" w:type="dxa"/>
              <w:bottom w:w="70" w:type="dxa"/>
              <w:end w:w="80" w:type="dxa"/>
            </w:tcMar>
            <w:vAlign w:val="top"/>
          </w:tcPr>
          <w:p>
            <w:pPr>
              <w:spacing w:after="0" w:line="240" w:lineRule="auto"/>
            </w:pPr>
            <w:r>
              <w:rPr>
                <w:rFonts w:ascii="Aptos" w:hAnsi="Aptos"/>
                <w:sz w:val="15"/>
              </w:rPr>
              <w:t>Threshold, acceptance, deposit, refunds, payment timing with legal validation.</w:t>
            </w:r>
          </w:p>
        </w:tc>
      </w:tr>
      <w:tr>
        <w:trPr>
          <w:cantSplit/>
        </w:trPr>
        <w:tc>
          <w:tcPr>
            <w:tcW w:type="dxa" w:w="3168"/>
            <w:shd w:fill="FAFCFE"/>
            <w:tcMar>
              <w:top w:w="70" w:type="dxa"/>
              <w:start w:w="80" w:type="dxa"/>
              <w:bottom w:w="70" w:type="dxa"/>
              <w:end w:w="80" w:type="dxa"/>
            </w:tcMar>
            <w:vAlign w:val="top"/>
          </w:tcPr>
          <w:p>
            <w:pPr>
              <w:spacing w:after="0" w:line="240" w:lineRule="auto"/>
            </w:pPr>
            <w:r>
              <w:rPr>
                <w:rFonts w:ascii="Aptos" w:hAnsi="Aptos"/>
                <w:sz w:val="15"/>
              </w:rPr>
              <w:t>Operational classes</w:t>
            </w:r>
          </w:p>
        </w:tc>
        <w:tc>
          <w:tcPr>
            <w:tcW w:type="dxa" w:w="3240"/>
            <w:shd w:fill="FAFCFE"/>
            <w:tcMar>
              <w:top w:w="70" w:type="dxa"/>
              <w:start w:w="80" w:type="dxa"/>
              <w:bottom w:w="70" w:type="dxa"/>
              <w:end w:w="80" w:type="dxa"/>
            </w:tcMar>
            <w:vAlign w:val="top"/>
          </w:tcPr>
          <w:p>
            <w:pPr>
              <w:spacing w:after="0" w:line="240" w:lineRule="auto"/>
            </w:pPr>
            <w:r>
              <w:rPr>
                <w:rFonts w:ascii="Aptos" w:hAnsi="Aptos"/>
                <w:sz w:val="15"/>
              </w:rPr>
              <w:t>No statutory classes.</w:t>
            </w:r>
          </w:p>
        </w:tc>
        <w:tc>
          <w:tcPr>
            <w:tcW w:type="dxa" w:w="4248"/>
            <w:shd w:fill="FAFCFE"/>
            <w:tcMar>
              <w:top w:w="70" w:type="dxa"/>
              <w:start w:w="80" w:type="dxa"/>
              <w:bottom w:w="70" w:type="dxa"/>
              <w:end w:w="80" w:type="dxa"/>
            </w:tcMar>
            <w:vAlign w:val="top"/>
          </w:tcPr>
          <w:p>
            <w:pPr>
              <w:spacing w:after="0" w:line="240" w:lineRule="auto"/>
            </w:pPr>
            <w:r>
              <w:rPr>
                <w:rFonts w:ascii="Aptos" w:hAnsi="Aptos"/>
                <w:sz w:val="15"/>
              </w:rPr>
              <w:t>Simple/standard/complex labels and internal service goals.</w:t>
            </w:r>
          </w:p>
        </w:tc>
      </w:tr>
      <w:tr>
        <w:trPr>
          <w:cantSplit/>
        </w:trPr>
        <w:tc>
          <w:tcPr>
            <w:tcW w:type="dxa" w:w="3168"/>
            <w:tcMar>
              <w:top w:w="70" w:type="dxa"/>
              <w:start w:w="80" w:type="dxa"/>
              <w:bottom w:w="70" w:type="dxa"/>
              <w:end w:w="80" w:type="dxa"/>
            </w:tcMar>
            <w:vAlign w:val="top"/>
          </w:tcPr>
          <w:p>
            <w:pPr>
              <w:spacing w:after="0" w:line="240" w:lineRule="auto"/>
            </w:pPr>
            <w:r>
              <w:rPr>
                <w:rFonts w:ascii="Aptos" w:hAnsi="Aptos"/>
                <w:sz w:val="15"/>
              </w:rPr>
              <w:t>Denial template</w:t>
            </w:r>
          </w:p>
        </w:tc>
        <w:tc>
          <w:tcPr>
            <w:tcW w:type="dxa" w:w="3240"/>
            <w:tcMar>
              <w:top w:w="70" w:type="dxa"/>
              <w:start w:w="80" w:type="dxa"/>
              <w:bottom w:w="70" w:type="dxa"/>
              <w:end w:w="80" w:type="dxa"/>
            </w:tcMar>
            <w:vAlign w:val="top"/>
          </w:tcPr>
          <w:p>
            <w:pPr>
              <w:spacing w:after="0" w:line="240" w:lineRule="auto"/>
            </w:pPr>
            <w:r>
              <w:rPr>
                <w:rFonts w:ascii="Aptos" w:hAnsi="Aptos"/>
                <w:sz w:val="15"/>
              </w:rPr>
              <w:t>Specific legal authority mandatory.</w:t>
            </w:r>
          </w:p>
        </w:tc>
        <w:tc>
          <w:tcPr>
            <w:tcW w:type="dxa" w:w="4248"/>
            <w:tcMar>
              <w:top w:w="70" w:type="dxa"/>
              <w:start w:w="80" w:type="dxa"/>
              <w:bottom w:w="70" w:type="dxa"/>
              <w:end w:w="80" w:type="dxa"/>
            </w:tcMar>
            <w:vAlign w:val="top"/>
          </w:tcPr>
          <w:p>
            <w:pPr>
              <w:spacing w:after="0" w:line="240" w:lineRule="auto"/>
            </w:pPr>
            <w:r>
              <w:rPr>
                <w:rFonts w:ascii="Aptos" w:hAnsi="Aptos"/>
                <w:sz w:val="15"/>
              </w:rPr>
              <w:t>Signatory, explanation depth, appeal information, delivery proof.</w:t>
            </w:r>
          </w:p>
        </w:tc>
      </w:tr>
    </w:tbl>
    <w:p>
      <w:pPr>
        <w:pStyle w:val="Heading1"/>
      </w:pPr>
      <w:r>
        <w:t>9. Suggested workflow states for this jurisdiction</w:t>
      </w:r>
    </w:p>
    <w:p>
      <w:pPr>
        <w:spacing w:after="40"/>
      </w:pPr>
      <w:r>
        <w:rPr>
          <w:b/>
          <w:sz w:val="17"/>
        </w:rPr>
        <w:t>Received</w:t>
      </w:r>
      <w:r>
        <w:t xml:space="preserve">  →  </w:t>
      </w:r>
      <w:r>
        <w:rPr>
          <w:b w:val="0"/>
          <w:sz w:val="17"/>
        </w:rPr>
        <w:t>Custody &amp; Availability Review</w:t>
      </w:r>
      <w:r>
        <w:t xml:space="preserve">  →  </w:t>
      </w:r>
      <w:r>
        <w:rPr>
          <w:b w:val="0"/>
          <w:sz w:val="17"/>
        </w:rPr>
        <w:t>Produced / No Custody / Delay / Denial</w:t>
      </w:r>
      <w:r>
        <w:t xml:space="preserve">  →  </w:t>
      </w:r>
      <w:r>
        <w:rPr>
          <w:b w:val="0"/>
          <w:sz w:val="17"/>
        </w:rPr>
        <w:t>Clarification Assistance or Search</w:t>
      </w:r>
      <w:r>
        <w:t xml:space="preserve">  →  </w:t>
      </w:r>
      <w:r>
        <w:rPr>
          <w:b w:val="0"/>
          <w:sz w:val="17"/>
        </w:rPr>
        <w:t>Redaction &amp; Fee Review</w:t>
      </w:r>
      <w:r>
        <w:t xml:space="preserve">  →  </w:t>
      </w:r>
      <w:r>
        <w:rPr>
          <w:b w:val="0"/>
          <w:sz w:val="17"/>
        </w:rPr>
        <w:t>Commitment Monitoring</w:t>
      </w:r>
      <w:r>
        <w:t xml:space="preserve">  →  </w:t>
      </w:r>
      <w:r>
        <w:rPr>
          <w:b w:val="0"/>
          <w:sz w:val="17"/>
        </w:rPr>
        <w:t>Delivered / Closed</w:t>
      </w:r>
    </w:p>
    <w:tbl>
      <w:tblPr>
        <w:tblW w:type="auto" w:w="0"/>
        <w:jc w:val="center"/>
        <w:tblLayout w:type="fixed"/>
        <w:tblLook w:firstColumn="1" w:firstRow="1" w:lastColumn="0" w:lastRow="0" w:noHBand="0" w:noVBand="1" w:val="04A0"/>
      </w:tblPr>
      <w:tblGrid>
        <w:gridCol w:w="10454"/>
      </w:tblGrid>
      <w:tr>
        <w:tc>
          <w:tcPr>
            <w:tcW w:type="dxa" w:w="10152"/>
            <w:shd w:fill="F3F6F9"/>
            <w:tcMar>
              <w:top w:w="90" w:type="dxa"/>
              <w:start w:w="120" w:type="dxa"/>
              <w:bottom w:w="90" w:type="dxa"/>
              <w:end w:w="120" w:type="dxa"/>
            </w:tcMar>
          </w:tcPr>
          <w:p>
            <w:pPr>
              <w:spacing w:after="0"/>
            </w:pPr>
            <w:r>
              <w:rPr>
                <w:b/>
                <w:color w:val="17365D"/>
              </w:rPr>
              <w:t xml:space="preserve">Implementation boundary: </w:t>
            </w:r>
            <w:r>
              <w:t>The system can enforce the five-day choice and recurring commitment notices. A human must determine confidentiality, segregability, whether the expected date is reasonable, and whether another fee statute applies.</w:t>
            </w:r>
          </w:p>
        </w:tc>
      </w:tr>
    </w:tbl>
    <w:p>
      <w:pPr>
        <w:pStyle w:val="Heading1"/>
      </w:pPr>
      <w:r>
        <w:t>10. Confidence and unresolved local-policy questions</w:t>
      </w:r>
    </w:p>
    <w:p>
      <w:pPr>
        <w:pStyle w:val="CompactList"/>
      </w:pPr>
      <w:r>
        <w:rPr>
          <w:b/>
        </w:rPr>
        <w:t xml:space="preserve">• </w:t>
      </w:r>
      <w:r>
        <w:t>High confidence in the five-business-day response alternatives, recurring missed-date notice, focusing duty, and actual-cost fee ceiling.</w:t>
      </w:r>
    </w:p>
    <w:p>
      <w:pPr>
        <w:pStyle w:val="CompactList"/>
      </w:pPr>
      <w:r>
        <w:rPr>
          <w:b/>
        </w:rPr>
        <w:t xml:space="preserve">• </w:t>
      </w:r>
      <w:r>
        <w:t>No statewide clarification tolling, abandonment, estimate threshold, or simple/complex classification was identified in chapter 239.</w:t>
      </w:r>
    </w:p>
    <w:p>
      <w:pPr>
        <w:pStyle w:val="CompactList"/>
      </w:pPr>
      <w:r>
        <w:rPr>
          <w:b/>
        </w:rPr>
        <w:t xml:space="preserve">• </w:t>
      </w:r>
      <w:r>
        <w:t>City-specific fee and payment workflows should be treated as local policy. Do not use repealed NRS 239.055 as authority for extraordinary personnel charges.</w:t>
      </w:r>
    </w:p>
    <w:p>
      <w:pPr>
        <w:pStyle w:val="Heading1"/>
      </w:pPr>
      <w:r>
        <w:t>Primary authorities and official resources</w:t>
      </w:r>
    </w:p>
    <w:p>
      <w:pPr>
        <w:pStyle w:val="CompactList"/>
      </w:pPr>
      <w:r>
        <w:rPr>
          <w:b/>
        </w:rPr>
        <w:t xml:space="preserve">• Nevada Revised Statutes, chapter 239: </w:t>
      </w:r>
      <w:hyperlink r:id="rId11">
        <w:r>
          <w:rPr>
            <w:color w:val="0563C1"/>
            <w:u w:val="single"/>
          </w:rPr>
          <w:t>https://www.leg.state.nv.us/nrs/nrs-239.html</w:t>
        </w:r>
      </w:hyperlink>
    </w:p>
    <w:p>
      <w:pPr>
        <w:pStyle w:val="CompactList"/>
      </w:pPr>
      <w:r>
        <w:rPr>
          <w:b/>
        </w:rPr>
        <w:t xml:space="preserve">• Nevada Legislature, NRS current-law library: </w:t>
      </w:r>
      <w:hyperlink r:id="rId12">
        <w:r>
          <w:rPr>
            <w:color w:val="0563C1"/>
            <w:u w:val="single"/>
          </w:rPr>
          <w:t>https://www.leg.state.nv.us/Division/Legal/LawLibrary/NRS/</w:t>
        </w:r>
      </w:hyperlink>
    </w:p>
    <w:p>
      <w:pPr>
        <w:pStyle w:val="CompactList"/>
      </w:pPr>
      <w:r>
        <w:rPr>
          <w:b/>
        </w:rPr>
        <w:t xml:space="preserve">• Nevada Attorney General, Open Government resources: </w:t>
      </w:r>
      <w:hyperlink r:id="rId13">
        <w:r>
          <w:rPr>
            <w:color w:val="0563C1"/>
            <w:u w:val="single"/>
          </w:rPr>
          <w:t>https://ag.nv.gov/About/Governmental_Affairs/Open_Government/</w:t>
        </w:r>
      </w:hyperlink>
    </w:p>
    <w:tbl>
      <w:tblPr>
        <w:tblW w:type="auto" w:w="0"/>
        <w:jc w:val="center"/>
        <w:tblLayout w:type="fixed"/>
        <w:tblLook w:firstColumn="1" w:firstRow="1" w:lastColumn="0" w:lastRow="0" w:noHBand="0" w:noVBand="1" w:val="04A0"/>
      </w:tblPr>
      <w:tblGrid>
        <w:gridCol w:w="10454"/>
      </w:tblGrid>
      <w:tr>
        <w:tc>
          <w:tcPr>
            <w:tcW w:type="dxa" w:w="10152"/>
            <w:shd w:fill="F3F6F9"/>
            <w:tcMar>
              <w:top w:w="90" w:type="dxa"/>
              <w:start w:w="120" w:type="dxa"/>
              <w:bottom w:w="90" w:type="dxa"/>
              <w:end w:w="120" w:type="dxa"/>
            </w:tcMar>
          </w:tcPr>
          <w:p>
            <w:pPr>
              <w:spacing w:after="0"/>
            </w:pPr>
            <w:r>
              <w:rPr>
                <w:b/>
                <w:color w:val="17365D"/>
              </w:rPr>
              <w:t xml:space="preserve">Legal-use caution: </w:t>
            </w:r>
            <w:r>
              <w:t>This is implementation-oriented legal research, not legal advice. Before production deployment, the city should validate the configuration against current statutes, regulations, controlling decisions, Attorney General or oversight guidance, and the city's adopted fee and records policies.</w:t>
            </w:r>
          </w:p>
        </w:tc>
      </w:tr>
    </w:tbl>
    <w:sectPr w:rsidR="00FC693F" w:rsidRPr="0006063C" w:rsidSect="00034616">
      <w:headerReference w:type="default" r:id="rId9"/>
      <w:footerReference w:type="default" r:id="rId10"/>
      <w:pgSz w:w="12240" w:h="15840"/>
      <w:pgMar w:top="792" w:right="893" w:bottom="792"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4"/>
      </w:rPr>
      <w:t xml:space="preserve">Research and software-configuration analysis | Accessed July 22,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5A5A"/>
        <w:sz w:val="15"/>
      </w:rPr>
      <w:t>National Open Records Workflow Schema Pilot | 02 Nevada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List">
    <w:name w:val="Compact List"/>
    <w:pPr>
      <w:spacing w:after="30"/>
      <w:ind w:left="259" w:hanging="187"/>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leg.state.nv.us/nrs/nrs-239.html" TargetMode="External"/><Relationship Id="rId12" Type="http://schemas.openxmlformats.org/officeDocument/2006/relationships/hyperlink" Target="https://www.leg.state.nv.us/Division/Legal/LawLibrary/NRS/" TargetMode="External"/><Relationship Id="rId13" Type="http://schemas.openxmlformats.org/officeDocument/2006/relationships/hyperlink" Target="https://ag.nv.gov/About/Governmental_Affairs/Open_Govern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