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Washington</w:t>
        <w:br/>
      </w:r>
      <w:r>
        <w:rPr>
          <w:color w:val="17365D"/>
          <w:sz w:val="34"/>
        </w:rPr>
        <w:t>Initial Public-Records Processing Workflow</w:t>
        <w:br/>
        <w:t>and Software Configuration Analysis</w:t>
      </w:r>
    </w:p>
    <w:p>
      <w:pPr>
        <w:jc w:val="center"/>
      </w:pPr>
      <w:r>
        <w:rPr>
          <w:i/>
          <w:color w:val="5A5A5A"/>
          <w:sz w:val="18"/>
        </w:rPr>
        <w:t>Pilot State 03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Washington’s Public Records Act, chapter 42.56 RCW, applies to cities. The model rules in chapter 44-14 WAC are persuasive guidance and become binding only to the extent adopted or otherwise applicable.</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Washington has a fixed five-business-day initial response but no single fixed statewide production deadline.</w:t>
      </w:r>
    </w:p>
    <w:p>
      <w:pPr>
        <w:pStyle w:val="CompactList"/>
      </w:pPr>
      <w:r>
        <w:rPr>
          <w:b/>
        </w:rPr>
        <w:t xml:space="preserve">• </w:t>
      </w:r>
      <w:r>
        <w:t>The initial response must provide the record/link, acknowledge receipt and give a reasonable estimate, request clarification, or deny. Additional time may be based on clarification, locating/assembling, third-party notice, or exemption review.</w:t>
      </w:r>
    </w:p>
    <w:p>
      <w:pPr>
        <w:pStyle w:val="CompactList"/>
      </w:pPr>
      <w:r>
        <w:rPr>
          <w:b/>
        </w:rPr>
        <w:t xml:space="preserve">• </w:t>
      </w:r>
      <w:r>
        <w:t>Installment production is an express statutory workflow. An unclaimed or unreviewed installment permits the agency to stop processing the balance.</w:t>
      </w:r>
    </w:p>
    <w:p>
      <w:pPr>
        <w:pStyle w:val="CompactList"/>
      </w:pPr>
      <w:r>
        <w:rPr>
          <w:b/>
        </w:rPr>
        <w:t xml:space="preserve">• </w:t>
      </w:r>
      <w:r>
        <w:t>Denials must cite the specific exemption and provide a brief explanation of how it applies. Agencies must maintain an internal review mechanism; review is deemed complete at the end of the second business day after denial.</w:t>
      </w:r>
    </w:p>
    <w:p>
      <w:pPr>
        <w:pStyle w:val="CompactList"/>
      </w:pPr>
      <w:r>
        <w:rPr>
          <w:b/>
        </w:rPr>
        <w:t xml:space="preserve">• </w:t>
      </w:r>
      <w:r>
        <w:t>Fees may use actual cost or the statutory default schedule. Deposits up to 10 percent and installment-by-installment payment are authorized; customized electronic service charges require explanation and estimate.</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Identify the public records officer’s receipt date and calculate five business days.</w:t>
      </w:r>
    </w:p>
    <w:p>
      <w:pPr>
        <w:pStyle w:val="CompactList"/>
      </w:pPr>
      <w:r>
        <w:rPr>
          <w:b/>
        </w:rPr>
        <w:t xml:space="preserve">• </w:t>
      </w:r>
      <w:r>
        <w:t>Determine whether the request is sufficiently clear, whether records are online, whether third-party notice or exemption review is needed, and whether production should be in installments.</w:t>
      </w:r>
    </w:p>
    <w:p>
      <w:pPr>
        <w:pStyle w:val="CompactList"/>
      </w:pPr>
      <w:r>
        <w:rPr>
          <w:b/>
        </w:rPr>
        <w:t xml:space="preserve">• </w:t>
      </w:r>
      <w:r>
        <w:t>Give the fullest assistance and avoid excessive interference with essential functions. Operational workload planning should not be confused with a legal complexity classification.</w:t>
      </w:r>
    </w:p>
    <w:p>
      <w:pPr>
        <w:pStyle w:val="CompactList"/>
      </w:pPr>
      <w:r>
        <w:rPr>
          <w:b/>
        </w:rPr>
        <w:t xml:space="preserve">• </w:t>
      </w:r>
      <w:r>
        <w:t>Choose and record one of the four statutory initial-response outcomes.</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Within 5 business days</w:t>
            </w:r>
          </w:p>
        </w:tc>
        <w:tc>
          <w:tcPr>
            <w:tcW w:type="dxa" w:w="4752"/>
            <w:tcMar>
              <w:top w:w="70" w:type="dxa"/>
              <w:start w:w="80" w:type="dxa"/>
              <w:bottom w:w="70" w:type="dxa"/>
              <w:end w:w="80" w:type="dxa"/>
            </w:tcMar>
            <w:vAlign w:val="top"/>
          </w:tcPr>
          <w:p>
            <w:pPr>
              <w:spacing w:after="0" w:line="240" w:lineRule="auto"/>
            </w:pPr>
            <w:r>
              <w:rPr>
                <w:rFonts w:ascii="Aptos" w:hAnsi="Aptos"/>
                <w:sz w:val="15"/>
              </w:rPr>
              <w:t>Provide record or website link; acknowledge and provide reasonable estimate; request clarification; or deny.</w:t>
            </w:r>
          </w:p>
        </w:tc>
        <w:tc>
          <w:tcPr>
            <w:tcW w:type="dxa" w:w="1655"/>
            <w:tcMar>
              <w:top w:w="70" w:type="dxa"/>
              <w:start w:w="80" w:type="dxa"/>
              <w:bottom w:w="70" w:type="dxa"/>
              <w:end w:w="80" w:type="dxa"/>
            </w:tcMar>
            <w:vAlign w:val="top"/>
          </w:tcPr>
          <w:p>
            <w:pPr>
              <w:spacing w:after="0" w:line="240" w:lineRule="auto"/>
            </w:pPr>
            <w:r>
              <w:rPr>
                <w:rFonts w:ascii="Aptos" w:hAnsi="Aptos"/>
                <w:sz w:val="15"/>
              </w:rPr>
              <w:t>Initial-response timer satisfied.</w:t>
            </w:r>
          </w:p>
        </w:tc>
        <w:tc>
          <w:tcPr>
            <w:tcW w:type="dxa" w:w="1872"/>
            <w:tcMar>
              <w:top w:w="70" w:type="dxa"/>
              <w:start w:w="80" w:type="dxa"/>
              <w:bottom w:w="70" w:type="dxa"/>
              <w:end w:w="80" w:type="dxa"/>
            </w:tcMar>
            <w:vAlign w:val="top"/>
          </w:tcPr>
          <w:p>
            <w:pPr>
              <w:spacing w:after="0" w:line="240" w:lineRule="auto"/>
            </w:pPr>
            <w:r>
              <w:rPr>
                <w:rFonts w:ascii="Aptos" w:hAnsi="Aptos"/>
                <w:sz w:val="15"/>
              </w:rPr>
              <w:t>RCW 42.56.520</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Estimate changes</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Provide a revised reasonable estimate when circumstances justify it.</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Replaces prior estimate, not a new statutory class.</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RCW 42.56.520 / model rules</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Denial</w:t>
            </w:r>
          </w:p>
        </w:tc>
        <w:tc>
          <w:tcPr>
            <w:tcW w:type="dxa" w:w="4752"/>
            <w:tcMar>
              <w:top w:w="70" w:type="dxa"/>
              <w:start w:w="80" w:type="dxa"/>
              <w:bottom w:w="70" w:type="dxa"/>
              <w:end w:w="80" w:type="dxa"/>
            </w:tcMar>
            <w:vAlign w:val="top"/>
          </w:tcPr>
          <w:p>
            <w:pPr>
              <w:spacing w:after="0" w:line="240" w:lineRule="auto"/>
            </w:pPr>
            <w:r>
              <w:rPr>
                <w:rFonts w:ascii="Aptos" w:hAnsi="Aptos"/>
                <w:sz w:val="15"/>
              </w:rPr>
              <w:t>Cite specific exemption and briefly explain application.</w:t>
            </w:r>
          </w:p>
        </w:tc>
        <w:tc>
          <w:tcPr>
            <w:tcW w:type="dxa" w:w="1655"/>
            <w:tcMar>
              <w:top w:w="70" w:type="dxa"/>
              <w:start w:w="80" w:type="dxa"/>
              <w:bottom w:w="70" w:type="dxa"/>
              <w:end w:w="80" w:type="dxa"/>
            </w:tcMar>
            <w:vAlign w:val="top"/>
          </w:tcPr>
          <w:p>
            <w:pPr>
              <w:spacing w:after="0" w:line="240" w:lineRule="auto"/>
            </w:pPr>
            <w:r>
              <w:rPr>
                <w:rFonts w:ascii="Aptos" w:hAnsi="Aptos"/>
                <w:sz w:val="15"/>
              </w:rPr>
              <w:t>Triggers internal-review right.</w:t>
            </w:r>
          </w:p>
        </w:tc>
        <w:tc>
          <w:tcPr>
            <w:tcW w:type="dxa" w:w="1872"/>
            <w:tcMar>
              <w:top w:w="70" w:type="dxa"/>
              <w:start w:w="80" w:type="dxa"/>
              <w:bottom w:w="70" w:type="dxa"/>
              <w:end w:w="80" w:type="dxa"/>
            </w:tcMar>
            <w:vAlign w:val="top"/>
          </w:tcPr>
          <w:p>
            <w:pPr>
              <w:spacing w:after="0" w:line="240" w:lineRule="auto"/>
            </w:pPr>
            <w:r>
              <w:rPr>
                <w:rFonts w:ascii="Aptos" w:hAnsi="Aptos"/>
                <w:sz w:val="15"/>
              </w:rPr>
              <w:t>RCW 42.56.210(3)</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Internal review</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Agency review mechanism; deemed complete at end of second business day after denial.</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Judicial review may follow.</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RCW 42.56.530</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Installment unclaimed</w:t>
            </w:r>
          </w:p>
        </w:tc>
        <w:tc>
          <w:tcPr>
            <w:tcW w:type="dxa" w:w="4752"/>
            <w:tcMar>
              <w:top w:w="70" w:type="dxa"/>
              <w:start w:w="80" w:type="dxa"/>
              <w:bottom w:w="70" w:type="dxa"/>
              <w:end w:w="80" w:type="dxa"/>
            </w:tcMar>
            <w:vAlign w:val="top"/>
          </w:tcPr>
          <w:p>
            <w:pPr>
              <w:spacing w:after="0" w:line="240" w:lineRule="auto"/>
            </w:pPr>
            <w:r>
              <w:rPr>
                <w:rFonts w:ascii="Aptos" w:hAnsi="Aptos"/>
                <w:sz w:val="15"/>
              </w:rPr>
              <w:t>Agency need not fulfill balance if an installment is not claimed or reviewed.</w:t>
            </w:r>
          </w:p>
        </w:tc>
        <w:tc>
          <w:tcPr>
            <w:tcW w:type="dxa" w:w="1655"/>
            <w:tcMar>
              <w:top w:w="70" w:type="dxa"/>
              <w:start w:w="80" w:type="dxa"/>
              <w:bottom w:w="70" w:type="dxa"/>
              <w:end w:w="80" w:type="dxa"/>
            </w:tcMar>
            <w:vAlign w:val="top"/>
          </w:tcPr>
          <w:p>
            <w:pPr>
              <w:spacing w:after="0" w:line="240" w:lineRule="auto"/>
            </w:pPr>
            <w:r>
              <w:rPr>
                <w:rFonts w:ascii="Aptos" w:hAnsi="Aptos"/>
                <w:sz w:val="15"/>
              </w:rPr>
              <w:t>Closes remaining production.</w:t>
            </w:r>
          </w:p>
        </w:tc>
        <w:tc>
          <w:tcPr>
            <w:tcW w:type="dxa" w:w="1872"/>
            <w:tcMar>
              <w:top w:w="70" w:type="dxa"/>
              <w:start w:w="80" w:type="dxa"/>
              <w:bottom w:w="70" w:type="dxa"/>
              <w:end w:w="80" w:type="dxa"/>
            </w:tcMar>
            <w:vAlign w:val="top"/>
          </w:tcPr>
          <w:p>
            <w:pPr>
              <w:spacing w:after="0" w:line="240" w:lineRule="auto"/>
            </w:pPr>
            <w:r>
              <w:rPr>
                <w:rFonts w:ascii="Aptos" w:hAnsi="Aptos"/>
                <w:sz w:val="15"/>
              </w:rPr>
              <w:t>RCW 42.56.120(4)</w:t>
            </w:r>
          </w:p>
        </w:tc>
      </w:tr>
    </w:tbl>
    <w:p>
      <w:pPr>
        <w:pStyle w:val="Heading1"/>
      </w:pPr>
      <w:r>
        <w:t>3. Vague, unclear, or overly broad requests</w:t>
      </w:r>
    </w:p>
    <w:p>
      <w:pPr>
        <w:pStyle w:val="CompactList"/>
      </w:pPr>
      <w:r>
        <w:rPr>
          <w:b/>
        </w:rPr>
        <w:t xml:space="preserve">• </w:t>
      </w:r>
      <w:r>
        <w:t>The five-day response may itself be a request for clarification. The city should identify the portion needing clarification and, when possible, process any clear portion.</w:t>
      </w:r>
    </w:p>
    <w:p>
      <w:pPr>
        <w:pStyle w:val="CompactList"/>
      </w:pPr>
      <w:r>
        <w:rPr>
          <w:b/>
        </w:rPr>
        <w:t xml:space="preserve">• </w:t>
      </w:r>
      <w:r>
        <w:t>Washington law does not supply one universal requester-response period for clarification. Model rules and local policies commonly allow closure after nonresponse, but the period and notices must be configured from adopted policy.</w:t>
      </w:r>
    </w:p>
    <w:p>
      <w:pPr>
        <w:pStyle w:val="CompactList"/>
      </w:pPr>
      <w:r>
        <w:rPr>
          <w:b/>
        </w:rPr>
        <w:t xml:space="preserve">• </w:t>
      </w:r>
      <w:r>
        <w:t>Additional time may be based on the need to clarify the intent of the request. The engine should record which portion is awaiting clarification and which timers/estimates remain active.</w:t>
      </w:r>
    </w:p>
    <w:p>
      <w:pPr>
        <w:pStyle w:val="CompactList"/>
      </w:pPr>
      <w:r>
        <w:rPr>
          <w:b/>
        </w:rPr>
        <w:t xml:space="preserve">• </w:t>
      </w:r>
      <w:r>
        <w:t>An estimate must be reasonable; a generic “complex request” label is not a substitute for a documented estimate.</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Create partial-scope clarification capability. The statutory five-day timer ends with a valid clarification response; subsequent inactivity reminders and closure periods come from the city’s adopted rule or policy, not a universal statewide number.</w:t>
            </w:r>
          </w:p>
        </w:tc>
      </w:tr>
    </w:tbl>
    <w:p>
      <w:pPr>
        <w:pStyle w:val="Heading1"/>
      </w:pPr>
      <w:r>
        <w:t>4. Denial, withholding, and partial production</w:t>
      </w:r>
    </w:p>
    <w:p>
      <w:pPr>
        <w:pStyle w:val="CompactList"/>
      </w:pPr>
      <w:r>
        <w:rPr>
          <w:b/>
        </w:rPr>
        <w:t xml:space="preserve">• </w:t>
      </w:r>
      <w:r>
        <w:t>Each withholding must identify a specific exemption and briefly explain how it applies to the record withheld.</w:t>
      </w:r>
    </w:p>
    <w:p>
      <w:pPr>
        <w:pStyle w:val="CompactList"/>
      </w:pPr>
      <w:r>
        <w:rPr>
          <w:b/>
        </w:rPr>
        <w:t xml:space="preserve">• </w:t>
      </w:r>
      <w:r>
        <w:t>Nonexempt portions must be disclosed after redaction. Maintain an exemption log or equivalent record-level explanation.</w:t>
      </w:r>
    </w:p>
    <w:p>
      <w:pPr>
        <w:pStyle w:val="CompactList"/>
      </w:pPr>
      <w:r>
        <w:rPr>
          <w:b/>
        </w:rPr>
        <w:t xml:space="preserve">• </w:t>
      </w:r>
      <w:r>
        <w:t>The city must provide an internal administrative review route for denials. The two-business-day deemed-complete rule should be calculated automatically.</w:t>
      </w:r>
    </w:p>
    <w:p>
      <w:pPr>
        <w:pStyle w:val="CompactList"/>
      </w:pPr>
      <w:r>
        <w:rPr>
          <w:b/>
        </w:rPr>
        <w:t xml:space="preserve">• </w:t>
      </w:r>
      <w:r>
        <w:t>Third-party notice may justify additional time but does not transfer the disclosure decision to the third party.</w:t>
      </w:r>
    </w:p>
    <w:p>
      <w:pPr>
        <w:pStyle w:val="Heading1"/>
      </w:pPr>
      <w:r>
        <w:t>5. Request classification and processing tracks</w:t>
      </w:r>
    </w:p>
    <w:p>
      <w:pPr>
        <w:pStyle w:val="CompactList"/>
      </w:pPr>
      <w:r>
        <w:rPr>
          <w:b/>
        </w:rPr>
        <w:t xml:space="preserve">• </w:t>
      </w:r>
      <w:r>
        <w:t>No statewide simple/complex classifications alter the five-day response obligation.</w:t>
      </w:r>
    </w:p>
    <w:p>
      <w:pPr>
        <w:pStyle w:val="CompactList"/>
      </w:pPr>
      <w:r>
        <w:rPr>
          <w:b/>
        </w:rPr>
        <w:t xml:space="preserve">• </w:t>
      </w:r>
      <w:r>
        <w:t>Statutory processing flags include clarification, online-link response, third-party notice, exemption review, installment production, customized electronic service, copying deposit, and denial review.</w:t>
      </w:r>
    </w:p>
    <w:p>
      <w:pPr>
        <w:pStyle w:val="CompactList"/>
      </w:pPr>
      <w:r>
        <w:rPr>
          <w:b/>
        </w:rPr>
        <w:t xml:space="preserve">• </w:t>
      </w:r>
      <w:r>
        <w:t>Installment status is a legal production mode and should be modeled separately from operational “voluminous” classification.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Direct production / online link</w:t>
            </w:r>
          </w:p>
        </w:tc>
        <w:tc>
          <w:tcPr>
            <w:tcW w:type="dxa" w:w="1944"/>
            <w:tcMar>
              <w:top w:w="70" w:type="dxa"/>
              <w:start w:w="80" w:type="dxa"/>
              <w:bottom w:w="70" w:type="dxa"/>
              <w:end w:w="80" w:type="dxa"/>
            </w:tcMar>
            <w:vAlign w:val="top"/>
          </w:tcPr>
          <w:p>
            <w:pPr>
              <w:spacing w:after="0" w:line="240" w:lineRule="auto"/>
            </w:pPr>
            <w:r>
              <w:rPr>
                <w:rFonts w:ascii="Aptos" w:hAnsi="Aptos"/>
                <w:sz w:val="15"/>
              </w:rPr>
              <w:t>Legal response option</w:t>
            </w:r>
          </w:p>
        </w:tc>
        <w:tc>
          <w:tcPr>
            <w:tcW w:type="dxa" w:w="4752"/>
            <w:tcMar>
              <w:top w:w="70" w:type="dxa"/>
              <w:start w:w="80" w:type="dxa"/>
              <w:bottom w:w="70" w:type="dxa"/>
              <w:end w:w="80" w:type="dxa"/>
            </w:tcMar>
            <w:vAlign w:val="top"/>
          </w:tcPr>
          <w:p>
            <w:pPr>
              <w:spacing w:after="0" w:line="240" w:lineRule="auto"/>
            </w:pPr>
            <w:r>
              <w:rPr>
                <w:rFonts w:ascii="Aptos" w:hAnsi="Aptos"/>
                <w:sz w:val="15"/>
              </w:rPr>
              <w:t>Complete or direct requester within five business days.</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Acknowledged with estimate</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response option</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Set reasonable production estimate; revise when justified.</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Clarification</w:t>
            </w:r>
          </w:p>
        </w:tc>
        <w:tc>
          <w:tcPr>
            <w:tcW w:type="dxa" w:w="1944"/>
            <w:tcMar>
              <w:top w:w="70" w:type="dxa"/>
              <w:start w:w="80" w:type="dxa"/>
              <w:bottom w:w="70" w:type="dxa"/>
              <w:end w:w="80" w:type="dxa"/>
            </w:tcMar>
            <w:vAlign w:val="top"/>
          </w:tcPr>
          <w:p>
            <w:pPr>
              <w:spacing w:after="0" w:line="240" w:lineRule="auto"/>
            </w:pPr>
            <w:r>
              <w:rPr>
                <w:rFonts w:ascii="Aptos" w:hAnsi="Aptos"/>
                <w:sz w:val="15"/>
              </w:rPr>
              <w:t>Legal response option</w:t>
            </w:r>
          </w:p>
        </w:tc>
        <w:tc>
          <w:tcPr>
            <w:tcW w:type="dxa" w:w="4752"/>
            <w:tcMar>
              <w:top w:w="70" w:type="dxa"/>
              <w:start w:w="80" w:type="dxa"/>
              <w:bottom w:w="70" w:type="dxa"/>
              <w:end w:w="80" w:type="dxa"/>
            </w:tcMar>
            <w:vAlign w:val="top"/>
          </w:tcPr>
          <w:p>
            <w:pPr>
              <w:spacing w:after="0" w:line="240" w:lineRule="auto"/>
            </w:pPr>
            <w:r>
              <w:rPr>
                <w:rFonts w:ascii="Aptos" w:hAnsi="Aptos"/>
                <w:sz w:val="15"/>
              </w:rPr>
              <w:t>Request detail; process clear portions; local nonresponse policy.</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Installment production</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Statutory mode</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Schedule installments, charge each installment, close balance if unclaimed.</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Customized electronic service</w:t>
            </w:r>
          </w:p>
        </w:tc>
        <w:tc>
          <w:tcPr>
            <w:tcW w:type="dxa" w:w="1944"/>
            <w:tcMar>
              <w:top w:w="70" w:type="dxa"/>
              <w:start w:w="80" w:type="dxa"/>
              <w:bottom w:w="70" w:type="dxa"/>
              <w:end w:w="80" w:type="dxa"/>
            </w:tcMar>
            <w:vAlign w:val="top"/>
          </w:tcPr>
          <w:p>
            <w:pPr>
              <w:spacing w:after="0" w:line="240" w:lineRule="auto"/>
            </w:pPr>
            <w:r>
              <w:rPr>
                <w:rFonts w:ascii="Aptos" w:hAnsi="Aptos"/>
                <w:sz w:val="15"/>
              </w:rPr>
              <w:t>Statutory fee flag</w:t>
            </w:r>
          </w:p>
        </w:tc>
        <w:tc>
          <w:tcPr>
            <w:tcW w:type="dxa" w:w="4752"/>
            <w:tcMar>
              <w:top w:w="70" w:type="dxa"/>
              <w:start w:w="80" w:type="dxa"/>
              <w:bottom w:w="70" w:type="dxa"/>
              <w:end w:w="80" w:type="dxa"/>
            </w:tcMar>
            <w:vAlign w:val="top"/>
          </w:tcPr>
          <w:p>
            <w:pPr>
              <w:spacing w:after="0" w:line="240" w:lineRule="auto"/>
            </w:pPr>
            <w:r>
              <w:rPr>
                <w:rFonts w:ascii="Aptos" w:hAnsi="Aptos"/>
                <w:sz w:val="15"/>
              </w:rPr>
              <w:t>Explain service, estimate charge, apply deposit/payment rules.</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Simple / complex</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Staffing and internal service goals only.</w:t>
            </w:r>
          </w:p>
        </w:tc>
      </w:tr>
    </w:tbl>
    <w:p>
      <w:pPr>
        <w:pStyle w:val="Heading1"/>
      </w:pPr>
      <w:r>
        <w:t>6. Fees, estimates, deposits, and payment timing</w:t>
      </w:r>
    </w:p>
    <w:p>
      <w:pPr>
        <w:pStyle w:val="CompactList"/>
      </w:pPr>
      <w:r>
        <w:rPr>
          <w:b/>
        </w:rPr>
        <w:t xml:space="preserve">• </w:t>
      </w:r>
      <w:r>
        <w:t>The agency may calculate actual copying cost or adopt the statutory default fee schedule; inspection is generally free.</w:t>
      </w:r>
    </w:p>
    <w:p>
      <w:pPr>
        <w:pStyle w:val="CompactList"/>
      </w:pPr>
      <w:r>
        <w:rPr>
          <w:b/>
        </w:rPr>
        <w:t xml:space="preserve">• </w:t>
      </w:r>
      <w:r>
        <w:t>A deposit of up to 10 percent of the estimated copying cost, including customized service charges, may be required.</w:t>
      </w:r>
    </w:p>
    <w:p>
      <w:pPr>
        <w:pStyle w:val="CompactList"/>
      </w:pPr>
      <w:r>
        <w:rPr>
          <w:b/>
        </w:rPr>
        <w:t xml:space="preserve">• </w:t>
      </w:r>
      <w:r>
        <w:t>For installment production, the city may charge for each installment as it is provided.</w:t>
      </w:r>
    </w:p>
    <w:p>
      <w:pPr>
        <w:pStyle w:val="CompactList"/>
      </w:pPr>
      <w:r>
        <w:rPr>
          <w:b/>
        </w:rPr>
        <w:t xml:space="preserve">• </w:t>
      </w:r>
      <w:r>
        <w:t>Customized electronic services may be charged when the request requires data compilations or customized access services not used for other agency purposes; the requester must receive an explanation and estimate.</w:t>
      </w:r>
    </w:p>
    <w:p>
      <w:pPr>
        <w:pStyle w:val="CompactList"/>
      </w:pPr>
      <w:r>
        <w:rPr>
          <w:b/>
        </w:rPr>
        <w:t xml:space="preserve">• </w:t>
      </w:r>
      <w:r>
        <w:t>Local policy must define payment due dates and closure for nonpayment, within statutory limits.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Copy schedule</w:t>
            </w:r>
          </w:p>
        </w:tc>
        <w:tc>
          <w:tcPr>
            <w:tcW w:type="dxa" w:w="4536"/>
            <w:tcMar>
              <w:top w:w="70" w:type="dxa"/>
              <w:start w:w="80" w:type="dxa"/>
              <w:bottom w:w="70" w:type="dxa"/>
              <w:end w:w="80" w:type="dxa"/>
            </w:tcMar>
            <w:vAlign w:val="top"/>
          </w:tcPr>
          <w:p>
            <w:pPr>
              <w:spacing w:after="0" w:line="240" w:lineRule="auto"/>
            </w:pPr>
            <w:r>
              <w:rPr>
                <w:rFonts w:ascii="Aptos" w:hAnsi="Aptos"/>
                <w:sz w:val="15"/>
              </w:rPr>
              <w:t>Actual cost or statutory default schedule.</w:t>
            </w:r>
          </w:p>
        </w:tc>
        <w:tc>
          <w:tcPr>
            <w:tcW w:type="dxa" w:w="2736"/>
            <w:tcMar>
              <w:top w:w="70" w:type="dxa"/>
              <w:start w:w="80" w:type="dxa"/>
              <w:bottom w:w="70" w:type="dxa"/>
              <w:end w:w="80" w:type="dxa"/>
            </w:tcMar>
            <w:vAlign w:val="top"/>
          </w:tcPr>
          <w:p>
            <w:pPr>
              <w:spacing w:after="0" w:line="240" w:lineRule="auto"/>
            </w:pPr>
            <w:r>
              <w:rPr>
                <w:rFonts w:ascii="Aptos" w:hAnsi="Aptos"/>
                <w:sz w:val="15"/>
              </w:rPr>
              <w:t>Which method adopted; current rates and media/postage.</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Deposit</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Up to 10% of estimated copy/customized charge.</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Whether imposed and payment deadline.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Installments</w:t>
            </w:r>
          </w:p>
        </w:tc>
        <w:tc>
          <w:tcPr>
            <w:tcW w:type="dxa" w:w="4536"/>
            <w:tcMar>
              <w:top w:w="70" w:type="dxa"/>
              <w:start w:w="80" w:type="dxa"/>
              <w:bottom w:w="70" w:type="dxa"/>
              <w:end w:w="80" w:type="dxa"/>
            </w:tcMar>
            <w:vAlign w:val="top"/>
          </w:tcPr>
          <w:p>
            <w:pPr>
              <w:spacing w:after="0" w:line="240" w:lineRule="auto"/>
            </w:pPr>
            <w:r>
              <w:rPr>
                <w:rFonts w:ascii="Aptos" w:hAnsi="Aptos"/>
                <w:sz w:val="15"/>
              </w:rPr>
              <w:t>Charge each part as provided.</w:t>
            </w:r>
          </w:p>
        </w:tc>
        <w:tc>
          <w:tcPr>
            <w:tcW w:type="dxa" w:w="2736"/>
            <w:tcMar>
              <w:top w:w="70" w:type="dxa"/>
              <w:start w:w="80" w:type="dxa"/>
              <w:bottom w:w="70" w:type="dxa"/>
              <w:end w:w="80" w:type="dxa"/>
            </w:tcMar>
            <w:vAlign w:val="top"/>
          </w:tcPr>
          <w:p>
            <w:pPr>
              <w:spacing w:after="0" w:line="240" w:lineRule="auto"/>
            </w:pPr>
            <w:r>
              <w:rPr>
                <w:rFonts w:ascii="Aptos" w:hAnsi="Aptos"/>
                <w:sz w:val="15"/>
              </w:rPr>
              <w:t>Installment size, due date, delivery method.</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Customized service</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Actual cost; explanation and estimate required.</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Technical-rate calculation and approval.</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Nonpayment / unclaimed</w:t>
            </w:r>
          </w:p>
        </w:tc>
        <w:tc>
          <w:tcPr>
            <w:tcW w:type="dxa" w:w="4536"/>
            <w:tcMar>
              <w:top w:w="70" w:type="dxa"/>
              <w:start w:w="80" w:type="dxa"/>
              <w:bottom w:w="70" w:type="dxa"/>
              <w:end w:w="80" w:type="dxa"/>
            </w:tcMar>
            <w:vAlign w:val="top"/>
          </w:tcPr>
          <w:p>
            <w:pPr>
              <w:spacing w:after="0" w:line="240" w:lineRule="auto"/>
            </w:pPr>
            <w:r>
              <w:rPr>
                <w:rFonts w:ascii="Aptos" w:hAnsi="Aptos"/>
                <w:sz w:val="15"/>
              </w:rPr>
              <w:t>Unclaimed installment ends duty for balance.</w:t>
            </w:r>
          </w:p>
        </w:tc>
        <w:tc>
          <w:tcPr>
            <w:tcW w:type="dxa" w:w="2736"/>
            <w:tcMar>
              <w:top w:w="70" w:type="dxa"/>
              <w:start w:w="80" w:type="dxa"/>
              <w:bottom w:w="70" w:type="dxa"/>
              <w:end w:w="80" w:type="dxa"/>
            </w:tcMar>
            <w:vAlign w:val="top"/>
          </w:tcPr>
          <w:p>
            <w:pPr>
              <w:spacing w:after="0" w:line="240" w:lineRule="auto"/>
            </w:pPr>
            <w:r>
              <w:rPr>
                <w:rFonts w:ascii="Aptos" w:hAnsi="Aptos"/>
                <w:sz w:val="15"/>
              </w:rPr>
              <w:t>Claim window and reminder cadence under local policy.</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Request received</w:t>
            </w:r>
          </w:p>
        </w:tc>
        <w:tc>
          <w:tcPr>
            <w:tcW w:type="dxa" w:w="3168"/>
            <w:tcMar>
              <w:top w:w="70" w:type="dxa"/>
              <w:start w:w="80" w:type="dxa"/>
              <w:bottom w:w="70" w:type="dxa"/>
              <w:end w:w="80" w:type="dxa"/>
            </w:tcMar>
            <w:vAlign w:val="top"/>
          </w:tcPr>
          <w:p>
            <w:pPr>
              <w:spacing w:after="0" w:line="240" w:lineRule="auto"/>
            </w:pPr>
            <w:r>
              <w:rPr>
                <w:rFonts w:ascii="Aptos" w:hAnsi="Aptos"/>
                <w:sz w:val="14"/>
              </w:rPr>
              <w:t>Calculate five-business-day response deadline.</w:t>
            </w:r>
          </w:p>
        </w:tc>
        <w:tc>
          <w:tcPr>
            <w:tcW w:type="dxa" w:w="3024"/>
            <w:tcMar>
              <w:top w:w="70" w:type="dxa"/>
              <w:start w:w="80" w:type="dxa"/>
              <w:bottom w:w="70" w:type="dxa"/>
              <w:end w:w="80" w:type="dxa"/>
            </w:tcMar>
            <w:vAlign w:val="top"/>
          </w:tcPr>
          <w:p>
            <w:pPr>
              <w:spacing w:after="0" w:line="240" w:lineRule="auto"/>
            </w:pPr>
            <w:r>
              <w:rPr>
                <w:rFonts w:ascii="Aptos" w:hAnsi="Aptos"/>
                <w:sz w:val="14"/>
              </w:rPr>
              <w:t>Choose one statutory response by deadline.</w:t>
            </w:r>
          </w:p>
        </w:tc>
        <w:tc>
          <w:tcPr>
            <w:tcW w:type="dxa" w:w="2232"/>
            <w:tcMar>
              <w:top w:w="70" w:type="dxa"/>
              <w:start w:w="80" w:type="dxa"/>
              <w:bottom w:w="70" w:type="dxa"/>
              <w:end w:w="80" w:type="dxa"/>
            </w:tcMar>
            <w:vAlign w:val="top"/>
          </w:tcPr>
          <w:p>
            <w:pPr>
              <w:spacing w:after="0" w:line="240" w:lineRule="auto"/>
            </w:pPr>
            <w:r>
              <w:rPr>
                <w:rFonts w:ascii="Aptos" w:hAnsi="Aptos"/>
                <w:sz w:val="14"/>
              </w:rPr>
              <w:t>Hard initial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Records online / ready</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Provide records or specific website link.</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Within five business days when this branch selected.</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Completes branch.</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More time needed</w:t>
            </w:r>
          </w:p>
        </w:tc>
        <w:tc>
          <w:tcPr>
            <w:tcW w:type="dxa" w:w="3168"/>
            <w:tcMar>
              <w:top w:w="70" w:type="dxa"/>
              <w:start w:w="80" w:type="dxa"/>
              <w:bottom w:w="70" w:type="dxa"/>
              <w:end w:w="80" w:type="dxa"/>
            </w:tcMar>
            <w:vAlign w:val="top"/>
          </w:tcPr>
          <w:p>
            <w:pPr>
              <w:spacing w:after="0" w:line="240" w:lineRule="auto"/>
            </w:pPr>
            <w:r>
              <w:rPr>
                <w:rFonts w:ascii="Aptos" w:hAnsi="Aptos"/>
                <w:sz w:val="14"/>
              </w:rPr>
              <w:t>Create documented reasonable estimate and reasons.</w:t>
            </w:r>
          </w:p>
        </w:tc>
        <w:tc>
          <w:tcPr>
            <w:tcW w:type="dxa" w:w="3024"/>
            <w:tcMar>
              <w:top w:w="70" w:type="dxa"/>
              <w:start w:w="80" w:type="dxa"/>
              <w:bottom w:w="70" w:type="dxa"/>
              <w:end w:w="80" w:type="dxa"/>
            </w:tcMar>
            <w:vAlign w:val="top"/>
          </w:tcPr>
          <w:p>
            <w:pPr>
              <w:spacing w:after="0" w:line="240" w:lineRule="auto"/>
            </w:pPr>
            <w:r>
              <w:rPr>
                <w:rFonts w:ascii="Aptos" w:hAnsi="Aptos"/>
                <w:sz w:val="14"/>
              </w:rPr>
              <w:t>Acknowledgment within five days.</w:t>
            </w:r>
          </w:p>
        </w:tc>
        <w:tc>
          <w:tcPr>
            <w:tcW w:type="dxa" w:w="2232"/>
            <w:tcMar>
              <w:top w:w="70" w:type="dxa"/>
              <w:start w:w="80" w:type="dxa"/>
              <w:bottom w:w="70" w:type="dxa"/>
              <w:end w:w="80" w:type="dxa"/>
            </w:tcMar>
            <w:vAlign w:val="top"/>
          </w:tcPr>
          <w:p>
            <w:pPr>
              <w:spacing w:after="0" w:line="240" w:lineRule="auto"/>
            </w:pPr>
            <w:r>
              <w:rPr>
                <w:rFonts w:ascii="Aptos" w:hAnsi="Aptos"/>
                <w:sz w:val="14"/>
              </w:rPr>
              <w:t>Qualitative estimate; local method.</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Unclear request</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Send focused clarification; process clear portion.</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Within five days.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Local nonresponse period.</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Withholding applies</w:t>
            </w:r>
          </w:p>
        </w:tc>
        <w:tc>
          <w:tcPr>
            <w:tcW w:type="dxa" w:w="3168"/>
            <w:tcMar>
              <w:top w:w="70" w:type="dxa"/>
              <w:start w:w="80" w:type="dxa"/>
              <w:bottom w:w="70" w:type="dxa"/>
              <w:end w:w="80" w:type="dxa"/>
            </w:tcMar>
            <w:vAlign w:val="top"/>
          </w:tcPr>
          <w:p>
            <w:pPr>
              <w:spacing w:after="0" w:line="240" w:lineRule="auto"/>
            </w:pPr>
            <w:r>
              <w:rPr>
                <w:rFonts w:ascii="Aptos" w:hAnsi="Aptos"/>
                <w:sz w:val="14"/>
              </w:rPr>
              <w:t>Redact; create exemption explanation.</w:t>
            </w:r>
          </w:p>
        </w:tc>
        <w:tc>
          <w:tcPr>
            <w:tcW w:type="dxa" w:w="3024"/>
            <w:tcMar>
              <w:top w:w="70" w:type="dxa"/>
              <w:start w:w="80" w:type="dxa"/>
              <w:bottom w:w="70" w:type="dxa"/>
              <w:end w:w="80" w:type="dxa"/>
            </w:tcMar>
            <w:vAlign w:val="top"/>
          </w:tcPr>
          <w:p>
            <w:pPr>
              <w:spacing w:after="0" w:line="240" w:lineRule="auto"/>
            </w:pPr>
            <w:r>
              <w:rPr>
                <w:rFonts w:ascii="Aptos" w:hAnsi="Aptos"/>
                <w:sz w:val="14"/>
              </w:rPr>
              <w:t>Specific citation + brief explanation.</w:t>
            </w:r>
          </w:p>
        </w:tc>
        <w:tc>
          <w:tcPr>
            <w:tcW w:type="dxa" w:w="2232"/>
            <w:tcMar>
              <w:top w:w="70" w:type="dxa"/>
              <w:start w:w="80" w:type="dxa"/>
              <w:bottom w:w="70" w:type="dxa"/>
              <w:end w:w="80" w:type="dxa"/>
            </w:tcMar>
            <w:vAlign w:val="top"/>
          </w:tcPr>
          <w:p>
            <w:pPr>
              <w:spacing w:after="0" w:line="240" w:lineRule="auto"/>
            </w:pPr>
            <w:r>
              <w:rPr>
                <w:rFonts w:ascii="Aptos" w:hAnsi="Aptos"/>
                <w:sz w:val="14"/>
              </w:rPr>
              <w:t>Internal review timer 2 business days.</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Large production</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Create installment schedule and rolling estimates.</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Notices per schedule.</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Unclaimed installment closes balance.</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Copy/custom service charge</w:t>
            </w:r>
          </w:p>
        </w:tc>
        <w:tc>
          <w:tcPr>
            <w:tcW w:type="dxa" w:w="3168"/>
            <w:tcMar>
              <w:top w:w="70" w:type="dxa"/>
              <w:start w:w="80" w:type="dxa"/>
              <w:bottom w:w="70" w:type="dxa"/>
              <w:end w:w="80" w:type="dxa"/>
            </w:tcMar>
            <w:vAlign w:val="top"/>
          </w:tcPr>
          <w:p>
            <w:pPr>
              <w:spacing w:after="0" w:line="240" w:lineRule="auto"/>
            </w:pPr>
            <w:r>
              <w:rPr>
                <w:rFonts w:ascii="Aptos" w:hAnsi="Aptos"/>
                <w:sz w:val="14"/>
              </w:rPr>
              <w:t>Generate estimate; request up to 10% deposit if adopted.</w:t>
            </w:r>
          </w:p>
        </w:tc>
        <w:tc>
          <w:tcPr>
            <w:tcW w:type="dxa" w:w="3024"/>
            <w:tcMar>
              <w:top w:w="70" w:type="dxa"/>
              <w:start w:w="80" w:type="dxa"/>
              <w:bottom w:w="70" w:type="dxa"/>
              <w:end w:w="80" w:type="dxa"/>
            </w:tcMar>
            <w:vAlign w:val="top"/>
          </w:tcPr>
          <w:p>
            <w:pPr>
              <w:spacing w:after="0" w:line="240" w:lineRule="auto"/>
            </w:pPr>
            <w:r>
              <w:rPr>
                <w:rFonts w:ascii="Aptos" w:hAnsi="Aptos"/>
                <w:sz w:val="14"/>
              </w:rPr>
              <w:t>Payment before copy/installment as policy allows.</w:t>
            </w:r>
          </w:p>
        </w:tc>
        <w:tc>
          <w:tcPr>
            <w:tcW w:type="dxa" w:w="2232"/>
            <w:tcMar>
              <w:top w:w="70" w:type="dxa"/>
              <w:start w:w="80" w:type="dxa"/>
              <w:bottom w:w="70" w:type="dxa"/>
              <w:end w:w="80" w:type="dxa"/>
            </w:tcMar>
            <w:vAlign w:val="top"/>
          </w:tcPr>
          <w:p>
            <w:pPr>
              <w:spacing w:after="0" w:line="240" w:lineRule="auto"/>
            </w:pPr>
            <w:r>
              <w:rPr>
                <w:rFonts w:ascii="Aptos" w:hAnsi="Aptos"/>
                <w:sz w:val="14"/>
              </w:rPr>
              <w:t>Payment gate.</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Estimate no longer accurate</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Recalculate and communicate revised reasonable estimate.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Prompt update.</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Replace estimate; preserve history.</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Business-day calendar</w:t>
            </w:r>
          </w:p>
        </w:tc>
        <w:tc>
          <w:tcPr>
            <w:tcW w:type="dxa" w:w="3240"/>
            <w:tcMar>
              <w:top w:w="70" w:type="dxa"/>
              <w:start w:w="80" w:type="dxa"/>
              <w:bottom w:w="70" w:type="dxa"/>
              <w:end w:w="80" w:type="dxa"/>
            </w:tcMar>
            <w:vAlign w:val="top"/>
          </w:tcPr>
          <w:p>
            <w:pPr>
              <w:spacing w:after="0" w:line="240" w:lineRule="auto"/>
            </w:pPr>
            <w:r>
              <w:rPr>
                <w:rFonts w:ascii="Aptos" w:hAnsi="Aptos"/>
                <w:sz w:val="15"/>
              </w:rPr>
              <w:t>Five business days.</w:t>
            </w:r>
          </w:p>
        </w:tc>
        <w:tc>
          <w:tcPr>
            <w:tcW w:type="dxa" w:w="4248"/>
            <w:tcMar>
              <w:top w:w="70" w:type="dxa"/>
              <w:start w:w="80" w:type="dxa"/>
              <w:bottom w:w="70" w:type="dxa"/>
              <w:end w:w="80" w:type="dxa"/>
            </w:tcMar>
            <w:vAlign w:val="top"/>
          </w:tcPr>
          <w:p>
            <w:pPr>
              <w:spacing w:after="0" w:line="240" w:lineRule="auto"/>
            </w:pPr>
            <w:r>
              <w:rPr>
                <w:rFonts w:ascii="Aptos" w:hAnsi="Aptos"/>
                <w:sz w:val="15"/>
              </w:rPr>
              <w:t>Holidays, receipt time, public-records-office routing.</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Estimate methodology</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Reasonable estimate required.</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Workload factors, approval level, update threshold.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Clarification closure</w:t>
            </w:r>
          </w:p>
        </w:tc>
        <w:tc>
          <w:tcPr>
            <w:tcW w:type="dxa" w:w="3240"/>
            <w:tcMar>
              <w:top w:w="70" w:type="dxa"/>
              <w:start w:w="80" w:type="dxa"/>
              <w:bottom w:w="70" w:type="dxa"/>
              <w:end w:w="80" w:type="dxa"/>
            </w:tcMar>
            <w:vAlign w:val="top"/>
          </w:tcPr>
          <w:p>
            <w:pPr>
              <w:spacing w:after="0" w:line="240" w:lineRule="auto"/>
            </w:pPr>
            <w:r>
              <w:rPr>
                <w:rFonts w:ascii="Aptos" w:hAnsi="Aptos"/>
                <w:sz w:val="15"/>
              </w:rPr>
              <w:t>No universal period.</w:t>
            </w:r>
          </w:p>
        </w:tc>
        <w:tc>
          <w:tcPr>
            <w:tcW w:type="dxa" w:w="4248"/>
            <w:tcMar>
              <w:top w:w="70" w:type="dxa"/>
              <w:start w:w="80" w:type="dxa"/>
              <w:bottom w:w="70" w:type="dxa"/>
              <w:end w:w="80" w:type="dxa"/>
            </w:tcMar>
            <w:vAlign w:val="top"/>
          </w:tcPr>
          <w:p>
            <w:pPr>
              <w:spacing w:after="0" w:line="240" w:lineRule="auto"/>
            </w:pPr>
            <w:r>
              <w:rPr>
                <w:rFonts w:ascii="Aptos" w:hAnsi="Aptos"/>
                <w:sz w:val="15"/>
              </w:rPr>
              <w:t>Adopted response period, reminders, partial processing.</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Installment policy</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Statutorily allowed.</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Installment sizing, cadence, claim period, priority.</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Copy fee method</w:t>
            </w:r>
          </w:p>
        </w:tc>
        <w:tc>
          <w:tcPr>
            <w:tcW w:type="dxa" w:w="3240"/>
            <w:tcMar>
              <w:top w:w="70" w:type="dxa"/>
              <w:start w:w="80" w:type="dxa"/>
              <w:bottom w:w="70" w:type="dxa"/>
              <w:end w:w="80" w:type="dxa"/>
            </w:tcMar>
            <w:vAlign w:val="top"/>
          </w:tcPr>
          <w:p>
            <w:pPr>
              <w:spacing w:after="0" w:line="240" w:lineRule="auto"/>
            </w:pPr>
            <w:r>
              <w:rPr>
                <w:rFonts w:ascii="Aptos" w:hAnsi="Aptos"/>
                <w:sz w:val="15"/>
              </w:rPr>
              <w:t>Actual cost or statutory schedule.</w:t>
            </w:r>
          </w:p>
        </w:tc>
        <w:tc>
          <w:tcPr>
            <w:tcW w:type="dxa" w:w="4248"/>
            <w:tcMar>
              <w:top w:w="70" w:type="dxa"/>
              <w:start w:w="80" w:type="dxa"/>
              <w:bottom w:w="70" w:type="dxa"/>
              <w:end w:w="80" w:type="dxa"/>
            </w:tcMar>
            <w:vAlign w:val="top"/>
          </w:tcPr>
          <w:p>
            <w:pPr>
              <w:spacing w:after="0" w:line="240" w:lineRule="auto"/>
            </w:pPr>
            <w:r>
              <w:rPr>
                <w:rFonts w:ascii="Aptos" w:hAnsi="Aptos"/>
                <w:sz w:val="15"/>
              </w:rPr>
              <w:t>Chosen method and current rates.</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Deposit policy</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Maximum 10%.</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Whether used, percentage, threshold, payment methods.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Denial review</w:t>
            </w:r>
          </w:p>
        </w:tc>
        <w:tc>
          <w:tcPr>
            <w:tcW w:type="dxa" w:w="3240"/>
            <w:tcMar>
              <w:top w:w="70" w:type="dxa"/>
              <w:start w:w="80" w:type="dxa"/>
              <w:bottom w:w="70" w:type="dxa"/>
              <w:end w:w="80" w:type="dxa"/>
            </w:tcMar>
            <w:vAlign w:val="top"/>
          </w:tcPr>
          <w:p>
            <w:pPr>
              <w:spacing w:after="0" w:line="240" w:lineRule="auto"/>
            </w:pPr>
            <w:r>
              <w:rPr>
                <w:rFonts w:ascii="Aptos" w:hAnsi="Aptos"/>
                <w:sz w:val="15"/>
              </w:rPr>
              <w:t>Mechanism required; two-day deemed completion.</w:t>
            </w:r>
          </w:p>
        </w:tc>
        <w:tc>
          <w:tcPr>
            <w:tcW w:type="dxa" w:w="4248"/>
            <w:tcMar>
              <w:top w:w="70" w:type="dxa"/>
              <w:start w:w="80" w:type="dxa"/>
              <w:bottom w:w="70" w:type="dxa"/>
              <w:end w:w="80" w:type="dxa"/>
            </w:tcMar>
            <w:vAlign w:val="top"/>
          </w:tcPr>
          <w:p>
            <w:pPr>
              <w:spacing w:after="0" w:line="240" w:lineRule="auto"/>
            </w:pPr>
            <w:r>
              <w:rPr>
                <w:rFonts w:ascii="Aptos" w:hAnsi="Aptos"/>
                <w:sz w:val="15"/>
              </w:rPr>
              <w:t>Reviewer role, submission method, notice template.</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Operational classes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No legal simple/complex class.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Internal labels and targets only.</w:t>
            </w:r>
          </w:p>
        </w:tc>
      </w:tr>
    </w:tbl>
    <w:p>
      <w:pPr>
        <w:pStyle w:val="Heading1"/>
      </w:pPr>
      <w:r>
        <w:t>9. Suggested workflow states for this jurisdiction</w:t>
      </w:r>
    </w:p>
    <w:p>
      <w:pPr>
        <w:spacing w:after="40"/>
      </w:pPr>
      <w:r>
        <w:rPr>
          <w:b/>
          <w:sz w:val="17"/>
        </w:rPr>
        <w:t>Received</w:t>
      </w:r>
      <w:r>
        <w:t xml:space="preserve">  →  </w:t>
      </w:r>
      <w:r>
        <w:rPr>
          <w:b w:val="0"/>
          <w:sz w:val="17"/>
        </w:rPr>
        <w:t>Five-Day Response Selection</w:t>
      </w:r>
      <w:r>
        <w:t xml:space="preserve">  →  </w:t>
      </w:r>
      <w:r>
        <w:rPr>
          <w:b w:val="0"/>
          <w:sz w:val="17"/>
        </w:rPr>
        <w:t>Clarification / Estimate / Direct Production</w:t>
      </w:r>
      <w:r>
        <w:t xml:space="preserve">  →  </w:t>
      </w:r>
      <w:r>
        <w:rPr>
          <w:b w:val="0"/>
          <w:sz w:val="17"/>
        </w:rPr>
        <w:t>Search &amp; Exemption Review</w:t>
      </w:r>
      <w:r>
        <w:t xml:space="preserve">  →  </w:t>
      </w:r>
      <w:r>
        <w:rPr>
          <w:b w:val="0"/>
          <w:sz w:val="17"/>
        </w:rPr>
        <w:t>Installment Scheduling</w:t>
      </w:r>
      <w:r>
        <w:t xml:space="preserve">  →  </w:t>
      </w:r>
      <w:r>
        <w:rPr>
          <w:b w:val="0"/>
          <w:sz w:val="17"/>
        </w:rPr>
        <w:t>Payment or Deposit Pending</w:t>
      </w:r>
      <w:r>
        <w:t xml:space="preserve">  →  </w:t>
      </w:r>
      <w:r>
        <w:rPr>
          <w:b w:val="0"/>
          <w:sz w:val="17"/>
        </w:rPr>
        <w:t>Installment Delivery</w:t>
      </w:r>
      <w:r>
        <w:t xml:space="preserve">  →  </w:t>
      </w:r>
      <w:r>
        <w:rPr>
          <w:b w:val="0"/>
          <w:sz w:val="17"/>
        </w:rPr>
        <w:t>Denial Review / Closed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Automate timers, estimates, installment schedules, fee calculations, and review routing. Humans determine reasonableness, responsive scope, exemption application, third-party notice necessity, and whether a customized service charge is justified.</w:t>
            </w:r>
          </w:p>
        </w:tc>
      </w:tr>
    </w:tbl>
    <w:p>
      <w:pPr>
        <w:pStyle w:val="Heading1"/>
      </w:pPr>
      <w:r>
        <w:t>10. Confidence and unresolved local-policy questions</w:t>
      </w:r>
    </w:p>
    <w:p>
      <w:pPr>
        <w:pStyle w:val="CompactList"/>
      </w:pPr>
      <w:r>
        <w:rPr>
          <w:b/>
        </w:rPr>
        <w:t xml:space="preserve">• </w:t>
      </w:r>
      <w:r>
        <w:t>High confidence in the five-day response options, installment authority, 10-percent deposit limit, and denial-review timing.</w:t>
      </w:r>
    </w:p>
    <w:p>
      <w:pPr>
        <w:pStyle w:val="CompactList"/>
      </w:pPr>
      <w:r>
        <w:rPr>
          <w:b/>
        </w:rPr>
        <w:t xml:space="preserve">• </w:t>
      </w:r>
      <w:r>
        <w:t>Model rules are guidance unless adopted. City-specific claim periods, clarification abandonment, and payment deadlines must be sourced from the city’s rules.</w:t>
      </w:r>
    </w:p>
    <w:p>
      <w:pPr>
        <w:pStyle w:val="CompactList"/>
      </w:pPr>
      <w:r>
        <w:rPr>
          <w:b/>
        </w:rPr>
        <w:t xml:space="preserve">• </w:t>
      </w:r>
      <w:r>
        <w:t>Fee schedules and local rules should be checked at deployment because a city may choose actual-cost rather than the statutory default schedule.</w:t>
      </w:r>
    </w:p>
    <w:p>
      <w:pPr>
        <w:pStyle w:val="Heading1"/>
      </w:pPr>
      <w:r>
        <w:t>Primary authorities and official resources</w:t>
      </w:r>
    </w:p>
    <w:p>
      <w:pPr>
        <w:pStyle w:val="CompactList"/>
      </w:pPr>
      <w:r>
        <w:rPr>
          <w:b/>
        </w:rPr>
        <w:t xml:space="preserve">• Revised Code of Washington, chapter 42.56: </w:t>
      </w:r>
      <w:hyperlink r:id="rId11">
        <w:r>
          <w:rPr>
            <w:color w:val="0563C1"/>
            <w:u w:val="single"/>
          </w:rPr>
          <w:t>https://app.leg.wa.gov/rcw/default.aspx?cite=42.56&amp;full=true</w:t>
        </w:r>
      </w:hyperlink>
    </w:p>
    <w:p>
      <w:pPr>
        <w:pStyle w:val="CompactList"/>
      </w:pPr>
      <w:r>
        <w:rPr>
          <w:b/>
        </w:rPr>
        <w:t xml:space="preserve">• Washington model Public Records Act rules, chapter 44-14 WAC: </w:t>
      </w:r>
      <w:hyperlink r:id="rId12">
        <w:r>
          <w:rPr>
            <w:color w:val="0563C1"/>
            <w:u w:val="single"/>
          </w:rPr>
          <w:t>https://app.leg.wa.gov/wac/default.aspx?cite=44-14&amp;full=true</w:t>
        </w:r>
      </w:hyperlink>
    </w:p>
    <w:p>
      <w:pPr>
        <w:pStyle w:val="CompactList"/>
      </w:pPr>
      <w:r>
        <w:rPr>
          <w:b/>
        </w:rPr>
        <w:t xml:space="preserve">• Washington Attorney General, Open Government Resource Manual: </w:t>
      </w:r>
      <w:hyperlink r:id="rId13">
        <w:r>
          <w:rPr>
            <w:color w:val="0563C1"/>
            <w:u w:val="single"/>
          </w:rPr>
          <w:t>https://www.atg.wa.gov/open-government-resource-manual</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03 Washington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p.leg.wa.gov/rcw/default.aspx?cite=42.56&amp;full=true" TargetMode="External"/><Relationship Id="rId12" Type="http://schemas.openxmlformats.org/officeDocument/2006/relationships/hyperlink" Target="https://app.leg.wa.gov/wac/default.aspx?cite=44-14&amp;full=true" TargetMode="External"/><Relationship Id="rId13" Type="http://schemas.openxmlformats.org/officeDocument/2006/relationships/hyperlink" Target="https://www.atg.wa.gov/open-government-resource-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