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2"/>
        </w:rPr>
        <w:t>Pennsylvania</w:t>
        <w:br/>
      </w:r>
      <w:r>
        <w:rPr>
          <w:color w:val="17365D"/>
          <w:sz w:val="34"/>
        </w:rPr>
        <w:t>Initial Public-Records Processing Workflow</w:t>
        <w:br/>
        <w:t>and Software Configuration Analysis</w:t>
      </w:r>
    </w:p>
    <w:p>
      <w:pPr>
        <w:jc w:val="center"/>
      </w:pPr>
      <w:r>
        <w:rPr>
          <w:i/>
          <w:color w:val="5A5A5A"/>
          <w:sz w:val="18"/>
        </w:rPr>
        <w:t>Pilot State 04 of 10 | City / municipal applicability | Research accessed July 22, 2026</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Scope: </w:t>
            </w:r>
            <w:r>
              <w:t>Pennsylvania’s Right-to-Know Law (RTKL), 65 P.S. §§67.101-67.3104, applies to local agencies including cities. The workflow assumes a written request received by the agency open-records officer.</w:t>
            </w:r>
          </w:p>
        </w:tc>
      </w:tr>
    </w:tbl>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Method: </w:t>
            </w:r>
            <w:r>
              <w:t>The same fixed method is used for all ten states. Each rule is separated into trigger, condition, action, communication, deadline, clock effect, and configuration source. A qualitative term such as 'prompt' or 'reasonable' is preserved as law and paired with a local-policy configuration field; no numeric value is invented.</w:t>
            </w:r>
          </w:p>
        </w:tc>
      </w:tr>
    </w:tbl>
    <w:p>
      <w:pPr>
        <w:pStyle w:val="Heading1"/>
      </w:pPr>
      <w:r>
        <w:t>Executive conclusions</w:t>
      </w:r>
    </w:p>
    <w:p>
      <w:pPr>
        <w:pStyle w:val="CompactList"/>
      </w:pPr>
      <w:r>
        <w:rPr>
          <w:b/>
        </w:rPr>
        <w:t xml:space="preserve">• </w:t>
      </w:r>
      <w:r>
        <w:t>The agency has five business days to grant, partially grant/deny, deny, or invoke a statutory extension. Silence is a deemed denial.</w:t>
      </w:r>
    </w:p>
    <w:p>
      <w:pPr>
        <w:pStyle w:val="CompactList"/>
      </w:pPr>
      <w:r>
        <w:rPr>
          <w:b/>
        </w:rPr>
        <w:t xml:space="preserve">• </w:t>
      </w:r>
      <w:r>
        <w:t>The extension notice must be sent within the first five business days, state the review reason, provide a reasonable response date, and estimate applicable fees. Without written requester consent, the extension date generally may not exceed 30 calendar days after the initial five-day period.</w:t>
      </w:r>
    </w:p>
    <w:p>
      <w:pPr>
        <w:pStyle w:val="CompactList"/>
      </w:pPr>
      <w:r>
        <w:rPr>
          <w:b/>
        </w:rPr>
        <w:t xml:space="preserve">• </w:t>
      </w:r>
      <w:r>
        <w:t>A request must identify or describe records with sufficient specificity. Pennsylvania does not impose a general statutory duty to clarify or a statewide clarification tolling rule; an insufficiently specific request may be denied, although clarification is a useful local practice.</w:t>
      </w:r>
    </w:p>
    <w:p>
      <w:pPr>
        <w:pStyle w:val="CompactList"/>
      </w:pPr>
      <w:r>
        <w:rPr>
          <w:b/>
        </w:rPr>
        <w:t xml:space="preserve">• </w:t>
      </w:r>
      <w:r>
        <w:t>A written denial must provide the legal basis, required official information, and appeal instructions. Appeals generally go to the Office of Open Records within 15 business days.</w:t>
      </w:r>
    </w:p>
    <w:p>
      <w:pPr>
        <w:pStyle w:val="CompactList"/>
      </w:pPr>
      <w:r>
        <w:rPr>
          <w:b/>
        </w:rPr>
        <w:t xml:space="preserve">• </w:t>
      </w:r>
      <w:r>
        <w:t>Prepayment may be required when estimated fees exceed $100. The OOR fee schedule generally prohibits charging search, review, or ordinary redaction labor.</w:t>
      </w:r>
    </w:p>
    <w:p>
      <w:pPr>
        <w:pStyle w:val="Heading2"/>
      </w:pPr>
      <w:r>
        <w:t>Configuration-source legend</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2088"/>
            <w:shd w:fill="17365D"/>
            <w:tcMar>
              <w:top w:w="70" w:type="dxa"/>
              <w:start w:w="80" w:type="dxa"/>
              <w:bottom w:w="70" w:type="dxa"/>
              <w:end w:w="80" w:type="dxa"/>
            </w:tcMar>
          </w:tcPr>
          <w:p>
            <w:pPr>
              <w:spacing w:after="0"/>
              <w:jc w:val="left"/>
            </w:pPr>
            <w:r>
              <w:rPr>
                <w:b/>
                <w:color w:val="FFFFFF"/>
                <w:sz w:val="16"/>
              </w:rPr>
              <w:t>Source type</w:t>
            </w:r>
          </w:p>
        </w:tc>
        <w:tc>
          <w:tcPr>
            <w:tcW w:type="dxa" w:w="8063"/>
            <w:shd w:fill="17365D"/>
            <w:tcMar>
              <w:top w:w="70" w:type="dxa"/>
              <w:start w:w="80" w:type="dxa"/>
              <w:bottom w:w="70" w:type="dxa"/>
              <w:end w:w="80" w:type="dxa"/>
            </w:tcMar>
          </w:tcPr>
          <w:p>
            <w:pPr>
              <w:spacing w:after="0"/>
              <w:jc w:val="left"/>
            </w:pPr>
            <w:r>
              <w:rPr>
                <w:b/>
                <w:color w:val="FFFFFF"/>
                <w:sz w:val="16"/>
              </w:rPr>
              <w:t>Meaning</w:t>
            </w:r>
          </w:p>
        </w:tc>
      </w:tr>
      <w:tr>
        <w:trPr>
          <w:cantSplit/>
        </w:trPr>
        <w:tc>
          <w:tcPr>
            <w:tcW w:type="dxa" w:w="2088"/>
            <w:tcMar>
              <w:top w:w="70" w:type="dxa"/>
              <w:start w:w="80" w:type="dxa"/>
              <w:bottom w:w="70" w:type="dxa"/>
              <w:end w:w="80" w:type="dxa"/>
            </w:tcMar>
            <w:vAlign w:val="top"/>
          </w:tcPr>
          <w:p>
            <w:pPr>
              <w:spacing w:after="0" w:line="240" w:lineRule="auto"/>
            </w:pPr>
            <w:r>
              <w:rPr>
                <w:rFonts w:ascii="Aptos" w:hAnsi="Aptos"/>
                <w:sz w:val="16"/>
              </w:rPr>
              <w:t>Statutory / statewide</w:t>
            </w:r>
          </w:p>
        </w:tc>
        <w:tc>
          <w:tcPr>
            <w:tcW w:type="dxa" w:w="8063"/>
            <w:tcMar>
              <w:top w:w="70" w:type="dxa"/>
              <w:start w:w="80" w:type="dxa"/>
              <w:bottom w:w="70" w:type="dxa"/>
              <w:end w:w="80" w:type="dxa"/>
            </w:tcMar>
            <w:vAlign w:val="top"/>
          </w:tcPr>
          <w:p>
            <w:pPr>
              <w:spacing w:after="0" w:line="240" w:lineRule="auto"/>
            </w:pPr>
            <w:r>
              <w:rPr>
                <w:rFonts w:ascii="Aptos" w:hAnsi="Aptos"/>
                <w:sz w:val="16"/>
              </w:rPr>
              <w:t>A value or rule supplied by binding statewide law or generally applicable regulation.</w:t>
            </w:r>
          </w:p>
        </w:tc>
      </w:tr>
      <w:tr>
        <w:trPr>
          <w:cantSplit/>
        </w:trPr>
        <w:tc>
          <w:tcPr>
            <w:tcW w:type="dxa" w:w="2088"/>
            <w:shd w:fill="FAFCFE"/>
            <w:tcMar>
              <w:top w:w="70" w:type="dxa"/>
              <w:start w:w="80" w:type="dxa"/>
              <w:bottom w:w="70" w:type="dxa"/>
              <w:end w:w="80" w:type="dxa"/>
            </w:tcMar>
            <w:vAlign w:val="top"/>
          </w:tcPr>
          <w:p>
            <w:pPr>
              <w:spacing w:after="0" w:line="240" w:lineRule="auto"/>
            </w:pPr>
            <w:r>
              <w:rPr>
                <w:rFonts w:ascii="Aptos" w:hAnsi="Aptos"/>
                <w:sz w:val="16"/>
              </w:rPr>
              <w:t>Jurisdiction policy</w:t>
            </w:r>
          </w:p>
        </w:tc>
        <w:tc>
          <w:tcPr>
            <w:tcW w:type="dxa" w:w="8063"/>
            <w:shd w:fill="FAFCFE"/>
            <w:tcMar>
              <w:top w:w="70" w:type="dxa"/>
              <w:start w:w="80" w:type="dxa"/>
              <w:bottom w:w="70" w:type="dxa"/>
              <w:end w:w="80" w:type="dxa"/>
            </w:tcMar>
            <w:vAlign w:val="top"/>
          </w:tcPr>
          <w:p>
            <w:pPr>
              <w:spacing w:after="0" w:line="240" w:lineRule="auto"/>
            </w:pPr>
            <w:r>
              <w:rPr>
                <w:rFonts w:ascii="Aptos" w:hAnsi="Aptos"/>
                <w:sz w:val="16"/>
              </w:rPr>
              <w:t>The state leaves a number, standard, workflow choice, rate, or notice practice to the city.</w:t>
            </w:r>
          </w:p>
        </w:tc>
      </w:tr>
      <w:tr>
        <w:trPr>
          <w:cantSplit/>
        </w:trPr>
        <w:tc>
          <w:tcPr>
            <w:tcW w:type="dxa" w:w="2088"/>
            <w:tcMar>
              <w:top w:w="70" w:type="dxa"/>
              <w:start w:w="80" w:type="dxa"/>
              <w:bottom w:w="70" w:type="dxa"/>
              <w:end w:w="80" w:type="dxa"/>
            </w:tcMar>
            <w:vAlign w:val="top"/>
          </w:tcPr>
          <w:p>
            <w:pPr>
              <w:spacing w:after="0" w:line="240" w:lineRule="auto"/>
            </w:pPr>
            <w:r>
              <w:rPr>
                <w:rFonts w:ascii="Aptos" w:hAnsi="Aptos"/>
                <w:sz w:val="16"/>
              </w:rPr>
              <w:t>Operational</w:t>
            </w:r>
          </w:p>
        </w:tc>
        <w:tc>
          <w:tcPr>
            <w:tcW w:type="dxa" w:w="8063"/>
            <w:tcMar>
              <w:top w:w="70" w:type="dxa"/>
              <w:start w:w="80" w:type="dxa"/>
              <w:bottom w:w="70" w:type="dxa"/>
              <w:end w:w="80" w:type="dxa"/>
            </w:tcMar>
            <w:vAlign w:val="top"/>
          </w:tcPr>
          <w:p>
            <w:pPr>
              <w:spacing w:after="0" w:line="240" w:lineRule="auto"/>
            </w:pPr>
            <w:r>
              <w:rPr>
                <w:rFonts w:ascii="Aptos" w:hAnsi="Aptos"/>
                <w:sz w:val="16"/>
              </w:rPr>
              <w:t>A workload-management choice that does not itself alter legal rights or deadlines.</w:t>
            </w:r>
          </w:p>
        </w:tc>
      </w:tr>
    </w:tbl>
    <w:p>
      <w:pPr>
        <w:pStyle w:val="Heading1"/>
      </w:pPr>
      <w:r>
        <w:t>1. Intake and initial legal review</w:t>
      </w:r>
    </w:p>
    <w:p>
      <w:pPr>
        <w:pStyle w:val="CompactList"/>
      </w:pPr>
      <w:r>
        <w:rPr>
          <w:b/>
        </w:rPr>
        <w:t xml:space="preserve">• </w:t>
      </w:r>
      <w:r>
        <w:t>Confirm receipt by the agency open-records officer during regular business hours; the first business day is the next business day after receipt.</w:t>
      </w:r>
    </w:p>
    <w:p>
      <w:pPr>
        <w:pStyle w:val="CompactList"/>
      </w:pPr>
      <w:r>
        <w:rPr>
          <w:b/>
        </w:rPr>
        <w:t xml:space="preserve">• </w:t>
      </w:r>
      <w:r>
        <w:t>Validate specificity under §703, agency possession/custody/control, requested format, exemptions, and whether an extension ground exists.</w:t>
      </w:r>
    </w:p>
    <w:p>
      <w:pPr>
        <w:pStyle w:val="CompactList"/>
      </w:pPr>
      <w:r>
        <w:rPr>
          <w:b/>
        </w:rPr>
        <w:t xml:space="preserve">• </w:t>
      </w:r>
      <w:r>
        <w:t>Choose before day five: grant; partial grant/denial; denial; or §902 extension.</w:t>
      </w:r>
    </w:p>
    <w:p>
      <w:pPr>
        <w:pStyle w:val="CompactList"/>
      </w:pPr>
      <w:r>
        <w:rPr>
          <w:b/>
        </w:rPr>
        <w:t xml:space="preserve">• </w:t>
      </w:r>
      <w:r>
        <w:t>Route fee review early because the extension notice must include an estimate of applicable fees and prepayment over $100 may be requested.</w:t>
      </w:r>
    </w:p>
    <w:p>
      <w:pPr>
        <w:pStyle w:val="Heading1"/>
      </w:pPr>
      <w:r>
        <w:t>2. Deadline and required-communication matrix</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872"/>
            <w:shd w:fill="17365D"/>
            <w:tcMar>
              <w:top w:w="70" w:type="dxa"/>
              <w:start w:w="80" w:type="dxa"/>
              <w:bottom w:w="70" w:type="dxa"/>
              <w:end w:w="80" w:type="dxa"/>
            </w:tcMar>
          </w:tcPr>
          <w:p>
            <w:pPr>
              <w:spacing w:after="0"/>
              <w:jc w:val="left"/>
            </w:pPr>
            <w:r>
              <w:rPr>
                <w:b/>
                <w:color w:val="FFFFFF"/>
                <w:sz w:val="15"/>
              </w:rPr>
              <w:t>Trigger / deadline</w:t>
            </w:r>
          </w:p>
        </w:tc>
        <w:tc>
          <w:tcPr>
            <w:tcW w:type="dxa" w:w="4752"/>
            <w:shd w:fill="17365D"/>
            <w:tcMar>
              <w:top w:w="70" w:type="dxa"/>
              <w:start w:w="80" w:type="dxa"/>
              <w:bottom w:w="70" w:type="dxa"/>
              <w:end w:w="80" w:type="dxa"/>
            </w:tcMar>
          </w:tcPr>
          <w:p>
            <w:pPr>
              <w:spacing w:after="0"/>
              <w:jc w:val="left"/>
            </w:pPr>
            <w:r>
              <w:rPr>
                <w:b/>
                <w:color w:val="FFFFFF"/>
                <w:sz w:val="15"/>
              </w:rPr>
              <w:t>Required outcome or communication</w:t>
            </w:r>
          </w:p>
        </w:tc>
        <w:tc>
          <w:tcPr>
            <w:tcW w:type="dxa" w:w="1655"/>
            <w:shd w:fill="17365D"/>
            <w:tcMar>
              <w:top w:w="70" w:type="dxa"/>
              <w:start w:w="80" w:type="dxa"/>
              <w:bottom w:w="70" w:type="dxa"/>
              <w:end w:w="80" w:type="dxa"/>
            </w:tcMar>
          </w:tcPr>
          <w:p>
            <w:pPr>
              <w:spacing w:after="0"/>
              <w:jc w:val="left"/>
            </w:pPr>
            <w:r>
              <w:rPr>
                <w:b/>
                <w:color w:val="FFFFFF"/>
                <w:sz w:val="15"/>
              </w:rPr>
              <w:t>Clock effect</w:t>
            </w:r>
          </w:p>
        </w:tc>
        <w:tc>
          <w:tcPr>
            <w:tcW w:type="dxa" w:w="1872"/>
            <w:shd w:fill="17365D"/>
            <w:tcMar>
              <w:top w:w="70" w:type="dxa"/>
              <w:start w:w="80" w:type="dxa"/>
              <w:bottom w:w="70" w:type="dxa"/>
              <w:end w:w="80" w:type="dxa"/>
            </w:tcMar>
          </w:tcPr>
          <w:p>
            <w:pPr>
              <w:spacing w:after="0"/>
              <w:jc w:val="left"/>
            </w:pPr>
            <w:r>
              <w:rPr>
                <w:b/>
                <w:color w:val="FFFFFF"/>
                <w:sz w:val="15"/>
              </w:rPr>
              <w:t>Source</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Within 5 business days</w:t>
            </w:r>
          </w:p>
        </w:tc>
        <w:tc>
          <w:tcPr>
            <w:tcW w:type="dxa" w:w="4752"/>
            <w:tcMar>
              <w:top w:w="70" w:type="dxa"/>
              <w:start w:w="80" w:type="dxa"/>
              <w:bottom w:w="70" w:type="dxa"/>
              <w:end w:w="80" w:type="dxa"/>
            </w:tcMar>
            <w:vAlign w:val="top"/>
          </w:tcPr>
          <w:p>
            <w:pPr>
              <w:spacing w:after="0" w:line="240" w:lineRule="auto"/>
            </w:pPr>
            <w:r>
              <w:rPr>
                <w:rFonts w:ascii="Aptos" w:hAnsi="Aptos"/>
                <w:sz w:val="15"/>
              </w:rPr>
              <w:t>Grant, partially grant/deny, deny, or send §902 extension notice. No response is deemed denied.</w:t>
            </w:r>
          </w:p>
        </w:tc>
        <w:tc>
          <w:tcPr>
            <w:tcW w:type="dxa" w:w="1655"/>
            <w:tcMar>
              <w:top w:w="70" w:type="dxa"/>
              <w:start w:w="80" w:type="dxa"/>
              <w:bottom w:w="70" w:type="dxa"/>
              <w:end w:w="80" w:type="dxa"/>
            </w:tcMar>
            <w:vAlign w:val="top"/>
          </w:tcPr>
          <w:p>
            <w:pPr>
              <w:spacing w:after="0" w:line="240" w:lineRule="auto"/>
            </w:pPr>
            <w:r>
              <w:rPr>
                <w:rFonts w:ascii="Aptos" w:hAnsi="Aptos"/>
                <w:sz w:val="15"/>
              </w:rPr>
              <w:t>Initial response completed or appeal clock begins.</w:t>
            </w:r>
          </w:p>
        </w:tc>
        <w:tc>
          <w:tcPr>
            <w:tcW w:type="dxa" w:w="1872"/>
            <w:tcMar>
              <w:top w:w="70" w:type="dxa"/>
              <w:start w:w="80" w:type="dxa"/>
              <w:bottom w:w="70" w:type="dxa"/>
              <w:end w:w="80" w:type="dxa"/>
            </w:tcMar>
            <w:vAlign w:val="top"/>
          </w:tcPr>
          <w:p>
            <w:pPr>
              <w:spacing w:after="0" w:line="240" w:lineRule="auto"/>
            </w:pPr>
            <w:r>
              <w:rPr>
                <w:rFonts w:ascii="Aptos" w:hAnsi="Aptos"/>
                <w:sz w:val="15"/>
              </w:rPr>
              <w:t>§901</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Extension notice by day 5</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State request is under review, statutory reason, reasonable response date, and fee estimate.</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Extends final response.</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§902(b)</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Extension limit</w:t>
            </w:r>
          </w:p>
        </w:tc>
        <w:tc>
          <w:tcPr>
            <w:tcW w:type="dxa" w:w="4752"/>
            <w:tcMar>
              <w:top w:w="70" w:type="dxa"/>
              <w:start w:w="80" w:type="dxa"/>
              <w:bottom w:w="70" w:type="dxa"/>
              <w:end w:w="80" w:type="dxa"/>
            </w:tcMar>
            <w:vAlign w:val="top"/>
          </w:tcPr>
          <w:p>
            <w:pPr>
              <w:spacing w:after="0" w:line="240" w:lineRule="auto"/>
            </w:pPr>
            <w:r>
              <w:rPr>
                <w:rFonts w:ascii="Aptos" w:hAnsi="Aptos"/>
                <w:sz w:val="15"/>
              </w:rPr>
              <w:t>Without requester written agreement, expected date cannot exceed 30 calendar days after initial five-business-day period.</w:t>
            </w:r>
          </w:p>
        </w:tc>
        <w:tc>
          <w:tcPr>
            <w:tcW w:type="dxa" w:w="1655"/>
            <w:tcMar>
              <w:top w:w="70" w:type="dxa"/>
              <w:start w:w="80" w:type="dxa"/>
              <w:bottom w:w="70" w:type="dxa"/>
              <w:end w:w="80" w:type="dxa"/>
            </w:tcMar>
            <w:vAlign w:val="top"/>
          </w:tcPr>
          <w:p>
            <w:pPr>
              <w:spacing w:after="0" w:line="240" w:lineRule="auto"/>
            </w:pPr>
            <w:r>
              <w:rPr>
                <w:rFonts w:ascii="Aptos" w:hAnsi="Aptos"/>
                <w:sz w:val="15"/>
              </w:rPr>
              <w:t>Beyond limit = deemed denial.</w:t>
            </w:r>
          </w:p>
        </w:tc>
        <w:tc>
          <w:tcPr>
            <w:tcW w:type="dxa" w:w="1872"/>
            <w:tcMar>
              <w:top w:w="70" w:type="dxa"/>
              <w:start w:w="80" w:type="dxa"/>
              <w:bottom w:w="70" w:type="dxa"/>
              <w:end w:w="80" w:type="dxa"/>
            </w:tcMar>
            <w:vAlign w:val="top"/>
          </w:tcPr>
          <w:p>
            <w:pPr>
              <w:spacing w:after="0" w:line="240" w:lineRule="auto"/>
            </w:pPr>
            <w:r>
              <w:rPr>
                <w:rFonts w:ascii="Aptos" w:hAnsi="Aptos"/>
                <w:sz w:val="15"/>
              </w:rPr>
              <w:t>§902(b)(2)</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Written denial</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Give description, specific reasons/legal citation, official identity/signature/date, and appeal procedure.</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Starts appeal period.</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§903</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Appeal</w:t>
            </w:r>
          </w:p>
        </w:tc>
        <w:tc>
          <w:tcPr>
            <w:tcW w:type="dxa" w:w="4752"/>
            <w:tcMar>
              <w:top w:w="70" w:type="dxa"/>
              <w:start w:w="80" w:type="dxa"/>
              <w:bottom w:w="70" w:type="dxa"/>
              <w:end w:w="80" w:type="dxa"/>
            </w:tcMar>
            <w:vAlign w:val="top"/>
          </w:tcPr>
          <w:p>
            <w:pPr>
              <w:spacing w:after="0" w:line="240" w:lineRule="auto"/>
            </w:pPr>
            <w:r>
              <w:rPr>
                <w:rFonts w:ascii="Aptos" w:hAnsi="Aptos"/>
                <w:sz w:val="15"/>
              </w:rPr>
              <w:t>Requester generally files within 15 business days of mailing date of response or deemed denial.</w:t>
            </w:r>
          </w:p>
        </w:tc>
        <w:tc>
          <w:tcPr>
            <w:tcW w:type="dxa" w:w="1655"/>
            <w:tcMar>
              <w:top w:w="70" w:type="dxa"/>
              <w:start w:w="80" w:type="dxa"/>
              <w:bottom w:w="70" w:type="dxa"/>
              <w:end w:w="80" w:type="dxa"/>
            </w:tcMar>
            <w:vAlign w:val="top"/>
          </w:tcPr>
          <w:p>
            <w:pPr>
              <w:spacing w:after="0" w:line="240" w:lineRule="auto"/>
            </w:pPr>
            <w:r>
              <w:rPr>
                <w:rFonts w:ascii="Aptos" w:hAnsi="Aptos"/>
                <w:sz w:val="15"/>
              </w:rPr>
              <w:t>OOR appeal subworkflow.</w:t>
            </w:r>
          </w:p>
        </w:tc>
        <w:tc>
          <w:tcPr>
            <w:tcW w:type="dxa" w:w="1872"/>
            <w:tcMar>
              <w:top w:w="70" w:type="dxa"/>
              <w:start w:w="80" w:type="dxa"/>
              <w:bottom w:w="70" w:type="dxa"/>
              <w:end w:w="80" w:type="dxa"/>
            </w:tcMar>
            <w:vAlign w:val="top"/>
          </w:tcPr>
          <w:p>
            <w:pPr>
              <w:spacing w:after="0" w:line="240" w:lineRule="auto"/>
            </w:pPr>
            <w:r>
              <w:rPr>
                <w:rFonts w:ascii="Aptos" w:hAnsi="Aptos"/>
                <w:sz w:val="15"/>
              </w:rPr>
              <w:t>§1101</w:t>
            </w:r>
          </w:p>
        </w:tc>
      </w:tr>
    </w:tbl>
    <w:p>
      <w:pPr>
        <w:pStyle w:val="Heading1"/>
      </w:pPr>
      <w:r>
        <w:t>3. Vague, unclear, or overly broad requests</w:t>
      </w:r>
    </w:p>
    <w:p>
      <w:pPr>
        <w:pStyle w:val="CompactList"/>
      </w:pPr>
      <w:r>
        <w:rPr>
          <w:b/>
        </w:rPr>
        <w:t xml:space="preserve">• </w:t>
      </w:r>
      <w:r>
        <w:t>Section 703 requires sufficient specificity to enable the agency to identify the records sought. An insufficiently specific request may be denied.</w:t>
      </w:r>
    </w:p>
    <w:p>
      <w:pPr>
        <w:pStyle w:val="CompactList"/>
      </w:pPr>
      <w:r>
        <w:rPr>
          <w:b/>
        </w:rPr>
        <w:t xml:space="preserve">• </w:t>
      </w:r>
      <w:r>
        <w:t>The RTKL does not expressly require the city to request clarification, pause the five-day period, or hold the request open for a statewide requester-response interval.</w:t>
      </w:r>
    </w:p>
    <w:p>
      <w:pPr>
        <w:pStyle w:val="CompactList"/>
      </w:pPr>
      <w:r>
        <w:rPr>
          <w:b/>
        </w:rPr>
        <w:t xml:space="preserve">• </w:t>
      </w:r>
      <w:r>
        <w:t>Operationally, the city may invite a clarified request or obtain written agreement to revise scope and timing, but the original five-day statutory response must still be handled.</w:t>
      </w:r>
    </w:p>
    <w:p>
      <w:pPr>
        <w:pStyle w:val="CompactList"/>
      </w:pPr>
      <w:r>
        <w:rPr>
          <w:b/>
        </w:rPr>
        <w:t xml:space="preserve">• </w:t>
      </w:r>
      <w:r>
        <w:t>A materially clarified submission should be stored as a new or amended request with a clearly documented legal receipt date, according to counsel-approved local policy.</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Engine treatment: </w:t>
            </w:r>
            <w:r>
              <w:t>Support “insufficient specificity” as a denial reason and an optional clarification invitation. Do not automatically toll the five-day timer. Require written consent for any extension beyond the statutory 30-day limit.</w:t>
            </w:r>
          </w:p>
        </w:tc>
      </w:tr>
    </w:tbl>
    <w:p>
      <w:pPr>
        <w:pStyle w:val="Heading1"/>
      </w:pPr>
      <w:r>
        <w:t>4. Denial, withholding, and partial production</w:t>
      </w:r>
    </w:p>
    <w:p>
      <w:pPr>
        <w:pStyle w:val="CompactList"/>
      </w:pPr>
      <w:r>
        <w:rPr>
          <w:b/>
        </w:rPr>
        <w:t xml:space="preserve">• </w:t>
      </w:r>
      <w:r>
        <w:t>Denials and partial denials must be written and include the specific legal grounds and appeal instructions required by §903.</w:t>
      </w:r>
    </w:p>
    <w:p>
      <w:pPr>
        <w:pStyle w:val="CompactList"/>
      </w:pPr>
      <w:r>
        <w:rPr>
          <w:b/>
        </w:rPr>
        <w:t xml:space="preserve">• </w:t>
      </w:r>
      <w:r>
        <w:t>Failure to respond on time, or an extension beyond the allowed date without requester agreement, is a deemed denial.</w:t>
      </w:r>
    </w:p>
    <w:p>
      <w:pPr>
        <w:pStyle w:val="CompactList"/>
      </w:pPr>
      <w:r>
        <w:rPr>
          <w:b/>
        </w:rPr>
        <w:t xml:space="preserve">• </w:t>
      </w:r>
      <w:r>
        <w:t>Redact exempt portions and grant access to public portions; each partial denial should be appealable and linked to its authority.</w:t>
      </w:r>
    </w:p>
    <w:p>
      <w:pPr>
        <w:pStyle w:val="CompactList"/>
      </w:pPr>
      <w:r>
        <w:rPr>
          <w:b/>
        </w:rPr>
        <w:t xml:space="preserve">• </w:t>
      </w:r>
      <w:r>
        <w:t>The engine should distinguish a substantive denial from a deemed denial caused by missed timing.</w:t>
      </w:r>
    </w:p>
    <w:p>
      <w:pPr>
        <w:pStyle w:val="Heading1"/>
      </w:pPr>
      <w:r>
        <w:t>5. Request classification and processing tracks</w:t>
      </w:r>
    </w:p>
    <w:p>
      <w:pPr>
        <w:pStyle w:val="CompactList"/>
      </w:pPr>
      <w:r>
        <w:rPr>
          <w:b/>
        </w:rPr>
        <w:t xml:space="preserve">• </w:t>
      </w:r>
      <w:r>
        <w:t>No statutory “simple” or “complex” label controls deadlines.</w:t>
      </w:r>
    </w:p>
    <w:p>
      <w:pPr>
        <w:pStyle w:val="CompactList"/>
      </w:pPr>
      <w:r>
        <w:rPr>
          <w:b/>
        </w:rPr>
        <w:t xml:space="preserve">• </w:t>
      </w:r>
      <w:r>
        <w:t>Section 902 creates legally relevant extension grounds: redaction, remote retrieval, bona fide staffing limits, legal review, requester noncompliance with agency policy, extent/nature of request, or requester agreement.</w:t>
      </w:r>
    </w:p>
    <w:p>
      <w:pPr>
        <w:pStyle w:val="CompactList"/>
      </w:pPr>
      <w:r>
        <w:rPr>
          <w:b/>
        </w:rPr>
        <w:t xml:space="preserve">• </w:t>
      </w:r>
      <w:r>
        <w:t>“Extension invoked” is therefore a statutory processing track; the underlying reason must be selected and communicated.</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024"/>
            <w:shd w:fill="17365D"/>
            <w:tcMar>
              <w:top w:w="70" w:type="dxa"/>
              <w:start w:w="80" w:type="dxa"/>
              <w:bottom w:w="70" w:type="dxa"/>
              <w:end w:w="80" w:type="dxa"/>
            </w:tcMar>
          </w:tcPr>
          <w:p>
            <w:pPr>
              <w:spacing w:after="0"/>
              <w:jc w:val="left"/>
            </w:pPr>
            <w:r>
              <w:rPr>
                <w:b/>
                <w:color w:val="FFFFFF"/>
                <w:sz w:val="15"/>
              </w:rPr>
              <w:t>Classification / flag</w:t>
            </w:r>
          </w:p>
        </w:tc>
        <w:tc>
          <w:tcPr>
            <w:tcW w:type="dxa" w:w="1944"/>
            <w:shd w:fill="17365D"/>
            <w:tcMar>
              <w:top w:w="70" w:type="dxa"/>
              <w:start w:w="80" w:type="dxa"/>
              <w:bottom w:w="70" w:type="dxa"/>
              <w:end w:w="80" w:type="dxa"/>
            </w:tcMar>
          </w:tcPr>
          <w:p>
            <w:pPr>
              <w:spacing w:after="0"/>
              <w:jc w:val="left"/>
            </w:pPr>
            <w:r>
              <w:rPr>
                <w:b/>
                <w:color w:val="FFFFFF"/>
                <w:sz w:val="15"/>
              </w:rPr>
              <w:t>Legal or operational?</w:t>
            </w:r>
          </w:p>
        </w:tc>
        <w:tc>
          <w:tcPr>
            <w:tcW w:type="dxa" w:w="4752"/>
            <w:shd w:fill="17365D"/>
            <w:tcMar>
              <w:top w:w="70" w:type="dxa"/>
              <w:start w:w="80" w:type="dxa"/>
              <w:bottom w:w="70" w:type="dxa"/>
              <w:end w:w="80" w:type="dxa"/>
            </w:tcMar>
          </w:tcPr>
          <w:p>
            <w:pPr>
              <w:spacing w:after="0"/>
              <w:jc w:val="left"/>
            </w:pPr>
            <w:r>
              <w:rPr>
                <w:b/>
                <w:color w:val="FFFFFF"/>
                <w:sz w:val="15"/>
              </w:rPr>
              <w:t>Workflow consequence</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Grant / partial / deny</w:t>
            </w:r>
          </w:p>
        </w:tc>
        <w:tc>
          <w:tcPr>
            <w:tcW w:type="dxa" w:w="1944"/>
            <w:tcMar>
              <w:top w:w="70" w:type="dxa"/>
              <w:start w:w="80" w:type="dxa"/>
              <w:bottom w:w="70" w:type="dxa"/>
              <w:end w:w="80" w:type="dxa"/>
            </w:tcMar>
            <w:vAlign w:val="top"/>
          </w:tcPr>
          <w:p>
            <w:pPr>
              <w:spacing w:after="0" w:line="240" w:lineRule="auto"/>
            </w:pPr>
            <w:r>
              <w:rPr>
                <w:rFonts w:ascii="Aptos" w:hAnsi="Aptos"/>
                <w:sz w:val="15"/>
              </w:rPr>
              <w:t>Legal outcome</w:t>
            </w:r>
          </w:p>
        </w:tc>
        <w:tc>
          <w:tcPr>
            <w:tcW w:type="dxa" w:w="4752"/>
            <w:tcMar>
              <w:top w:w="70" w:type="dxa"/>
              <w:start w:w="80" w:type="dxa"/>
              <w:bottom w:w="70" w:type="dxa"/>
              <w:end w:w="80" w:type="dxa"/>
            </w:tcMar>
            <w:vAlign w:val="top"/>
          </w:tcPr>
          <w:p>
            <w:pPr>
              <w:spacing w:after="0" w:line="240" w:lineRule="auto"/>
            </w:pPr>
            <w:r>
              <w:rPr>
                <w:rFonts w:ascii="Aptos" w:hAnsi="Aptos"/>
                <w:sz w:val="15"/>
              </w:rPr>
              <w:t>Final written response within initial or extended period.</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§902 extension</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Statutory track</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Reason, date, fee estimate; 30-day limit absent written consent.</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Insufficient specificity</w:t>
            </w:r>
          </w:p>
        </w:tc>
        <w:tc>
          <w:tcPr>
            <w:tcW w:type="dxa" w:w="1944"/>
            <w:tcMar>
              <w:top w:w="70" w:type="dxa"/>
              <w:start w:w="80" w:type="dxa"/>
              <w:bottom w:w="70" w:type="dxa"/>
              <w:end w:w="80" w:type="dxa"/>
            </w:tcMar>
            <w:vAlign w:val="top"/>
          </w:tcPr>
          <w:p>
            <w:pPr>
              <w:spacing w:after="0" w:line="240" w:lineRule="auto"/>
            </w:pPr>
            <w:r>
              <w:rPr>
                <w:rFonts w:ascii="Aptos" w:hAnsi="Aptos"/>
                <w:sz w:val="15"/>
              </w:rPr>
              <w:t>Legal denial basis</w:t>
            </w:r>
          </w:p>
        </w:tc>
        <w:tc>
          <w:tcPr>
            <w:tcW w:type="dxa" w:w="4752"/>
            <w:tcMar>
              <w:top w:w="70" w:type="dxa"/>
              <w:start w:w="80" w:type="dxa"/>
              <w:bottom w:w="70" w:type="dxa"/>
              <w:end w:w="80" w:type="dxa"/>
            </w:tcMar>
            <w:vAlign w:val="top"/>
          </w:tcPr>
          <w:p>
            <w:pPr>
              <w:spacing w:after="0" w:line="240" w:lineRule="auto"/>
            </w:pPr>
            <w:r>
              <w:rPr>
                <w:rFonts w:ascii="Aptos" w:hAnsi="Aptos"/>
                <w:sz w:val="15"/>
              </w:rPr>
              <w:t>Written denial; optional invitation to submit clarified request.</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Prepayment &gt;$100</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Statutory fee track</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Estimate and payment gate before further work/production.</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Simple / complex</w:t>
            </w:r>
          </w:p>
        </w:tc>
        <w:tc>
          <w:tcPr>
            <w:tcW w:type="dxa" w:w="1944"/>
            <w:tcMar>
              <w:top w:w="70" w:type="dxa"/>
              <w:start w:w="80" w:type="dxa"/>
              <w:bottom w:w="70" w:type="dxa"/>
              <w:end w:w="80" w:type="dxa"/>
            </w:tcMar>
            <w:vAlign w:val="top"/>
          </w:tcPr>
          <w:p>
            <w:pPr>
              <w:spacing w:after="0" w:line="240" w:lineRule="auto"/>
            </w:pPr>
            <w:r>
              <w:rPr>
                <w:rFonts w:ascii="Aptos" w:hAnsi="Aptos"/>
                <w:sz w:val="15"/>
              </w:rPr>
              <w:t>Operational</w:t>
            </w:r>
          </w:p>
        </w:tc>
        <w:tc>
          <w:tcPr>
            <w:tcW w:type="dxa" w:w="4752"/>
            <w:tcMar>
              <w:top w:w="70" w:type="dxa"/>
              <w:start w:w="80" w:type="dxa"/>
              <w:bottom w:w="70" w:type="dxa"/>
              <w:end w:w="80" w:type="dxa"/>
            </w:tcMar>
            <w:vAlign w:val="top"/>
          </w:tcPr>
          <w:p>
            <w:pPr>
              <w:spacing w:after="0" w:line="240" w:lineRule="auto"/>
            </w:pPr>
            <w:r>
              <w:rPr>
                <w:rFonts w:ascii="Aptos" w:hAnsi="Aptos"/>
                <w:sz w:val="15"/>
              </w:rPr>
              <w:t>May support staffing; cannot replace §902 reason.</w:t>
            </w:r>
          </w:p>
        </w:tc>
      </w:tr>
    </w:tbl>
    <w:p>
      <w:pPr>
        <w:pStyle w:val="Heading1"/>
      </w:pPr>
      <w:r>
        <w:t>6. Fees, estimates, deposits, and payment timing</w:t>
      </w:r>
    </w:p>
    <w:p>
      <w:pPr>
        <w:pStyle w:val="CompactList"/>
      </w:pPr>
      <w:r>
        <w:rPr>
          <w:b/>
        </w:rPr>
        <w:t xml:space="preserve">• </w:t>
      </w:r>
      <w:r>
        <w:t>The OOR establishes an official fee schedule. Agencies generally may charge permitted duplication, certification, postage, and necessarily incurred reasonable costs, but not ordinary search/retrieval or legal review to decide whether a record is public.</w:t>
      </w:r>
    </w:p>
    <w:p>
      <w:pPr>
        <w:pStyle w:val="CompactList"/>
      </w:pPr>
      <w:r>
        <w:rPr>
          <w:b/>
        </w:rPr>
        <w:t xml:space="preserve">• </w:t>
      </w:r>
      <w:r>
        <w:t>An extension notice must include an estimate of applicable fees owed when records become available.</w:t>
      </w:r>
    </w:p>
    <w:p>
      <w:pPr>
        <w:pStyle w:val="CompactList"/>
      </w:pPr>
      <w:r>
        <w:rPr>
          <w:b/>
        </w:rPr>
        <w:t xml:space="preserve">• </w:t>
      </w:r>
      <w:r>
        <w:t>If estimated fees exceed $100, the agency may require prepayment before granting the request. The estimate and payment status should be captured before resource-intensive work proceeds.</w:t>
      </w:r>
    </w:p>
    <w:p>
      <w:pPr>
        <w:pStyle w:val="CompactList"/>
      </w:pPr>
      <w:r>
        <w:rPr>
          <w:b/>
        </w:rPr>
        <w:t xml:space="preserve">• </w:t>
      </w:r>
      <w:r>
        <w:t>Payment may be required before release. Local policy should define invoice method, payment due date, and handling of unclaimed records without adding unauthorized fees.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448"/>
            <w:shd w:fill="17365D"/>
            <w:tcMar>
              <w:top w:w="70" w:type="dxa"/>
              <w:start w:w="80" w:type="dxa"/>
              <w:bottom w:w="70" w:type="dxa"/>
              <w:end w:w="80" w:type="dxa"/>
            </w:tcMar>
          </w:tcPr>
          <w:p>
            <w:pPr>
              <w:spacing w:after="0"/>
              <w:jc w:val="left"/>
            </w:pPr>
            <w:r>
              <w:rPr>
                <w:b/>
                <w:color w:val="FFFFFF"/>
                <w:sz w:val="15"/>
              </w:rPr>
              <w:t>Fee event</w:t>
            </w:r>
          </w:p>
        </w:tc>
        <w:tc>
          <w:tcPr>
            <w:tcW w:type="dxa" w:w="4536"/>
            <w:shd w:fill="17365D"/>
            <w:tcMar>
              <w:top w:w="70" w:type="dxa"/>
              <w:start w:w="80" w:type="dxa"/>
              <w:bottom w:w="70" w:type="dxa"/>
              <w:end w:w="80" w:type="dxa"/>
            </w:tcMar>
          </w:tcPr>
          <w:p>
            <w:pPr>
              <w:spacing w:after="0"/>
              <w:jc w:val="left"/>
            </w:pPr>
            <w:r>
              <w:rPr>
                <w:b/>
                <w:color w:val="FFFFFF"/>
                <w:sz w:val="15"/>
              </w:rPr>
              <w:t>Statewide rule</w:t>
            </w:r>
          </w:p>
        </w:tc>
        <w:tc>
          <w:tcPr>
            <w:tcW w:type="dxa" w:w="2736"/>
            <w:shd w:fill="17365D"/>
            <w:tcMar>
              <w:top w:w="70" w:type="dxa"/>
              <w:start w:w="80" w:type="dxa"/>
              <w:bottom w:w="70" w:type="dxa"/>
              <w:end w:w="80" w:type="dxa"/>
            </w:tcMar>
          </w:tcPr>
          <w:p>
            <w:pPr>
              <w:spacing w:after="0"/>
              <w:jc w:val="left"/>
            </w:pPr>
            <w:r>
              <w:rPr>
                <w:b/>
                <w:color w:val="FFFFFF"/>
                <w:sz w:val="15"/>
              </w:rPr>
              <w:t>Configurable city value</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Estimate</w:t>
            </w:r>
          </w:p>
        </w:tc>
        <w:tc>
          <w:tcPr>
            <w:tcW w:type="dxa" w:w="4536"/>
            <w:tcMar>
              <w:top w:w="70" w:type="dxa"/>
              <w:start w:w="80" w:type="dxa"/>
              <w:bottom w:w="70" w:type="dxa"/>
              <w:end w:w="80" w:type="dxa"/>
            </w:tcMar>
            <w:vAlign w:val="top"/>
          </w:tcPr>
          <w:p>
            <w:pPr>
              <w:spacing w:after="0" w:line="240" w:lineRule="auto"/>
            </w:pPr>
            <w:r>
              <w:rPr>
                <w:rFonts w:ascii="Aptos" w:hAnsi="Aptos"/>
                <w:sz w:val="15"/>
              </w:rPr>
              <w:t>Required in §902 extension notice; supports prepayment.</w:t>
            </w:r>
          </w:p>
        </w:tc>
        <w:tc>
          <w:tcPr>
            <w:tcW w:type="dxa" w:w="2736"/>
            <w:tcMar>
              <w:top w:w="70" w:type="dxa"/>
              <w:start w:w="80" w:type="dxa"/>
              <w:bottom w:w="70" w:type="dxa"/>
              <w:end w:w="80" w:type="dxa"/>
            </w:tcMar>
            <w:vAlign w:val="top"/>
          </w:tcPr>
          <w:p>
            <w:pPr>
              <w:spacing w:after="0" w:line="240" w:lineRule="auto"/>
            </w:pPr>
            <w:r>
              <w:rPr>
                <w:rFonts w:ascii="Aptos" w:hAnsi="Aptos"/>
                <w:sz w:val="15"/>
              </w:rPr>
              <w:t>Estimate template, calculation workflow.</w:t>
            </w:r>
          </w:p>
        </w:tc>
      </w:tr>
      <w:tr>
        <w:trPr>
          <w:cantSplit/>
        </w:trPr>
        <w:tc>
          <w:tcPr>
            <w:tcW w:type="dxa" w:w="2448"/>
            <w:shd w:fill="FAFCFE"/>
            <w:tcMar>
              <w:top w:w="70" w:type="dxa"/>
              <w:start w:w="80" w:type="dxa"/>
              <w:bottom w:w="70" w:type="dxa"/>
              <w:end w:w="80" w:type="dxa"/>
            </w:tcMar>
            <w:vAlign w:val="top"/>
          </w:tcPr>
          <w:p>
            <w:pPr>
              <w:spacing w:after="0" w:line="240" w:lineRule="auto"/>
            </w:pPr>
            <w:r>
              <w:rPr>
                <w:rFonts w:ascii="Aptos" w:hAnsi="Aptos"/>
                <w:sz w:val="15"/>
              </w:rPr>
              <w:t>Prepayment</w:t>
            </w:r>
          </w:p>
        </w:tc>
        <w:tc>
          <w:tcPr>
            <w:tcW w:type="dxa" w:w="4536"/>
            <w:shd w:fill="FAFCFE"/>
            <w:tcMar>
              <w:top w:w="70" w:type="dxa"/>
              <w:start w:w="80" w:type="dxa"/>
              <w:bottom w:w="70" w:type="dxa"/>
              <w:end w:w="80" w:type="dxa"/>
            </w:tcMar>
            <w:vAlign w:val="top"/>
          </w:tcPr>
          <w:p>
            <w:pPr>
              <w:spacing w:after="0" w:line="240" w:lineRule="auto"/>
            </w:pPr>
            <w:r>
              <w:rPr>
                <w:rFonts w:ascii="Aptos" w:hAnsi="Aptos"/>
                <w:sz w:val="15"/>
              </w:rPr>
              <w:t>May require if estimated fees exceed $100.</w:t>
            </w:r>
          </w:p>
        </w:tc>
        <w:tc>
          <w:tcPr>
            <w:tcW w:type="dxa" w:w="2736"/>
            <w:shd w:fill="FAFCFE"/>
            <w:tcMar>
              <w:top w:w="70" w:type="dxa"/>
              <w:start w:w="80" w:type="dxa"/>
              <w:bottom w:w="70" w:type="dxa"/>
              <w:end w:w="80" w:type="dxa"/>
            </w:tcMar>
            <w:vAlign w:val="top"/>
          </w:tcPr>
          <w:p>
            <w:pPr>
              <w:spacing w:after="0" w:line="240" w:lineRule="auto"/>
            </w:pPr>
            <w:r>
              <w:rPr>
                <w:rFonts w:ascii="Aptos" w:hAnsi="Aptos"/>
                <w:sz w:val="15"/>
              </w:rPr>
              <w:t>Whether exercised; payment deadline and methods.</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Duplication / postage</w:t>
            </w:r>
          </w:p>
        </w:tc>
        <w:tc>
          <w:tcPr>
            <w:tcW w:type="dxa" w:w="4536"/>
            <w:tcMar>
              <w:top w:w="70" w:type="dxa"/>
              <w:start w:w="80" w:type="dxa"/>
              <w:bottom w:w="70" w:type="dxa"/>
              <w:end w:w="80" w:type="dxa"/>
            </w:tcMar>
            <w:vAlign w:val="top"/>
          </w:tcPr>
          <w:p>
            <w:pPr>
              <w:spacing w:after="0" w:line="240" w:lineRule="auto"/>
            </w:pPr>
            <w:r>
              <w:rPr>
                <w:rFonts w:ascii="Aptos" w:hAnsi="Aptos"/>
                <w:sz w:val="15"/>
              </w:rPr>
              <w:t>OOR fee schedule and actual necessary costs.</w:t>
            </w:r>
          </w:p>
        </w:tc>
        <w:tc>
          <w:tcPr>
            <w:tcW w:type="dxa" w:w="2736"/>
            <w:tcMar>
              <w:top w:w="70" w:type="dxa"/>
              <w:start w:w="80" w:type="dxa"/>
              <w:bottom w:w="70" w:type="dxa"/>
              <w:end w:w="80" w:type="dxa"/>
            </w:tcMar>
            <w:vAlign w:val="top"/>
          </w:tcPr>
          <w:p>
            <w:pPr>
              <w:spacing w:after="0" w:line="240" w:lineRule="auto"/>
            </w:pPr>
            <w:r>
              <w:rPr>
                <w:rFonts w:ascii="Aptos" w:hAnsi="Aptos"/>
                <w:sz w:val="15"/>
              </w:rPr>
              <w:t>Current rates and delivery choices.</w:t>
            </w:r>
          </w:p>
        </w:tc>
      </w:tr>
      <w:tr>
        <w:trPr>
          <w:cantSplit/>
        </w:trPr>
        <w:tc>
          <w:tcPr>
            <w:tcW w:type="dxa" w:w="2448"/>
            <w:shd w:fill="FAFCFE"/>
            <w:tcMar>
              <w:top w:w="70" w:type="dxa"/>
              <w:start w:w="80" w:type="dxa"/>
              <w:bottom w:w="70" w:type="dxa"/>
              <w:end w:w="80" w:type="dxa"/>
            </w:tcMar>
            <w:vAlign w:val="top"/>
          </w:tcPr>
          <w:p>
            <w:pPr>
              <w:spacing w:after="0" w:line="240" w:lineRule="auto"/>
            </w:pPr>
            <w:r>
              <w:rPr>
                <w:rFonts w:ascii="Aptos" w:hAnsi="Aptos"/>
                <w:sz w:val="15"/>
              </w:rPr>
              <w:t>Search / review labor</w:t>
            </w:r>
          </w:p>
        </w:tc>
        <w:tc>
          <w:tcPr>
            <w:tcW w:type="dxa" w:w="4536"/>
            <w:shd w:fill="FAFCFE"/>
            <w:tcMar>
              <w:top w:w="70" w:type="dxa"/>
              <w:start w:w="80" w:type="dxa"/>
              <w:bottom w:w="70" w:type="dxa"/>
              <w:end w:w="80" w:type="dxa"/>
            </w:tcMar>
            <w:vAlign w:val="top"/>
          </w:tcPr>
          <w:p>
            <w:pPr>
              <w:spacing w:after="0" w:line="240" w:lineRule="auto"/>
            </w:pPr>
            <w:r>
              <w:rPr>
                <w:rFonts w:ascii="Aptos" w:hAnsi="Aptos"/>
                <w:sz w:val="15"/>
              </w:rPr>
              <w:t>Generally not chargeable under RTKL fee structure.</w:t>
            </w:r>
          </w:p>
        </w:tc>
        <w:tc>
          <w:tcPr>
            <w:tcW w:type="dxa" w:w="2736"/>
            <w:shd w:fill="FAFCFE"/>
            <w:tcMar>
              <w:top w:w="70" w:type="dxa"/>
              <w:start w:w="80" w:type="dxa"/>
              <w:bottom w:w="70" w:type="dxa"/>
              <w:end w:w="80" w:type="dxa"/>
            </w:tcMar>
            <w:vAlign w:val="top"/>
          </w:tcPr>
          <w:p>
            <w:pPr>
              <w:spacing w:after="0" w:line="240" w:lineRule="auto"/>
            </w:pPr>
            <w:r>
              <w:rPr>
                <w:rFonts w:ascii="Aptos" w:hAnsi="Aptos"/>
                <w:sz w:val="15"/>
              </w:rPr>
              <w:t>Disable unless specific statute authorizes.</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Payment before release</w:t>
            </w:r>
          </w:p>
        </w:tc>
        <w:tc>
          <w:tcPr>
            <w:tcW w:type="dxa" w:w="4536"/>
            <w:tcMar>
              <w:top w:w="70" w:type="dxa"/>
              <w:start w:w="80" w:type="dxa"/>
              <w:bottom w:w="70" w:type="dxa"/>
              <w:end w:w="80" w:type="dxa"/>
            </w:tcMar>
            <w:vAlign w:val="top"/>
          </w:tcPr>
          <w:p>
            <w:pPr>
              <w:spacing w:after="0" w:line="240" w:lineRule="auto"/>
            </w:pPr>
            <w:r>
              <w:rPr>
                <w:rFonts w:ascii="Aptos" w:hAnsi="Aptos"/>
                <w:sz w:val="15"/>
              </w:rPr>
              <w:t>Permitted practice.</w:t>
            </w:r>
          </w:p>
        </w:tc>
        <w:tc>
          <w:tcPr>
            <w:tcW w:type="dxa" w:w="2736"/>
            <w:tcMar>
              <w:top w:w="70" w:type="dxa"/>
              <w:start w:w="80" w:type="dxa"/>
              <w:bottom w:w="70" w:type="dxa"/>
              <w:end w:w="80" w:type="dxa"/>
            </w:tcMar>
            <w:vAlign w:val="top"/>
          </w:tcPr>
          <w:p>
            <w:pPr>
              <w:spacing w:after="0" w:line="240" w:lineRule="auto"/>
            </w:pPr>
            <w:r>
              <w:rPr>
                <w:rFonts w:ascii="Aptos" w:hAnsi="Aptos"/>
                <w:sz w:val="15"/>
              </w:rPr>
              <w:t>Invoice, pickup, electronic delivery, abandonment policy.</w:t>
            </w:r>
          </w:p>
        </w:tc>
      </w:tr>
    </w:tbl>
    <w:p>
      <w:pPr>
        <w:pStyle w:val="Heading1"/>
      </w:pPr>
      <w:r>
        <w:t>7. Normalized software rule matrix</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2232"/>
            <w:shd w:fill="17365D"/>
            <w:tcMar>
              <w:top w:w="70" w:type="dxa"/>
              <w:start w:w="80" w:type="dxa"/>
              <w:bottom w:w="70" w:type="dxa"/>
              <w:end w:w="80" w:type="dxa"/>
            </w:tcMar>
          </w:tcPr>
          <w:p>
            <w:pPr>
              <w:spacing w:after="0"/>
              <w:jc w:val="left"/>
            </w:pPr>
            <w:r>
              <w:rPr>
                <w:b/>
                <w:color w:val="FFFFFF"/>
                <w:sz w:val="14"/>
              </w:rPr>
              <w:t>Rule / trigger</w:t>
            </w:r>
          </w:p>
        </w:tc>
        <w:tc>
          <w:tcPr>
            <w:tcW w:type="dxa" w:w="3168"/>
            <w:shd w:fill="17365D"/>
            <w:tcMar>
              <w:top w:w="70" w:type="dxa"/>
              <w:start w:w="80" w:type="dxa"/>
              <w:bottom w:w="70" w:type="dxa"/>
              <w:end w:w="80" w:type="dxa"/>
            </w:tcMar>
          </w:tcPr>
          <w:p>
            <w:pPr>
              <w:spacing w:after="0"/>
              <w:jc w:val="left"/>
            </w:pPr>
            <w:r>
              <w:rPr>
                <w:b/>
                <w:color w:val="FFFFFF"/>
                <w:sz w:val="14"/>
              </w:rPr>
              <w:t>Required system action</w:t>
            </w:r>
          </w:p>
        </w:tc>
        <w:tc>
          <w:tcPr>
            <w:tcW w:type="dxa" w:w="3024"/>
            <w:shd w:fill="17365D"/>
            <w:tcMar>
              <w:top w:w="70" w:type="dxa"/>
              <w:start w:w="80" w:type="dxa"/>
              <w:bottom w:w="70" w:type="dxa"/>
              <w:end w:w="80" w:type="dxa"/>
            </w:tcMar>
          </w:tcPr>
          <w:p>
            <w:pPr>
              <w:spacing w:after="0"/>
              <w:jc w:val="left"/>
            </w:pPr>
            <w:r>
              <w:rPr>
                <w:b/>
                <w:color w:val="FFFFFF"/>
                <w:sz w:val="14"/>
              </w:rPr>
              <w:t>Communication / deadline</w:t>
            </w:r>
          </w:p>
        </w:tc>
        <w:tc>
          <w:tcPr>
            <w:tcW w:type="dxa" w:w="2232"/>
            <w:shd w:fill="17365D"/>
            <w:tcMar>
              <w:top w:w="70" w:type="dxa"/>
              <w:start w:w="80" w:type="dxa"/>
              <w:bottom w:w="70" w:type="dxa"/>
              <w:end w:w="80" w:type="dxa"/>
            </w:tcMar>
          </w:tcPr>
          <w:p>
            <w:pPr>
              <w:spacing w:after="0"/>
              <w:jc w:val="left"/>
            </w:pPr>
            <w:r>
              <w:rPr>
                <w:b/>
                <w:color w:val="FFFFFF"/>
                <w:sz w:val="14"/>
              </w:rPr>
              <w:t>Clock / configuration</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AORO receives request</w:t>
            </w:r>
          </w:p>
        </w:tc>
        <w:tc>
          <w:tcPr>
            <w:tcW w:type="dxa" w:w="3168"/>
            <w:tcMar>
              <w:top w:w="70" w:type="dxa"/>
              <w:start w:w="80" w:type="dxa"/>
              <w:bottom w:w="70" w:type="dxa"/>
              <w:end w:w="80" w:type="dxa"/>
            </w:tcMar>
            <w:vAlign w:val="top"/>
          </w:tcPr>
          <w:p>
            <w:pPr>
              <w:spacing w:after="0" w:line="240" w:lineRule="auto"/>
            </w:pPr>
            <w:r>
              <w:rPr>
                <w:rFonts w:ascii="Aptos" w:hAnsi="Aptos"/>
                <w:sz w:val="14"/>
              </w:rPr>
              <w:t>Calculate five business days beginning next business day.</w:t>
            </w:r>
          </w:p>
        </w:tc>
        <w:tc>
          <w:tcPr>
            <w:tcW w:type="dxa" w:w="3024"/>
            <w:tcMar>
              <w:top w:w="70" w:type="dxa"/>
              <w:start w:w="80" w:type="dxa"/>
              <w:bottom w:w="70" w:type="dxa"/>
              <w:end w:w="80" w:type="dxa"/>
            </w:tcMar>
            <w:vAlign w:val="top"/>
          </w:tcPr>
          <w:p>
            <w:pPr>
              <w:spacing w:after="0" w:line="240" w:lineRule="auto"/>
            </w:pPr>
            <w:r>
              <w:rPr>
                <w:rFonts w:ascii="Aptos" w:hAnsi="Aptos"/>
                <w:sz w:val="14"/>
              </w:rPr>
              <w:t>Final response or extension by day 5.</w:t>
            </w:r>
          </w:p>
        </w:tc>
        <w:tc>
          <w:tcPr>
            <w:tcW w:type="dxa" w:w="2232"/>
            <w:tcMar>
              <w:top w:w="70" w:type="dxa"/>
              <w:start w:w="80" w:type="dxa"/>
              <w:bottom w:w="70" w:type="dxa"/>
              <w:end w:w="80" w:type="dxa"/>
            </w:tcMar>
            <w:vAlign w:val="top"/>
          </w:tcPr>
          <w:p>
            <w:pPr>
              <w:spacing w:after="0" w:line="240" w:lineRule="auto"/>
            </w:pPr>
            <w:r>
              <w:rPr>
                <w:rFonts w:ascii="Aptos" w:hAnsi="Aptos"/>
                <w:sz w:val="14"/>
              </w:rPr>
              <w:t>Hard timer; silence = deemed denial.</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Records available</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Grant and arrange access in requested medium if available.</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Grant notice within response period.</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Complete branch.</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Extension ground exists</w:t>
            </w:r>
          </w:p>
        </w:tc>
        <w:tc>
          <w:tcPr>
            <w:tcW w:type="dxa" w:w="3168"/>
            <w:tcMar>
              <w:top w:w="70" w:type="dxa"/>
              <w:start w:w="80" w:type="dxa"/>
              <w:bottom w:w="70" w:type="dxa"/>
              <w:end w:w="80" w:type="dxa"/>
            </w:tcMar>
            <w:vAlign w:val="top"/>
          </w:tcPr>
          <w:p>
            <w:pPr>
              <w:spacing w:after="0" w:line="240" w:lineRule="auto"/>
            </w:pPr>
            <w:r>
              <w:rPr>
                <w:rFonts w:ascii="Aptos" w:hAnsi="Aptos"/>
                <w:sz w:val="14"/>
              </w:rPr>
              <w:t>Select statutory reason; set date ≤30 calendar days after initial period unless written consent.</w:t>
            </w:r>
          </w:p>
        </w:tc>
        <w:tc>
          <w:tcPr>
            <w:tcW w:type="dxa" w:w="3024"/>
            <w:tcMar>
              <w:top w:w="70" w:type="dxa"/>
              <w:start w:w="80" w:type="dxa"/>
              <w:bottom w:w="70" w:type="dxa"/>
              <w:end w:w="80" w:type="dxa"/>
            </w:tcMar>
            <w:vAlign w:val="top"/>
          </w:tcPr>
          <w:p>
            <w:pPr>
              <w:spacing w:after="0" w:line="240" w:lineRule="auto"/>
            </w:pPr>
            <w:r>
              <w:rPr>
                <w:rFonts w:ascii="Aptos" w:hAnsi="Aptos"/>
                <w:sz w:val="14"/>
              </w:rPr>
              <w:t>Written notice + fee estimate by day 5.</w:t>
            </w:r>
          </w:p>
        </w:tc>
        <w:tc>
          <w:tcPr>
            <w:tcW w:type="dxa" w:w="2232"/>
            <w:tcMar>
              <w:top w:w="70" w:type="dxa"/>
              <w:start w:w="80" w:type="dxa"/>
              <w:bottom w:w="70" w:type="dxa"/>
              <w:end w:w="80" w:type="dxa"/>
            </w:tcMar>
            <w:vAlign w:val="top"/>
          </w:tcPr>
          <w:p>
            <w:pPr>
              <w:spacing w:after="0" w:line="240" w:lineRule="auto"/>
            </w:pPr>
            <w:r>
              <w:rPr>
                <w:rFonts w:ascii="Aptos" w:hAnsi="Aptos"/>
                <w:sz w:val="14"/>
              </w:rPr>
              <w:t>Extended final-response timer.</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Request insufficiently specific</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Prepare §703 denial; optionally invite clarified request.</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Written denial with appeal rights.</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No automatic toll.</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Exemption applies</w:t>
            </w:r>
          </w:p>
        </w:tc>
        <w:tc>
          <w:tcPr>
            <w:tcW w:type="dxa" w:w="3168"/>
            <w:tcMar>
              <w:top w:w="70" w:type="dxa"/>
              <w:start w:w="80" w:type="dxa"/>
              <w:bottom w:w="70" w:type="dxa"/>
              <w:end w:w="80" w:type="dxa"/>
            </w:tcMar>
            <w:vAlign w:val="top"/>
          </w:tcPr>
          <w:p>
            <w:pPr>
              <w:spacing w:after="0" w:line="240" w:lineRule="auto"/>
            </w:pPr>
            <w:r>
              <w:rPr>
                <w:rFonts w:ascii="Aptos" w:hAnsi="Aptos"/>
                <w:sz w:val="14"/>
              </w:rPr>
              <w:t>Redact/segregate; prepare partial or full denial.</w:t>
            </w:r>
          </w:p>
        </w:tc>
        <w:tc>
          <w:tcPr>
            <w:tcW w:type="dxa" w:w="3024"/>
            <w:tcMar>
              <w:top w:w="70" w:type="dxa"/>
              <w:start w:w="80" w:type="dxa"/>
              <w:bottom w:w="70" w:type="dxa"/>
              <w:end w:w="80" w:type="dxa"/>
            </w:tcMar>
            <w:vAlign w:val="top"/>
          </w:tcPr>
          <w:p>
            <w:pPr>
              <w:spacing w:after="0" w:line="240" w:lineRule="auto"/>
            </w:pPr>
            <w:r>
              <w:rPr>
                <w:rFonts w:ascii="Aptos" w:hAnsi="Aptos"/>
                <w:sz w:val="14"/>
              </w:rPr>
              <w:t>Specific reasons and citations.</w:t>
            </w:r>
          </w:p>
        </w:tc>
        <w:tc>
          <w:tcPr>
            <w:tcW w:type="dxa" w:w="2232"/>
            <w:tcMar>
              <w:top w:w="70" w:type="dxa"/>
              <w:start w:w="80" w:type="dxa"/>
              <w:bottom w:w="70" w:type="dxa"/>
              <w:end w:w="80" w:type="dxa"/>
            </w:tcMar>
            <w:vAlign w:val="top"/>
          </w:tcPr>
          <w:p>
            <w:pPr>
              <w:spacing w:after="0" w:line="240" w:lineRule="auto"/>
            </w:pPr>
            <w:r>
              <w:rPr>
                <w:rFonts w:ascii="Aptos" w:hAnsi="Aptos"/>
                <w:sz w:val="14"/>
              </w:rPr>
              <w:t>Appeal timer.</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Estimated cost &gt;$100</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Issue prepayment demand and hold payment-gated work.</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Amount and payment instructions.</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Awaiting payment.</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Deadline missed</w:t>
            </w:r>
          </w:p>
        </w:tc>
        <w:tc>
          <w:tcPr>
            <w:tcW w:type="dxa" w:w="3168"/>
            <w:tcMar>
              <w:top w:w="70" w:type="dxa"/>
              <w:start w:w="80" w:type="dxa"/>
              <w:bottom w:w="70" w:type="dxa"/>
              <w:end w:w="80" w:type="dxa"/>
            </w:tcMar>
            <w:vAlign w:val="top"/>
          </w:tcPr>
          <w:p>
            <w:pPr>
              <w:spacing w:after="0" w:line="240" w:lineRule="auto"/>
            </w:pPr>
            <w:r>
              <w:rPr>
                <w:rFonts w:ascii="Aptos" w:hAnsi="Aptos"/>
                <w:sz w:val="14"/>
              </w:rPr>
              <w:t>Create deemed-denial event and preserve audit record.</w:t>
            </w:r>
          </w:p>
        </w:tc>
        <w:tc>
          <w:tcPr>
            <w:tcW w:type="dxa" w:w="3024"/>
            <w:tcMar>
              <w:top w:w="70" w:type="dxa"/>
              <w:start w:w="80" w:type="dxa"/>
              <w:bottom w:w="70" w:type="dxa"/>
              <w:end w:w="80" w:type="dxa"/>
            </w:tcMar>
            <w:vAlign w:val="top"/>
          </w:tcPr>
          <w:p>
            <w:pPr>
              <w:spacing w:after="0" w:line="240" w:lineRule="auto"/>
            </w:pPr>
            <w:r>
              <w:rPr>
                <w:rFonts w:ascii="Aptos" w:hAnsi="Aptos"/>
                <w:sz w:val="14"/>
              </w:rPr>
              <w:t>Appeal information if communicating afterward.</w:t>
            </w:r>
          </w:p>
        </w:tc>
        <w:tc>
          <w:tcPr>
            <w:tcW w:type="dxa" w:w="2232"/>
            <w:tcMar>
              <w:top w:w="70" w:type="dxa"/>
              <w:start w:w="80" w:type="dxa"/>
              <w:bottom w:w="70" w:type="dxa"/>
              <w:end w:w="80" w:type="dxa"/>
            </w:tcMar>
            <w:vAlign w:val="top"/>
          </w:tcPr>
          <w:p>
            <w:pPr>
              <w:spacing w:after="0" w:line="240" w:lineRule="auto"/>
            </w:pPr>
            <w:r>
              <w:rPr>
                <w:rFonts w:ascii="Aptos" w:hAnsi="Aptos"/>
                <w:sz w:val="14"/>
              </w:rPr>
              <w:t>Appeal track active.</w:t>
            </w:r>
          </w:p>
        </w:tc>
      </w:tr>
    </w:tbl>
    <w:p>
      <w:pPr>
        <w:pStyle w:val="Heading1"/>
      </w:pPr>
      <w:r>
        <w:t>8. Required jurisdiction-configuration fields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168"/>
            <w:shd w:fill="17365D"/>
            <w:tcMar>
              <w:top w:w="70" w:type="dxa"/>
              <w:start w:w="80" w:type="dxa"/>
              <w:bottom w:w="70" w:type="dxa"/>
              <w:end w:w="80" w:type="dxa"/>
            </w:tcMar>
          </w:tcPr>
          <w:p>
            <w:pPr>
              <w:spacing w:after="0"/>
              <w:jc w:val="left"/>
            </w:pPr>
            <w:r>
              <w:rPr>
                <w:b/>
                <w:color w:val="FFFFFF"/>
                <w:sz w:val="15"/>
              </w:rPr>
              <w:t>Field</w:t>
            </w:r>
          </w:p>
        </w:tc>
        <w:tc>
          <w:tcPr>
            <w:tcW w:type="dxa" w:w="3240"/>
            <w:shd w:fill="17365D"/>
            <w:tcMar>
              <w:top w:w="70" w:type="dxa"/>
              <w:start w:w="80" w:type="dxa"/>
              <w:bottom w:w="70" w:type="dxa"/>
              <w:end w:w="80" w:type="dxa"/>
            </w:tcMar>
          </w:tcPr>
          <w:p>
            <w:pPr>
              <w:spacing w:after="0"/>
              <w:jc w:val="left"/>
            </w:pPr>
            <w:r>
              <w:rPr>
                <w:b/>
                <w:color w:val="FFFFFF"/>
                <w:sz w:val="15"/>
              </w:rPr>
              <w:t>State-supplied default</w:t>
            </w:r>
          </w:p>
        </w:tc>
        <w:tc>
          <w:tcPr>
            <w:tcW w:type="dxa" w:w="4248"/>
            <w:shd w:fill="17365D"/>
            <w:tcMar>
              <w:top w:w="70" w:type="dxa"/>
              <w:start w:w="80" w:type="dxa"/>
              <w:bottom w:w="70" w:type="dxa"/>
              <w:end w:w="80" w:type="dxa"/>
            </w:tcMar>
          </w:tcPr>
          <w:p>
            <w:pPr>
              <w:spacing w:after="0"/>
              <w:jc w:val="left"/>
            </w:pPr>
            <w:r>
              <w:rPr>
                <w:b/>
                <w:color w:val="FFFFFF"/>
                <w:sz w:val="15"/>
              </w:rPr>
              <w:t>City configuration needed</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Business calendar / receipt</w:t>
            </w:r>
          </w:p>
        </w:tc>
        <w:tc>
          <w:tcPr>
            <w:tcW w:type="dxa" w:w="3240"/>
            <w:tcMar>
              <w:top w:w="70" w:type="dxa"/>
              <w:start w:w="80" w:type="dxa"/>
              <w:bottom w:w="70" w:type="dxa"/>
              <w:end w:w="80" w:type="dxa"/>
            </w:tcMar>
            <w:vAlign w:val="top"/>
          </w:tcPr>
          <w:p>
            <w:pPr>
              <w:spacing w:after="0" w:line="240" w:lineRule="auto"/>
            </w:pPr>
            <w:r>
              <w:rPr>
                <w:rFonts w:ascii="Aptos" w:hAnsi="Aptos"/>
                <w:sz w:val="15"/>
              </w:rPr>
              <w:t>Five business days; starts day after AORO receipt.</w:t>
            </w:r>
          </w:p>
        </w:tc>
        <w:tc>
          <w:tcPr>
            <w:tcW w:type="dxa" w:w="4248"/>
            <w:tcMar>
              <w:top w:w="70" w:type="dxa"/>
              <w:start w:w="80" w:type="dxa"/>
              <w:bottom w:w="70" w:type="dxa"/>
              <w:end w:w="80" w:type="dxa"/>
            </w:tcMar>
            <w:vAlign w:val="top"/>
          </w:tcPr>
          <w:p>
            <w:pPr>
              <w:spacing w:after="0" w:line="240" w:lineRule="auto"/>
            </w:pPr>
            <w:r>
              <w:rPr>
                <w:rFonts w:ascii="Aptos" w:hAnsi="Aptos"/>
                <w:sz w:val="15"/>
              </w:rPr>
              <w:t>Holidays, business hours, routing to AORO.</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§902 reason catalog</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State-supplied grounds.</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Evidence fields, approver, standard explanations.</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Extension date</w:t>
            </w:r>
          </w:p>
        </w:tc>
        <w:tc>
          <w:tcPr>
            <w:tcW w:type="dxa" w:w="3240"/>
            <w:tcMar>
              <w:top w:w="70" w:type="dxa"/>
              <w:start w:w="80" w:type="dxa"/>
              <w:bottom w:w="70" w:type="dxa"/>
              <w:end w:w="80" w:type="dxa"/>
            </w:tcMar>
            <w:vAlign w:val="top"/>
          </w:tcPr>
          <w:p>
            <w:pPr>
              <w:spacing w:after="0" w:line="240" w:lineRule="auto"/>
            </w:pPr>
            <w:r>
              <w:rPr>
                <w:rFonts w:ascii="Aptos" w:hAnsi="Aptos"/>
                <w:sz w:val="15"/>
              </w:rPr>
              <w:t>Max 30 calendar days after initial period absent consent.</w:t>
            </w:r>
          </w:p>
        </w:tc>
        <w:tc>
          <w:tcPr>
            <w:tcW w:type="dxa" w:w="4248"/>
            <w:tcMar>
              <w:top w:w="70" w:type="dxa"/>
              <w:start w:w="80" w:type="dxa"/>
              <w:bottom w:w="70" w:type="dxa"/>
              <w:end w:w="80" w:type="dxa"/>
            </w:tcMar>
            <w:vAlign w:val="top"/>
          </w:tcPr>
          <w:p>
            <w:pPr>
              <w:spacing w:after="0" w:line="240" w:lineRule="auto"/>
            </w:pPr>
            <w:r>
              <w:rPr>
                <w:rFonts w:ascii="Aptos" w:hAnsi="Aptos"/>
                <w:sz w:val="15"/>
              </w:rPr>
              <w:t>Method for setting reasonable date; consent capture.</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Specificity review</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“Sufficient specificity” qualitative standard.</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Local checklist and legal review threshold.</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Fee schedule</w:t>
            </w:r>
          </w:p>
        </w:tc>
        <w:tc>
          <w:tcPr>
            <w:tcW w:type="dxa" w:w="3240"/>
            <w:tcMar>
              <w:top w:w="70" w:type="dxa"/>
              <w:start w:w="80" w:type="dxa"/>
              <w:bottom w:w="70" w:type="dxa"/>
              <w:end w:w="80" w:type="dxa"/>
            </w:tcMar>
            <w:vAlign w:val="top"/>
          </w:tcPr>
          <w:p>
            <w:pPr>
              <w:spacing w:after="0" w:line="240" w:lineRule="auto"/>
            </w:pPr>
            <w:r>
              <w:rPr>
                <w:rFonts w:ascii="Aptos" w:hAnsi="Aptos"/>
                <w:sz w:val="15"/>
              </w:rPr>
              <w:t>OOR schedule; &gt;$100 prepayment authority.</w:t>
            </w:r>
          </w:p>
        </w:tc>
        <w:tc>
          <w:tcPr>
            <w:tcW w:type="dxa" w:w="4248"/>
            <w:tcMar>
              <w:top w:w="70" w:type="dxa"/>
              <w:start w:w="80" w:type="dxa"/>
              <w:bottom w:w="70" w:type="dxa"/>
              <w:end w:w="80" w:type="dxa"/>
            </w:tcMar>
            <w:vAlign w:val="top"/>
          </w:tcPr>
          <w:p>
            <w:pPr>
              <w:spacing w:after="0" w:line="240" w:lineRule="auto"/>
            </w:pPr>
            <w:r>
              <w:rPr>
                <w:rFonts w:ascii="Aptos" w:hAnsi="Aptos"/>
                <w:sz w:val="15"/>
              </w:rPr>
              <w:t>Current rates, whether prepayment required, payment deadline.</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Operational classes</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No legal simple/complex class.</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Internal labels/targets only.</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Denial templates</w:t>
            </w:r>
          </w:p>
        </w:tc>
        <w:tc>
          <w:tcPr>
            <w:tcW w:type="dxa" w:w="3240"/>
            <w:tcMar>
              <w:top w:w="70" w:type="dxa"/>
              <w:start w:w="80" w:type="dxa"/>
              <w:bottom w:w="70" w:type="dxa"/>
              <w:end w:w="80" w:type="dxa"/>
            </w:tcMar>
            <w:vAlign w:val="top"/>
          </w:tcPr>
          <w:p>
            <w:pPr>
              <w:spacing w:after="0" w:line="240" w:lineRule="auto"/>
            </w:pPr>
            <w:r>
              <w:rPr>
                <w:rFonts w:ascii="Aptos" w:hAnsi="Aptos"/>
                <w:sz w:val="15"/>
              </w:rPr>
              <w:t>§903 content mandatory.</w:t>
            </w:r>
          </w:p>
        </w:tc>
        <w:tc>
          <w:tcPr>
            <w:tcW w:type="dxa" w:w="4248"/>
            <w:tcMar>
              <w:top w:w="70" w:type="dxa"/>
              <w:start w:w="80" w:type="dxa"/>
              <w:bottom w:w="70" w:type="dxa"/>
              <w:end w:w="80" w:type="dxa"/>
            </w:tcMar>
            <w:vAlign w:val="top"/>
          </w:tcPr>
          <w:p>
            <w:pPr>
              <w:spacing w:after="0" w:line="240" w:lineRule="auto"/>
            </w:pPr>
            <w:r>
              <w:rPr>
                <w:rFonts w:ascii="Aptos" w:hAnsi="Aptos"/>
                <w:sz w:val="15"/>
              </w:rPr>
              <w:t>Signatory identity, electronic signature, appeal contact.</w:t>
            </w:r>
          </w:p>
        </w:tc>
      </w:tr>
    </w:tbl>
    <w:p>
      <w:pPr>
        <w:pStyle w:val="Heading1"/>
      </w:pPr>
      <w:r>
        <w:t>9. Suggested workflow states for this jurisdiction</w:t>
      </w:r>
    </w:p>
    <w:p>
      <w:pPr>
        <w:spacing w:after="40"/>
      </w:pPr>
      <w:r>
        <w:rPr>
          <w:b/>
          <w:sz w:val="17"/>
        </w:rPr>
        <w:t>Received by AORO</w:t>
      </w:r>
      <w:r>
        <w:t xml:space="preserve">  →  </w:t>
      </w:r>
      <w:r>
        <w:rPr>
          <w:b w:val="0"/>
          <w:sz w:val="17"/>
        </w:rPr>
        <w:t>Five-Day Review</w:t>
      </w:r>
      <w:r>
        <w:t xml:space="preserve">  →  </w:t>
      </w:r>
      <w:r>
        <w:rPr>
          <w:b w:val="0"/>
          <w:sz w:val="17"/>
        </w:rPr>
        <w:t>Grant / Deny / §902 Extension</w:t>
      </w:r>
      <w:r>
        <w:t xml:space="preserve">  →  </w:t>
      </w:r>
      <w:r>
        <w:rPr>
          <w:b w:val="0"/>
          <w:sz w:val="17"/>
        </w:rPr>
        <w:t>Search &amp; Redaction</w:t>
      </w:r>
      <w:r>
        <w:t xml:space="preserve">  →  </w:t>
      </w:r>
      <w:r>
        <w:rPr>
          <w:b w:val="0"/>
          <w:sz w:val="17"/>
        </w:rPr>
        <w:t>Prepayment Pending</w:t>
      </w:r>
      <w:r>
        <w:t xml:space="preserve">  →  </w:t>
      </w:r>
      <w:r>
        <w:rPr>
          <w:b w:val="0"/>
          <w:sz w:val="17"/>
        </w:rPr>
        <w:t>Final Response</w:t>
      </w:r>
      <w:r>
        <w:t xml:space="preserve">  →  </w:t>
      </w:r>
      <w:r>
        <w:rPr>
          <w:b w:val="0"/>
          <w:sz w:val="17"/>
        </w:rPr>
        <w:t>OOR Appeal / Closed</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Implementation boundary: </w:t>
            </w:r>
            <w:r>
              <w:t>Automate five-day and extension-limit controls, required notice fields, estimates, and deemed-denial alerts. Humans decide specificity, exemption application, reasonable date, and whether an extension ground is genuinely present.</w:t>
            </w:r>
          </w:p>
        </w:tc>
      </w:tr>
    </w:tbl>
    <w:p>
      <w:pPr>
        <w:pStyle w:val="Heading1"/>
      </w:pPr>
      <w:r>
        <w:t>10. Confidence and unresolved local-policy questions</w:t>
      </w:r>
    </w:p>
    <w:p>
      <w:pPr>
        <w:pStyle w:val="CompactList"/>
      </w:pPr>
      <w:r>
        <w:rPr>
          <w:b/>
        </w:rPr>
        <w:t xml:space="preserve">• </w:t>
      </w:r>
      <w:r>
        <w:t>High confidence in the five-business-day response, §902 notice elements, 30-day extension limit, deemed denial, and $100 prepayment authority.</w:t>
      </w:r>
    </w:p>
    <w:p>
      <w:pPr>
        <w:pStyle w:val="CompactList"/>
      </w:pPr>
      <w:r>
        <w:rPr>
          <w:b/>
        </w:rPr>
        <w:t xml:space="preserve">• </w:t>
      </w:r>
      <w:r>
        <w:t>Specificity is fact-sensitive and should remain a human decision supported by a checklist.</w:t>
      </w:r>
    </w:p>
    <w:p>
      <w:pPr>
        <w:pStyle w:val="CompactList"/>
      </w:pPr>
      <w:r>
        <w:rPr>
          <w:b/>
        </w:rPr>
        <w:t xml:space="preserve">• </w:t>
      </w:r>
      <w:r>
        <w:t>Use the current OOR fee schedule and local RTKL policy at deployment; agency-specific practices cannot enlarge fee authority.</w:t>
      </w:r>
    </w:p>
    <w:p>
      <w:pPr>
        <w:pStyle w:val="Heading1"/>
      </w:pPr>
      <w:r>
        <w:t>Primary authorities and official resources</w:t>
      </w:r>
    </w:p>
    <w:p>
      <w:pPr>
        <w:pStyle w:val="CompactList"/>
      </w:pPr>
      <w:r>
        <w:rPr>
          <w:b/>
        </w:rPr>
        <w:t xml:space="preserve">• Pennsylvania Right-to-Know Law, official OOR copy: </w:t>
      </w:r>
      <w:hyperlink r:id="rId11">
        <w:r>
          <w:rPr>
            <w:color w:val="0563C1"/>
            <w:u w:val="single"/>
          </w:rPr>
          <w:t>https://www.openrecords.pa.gov/Documents/RTKL/PA_Right-To-Know_Law.pdf</w:t>
        </w:r>
      </w:hyperlink>
    </w:p>
    <w:p>
      <w:pPr>
        <w:pStyle w:val="CompactList"/>
      </w:pPr>
      <w:r>
        <w:rPr>
          <w:b/>
        </w:rPr>
        <w:t xml:space="preserve">• Pennsylvania Office of Open Records, Citizens Guide: </w:t>
      </w:r>
      <w:hyperlink r:id="rId12">
        <w:r>
          <w:rPr>
            <w:color w:val="0563C1"/>
            <w:u w:val="single"/>
          </w:rPr>
          <w:t>https://www.openrecords.pa.gov/Documents/RTKL/CitizensGuide.pdf</w:t>
        </w:r>
      </w:hyperlink>
    </w:p>
    <w:p>
      <w:pPr>
        <w:pStyle w:val="CompactList"/>
      </w:pPr>
      <w:r>
        <w:rPr>
          <w:b/>
        </w:rPr>
        <w:t xml:space="preserve">• Pennsylvania Office of Open Records, Official Fee Structure: </w:t>
      </w:r>
      <w:hyperlink r:id="rId13">
        <w:r>
          <w:rPr>
            <w:color w:val="0563C1"/>
            <w:u w:val="single"/>
          </w:rPr>
          <w:t>https://www.openrecords.pa.gov/RTKL/FeeStructure.cfm</w:t>
        </w:r>
      </w:hyperlink>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Legal-use caution: </w:t>
            </w:r>
            <w:r>
              <w:t>This is implementation-oriented legal research, not legal advice. Before production deployment, the city should validate the configuration against current statutes, regulations, controlling decisions, Attorney General or oversight guidance, and the city's adopted fee and records policies.</w:t>
            </w:r>
          </w:p>
        </w:tc>
      </w:tr>
    </w:tbl>
    <w:sectPr w:rsidR="00FC693F" w:rsidRPr="0006063C" w:rsidSect="00034616">
      <w:headerReference w:type="default" r:id="rId9"/>
      <w:footerReference w:type="default" r:id="rId10"/>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 xml:space="preserve">Research and software-configuration analysis | Accessed July 22,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5"/>
      </w:rPr>
      <w:t>National Open Records Workflow Schema Pilot | 04 Pennsylvania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List">
    <w:name w:val="Compact List"/>
    <w:pPr>
      <w:spacing w:after="30"/>
      <w:ind w:left="259" w:hanging="187"/>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openrecords.pa.gov/Documents/RTKL/PA_Right-To-Know_Law.pdf" TargetMode="External"/><Relationship Id="rId12" Type="http://schemas.openxmlformats.org/officeDocument/2006/relationships/hyperlink" Target="https://www.openrecords.pa.gov/Documents/RTKL/CitizensGuide.pdf" TargetMode="External"/><Relationship Id="rId13" Type="http://schemas.openxmlformats.org/officeDocument/2006/relationships/hyperlink" Target="https://www.openrecords.pa.gov/RTKL/FeeStructure.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