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7365D"/>
          <w:sz w:val="52"/>
        </w:rPr>
        <w:t>Florida</w:t>
        <w:br/>
      </w:r>
      <w:r>
        <w:rPr>
          <w:color w:val="17365D"/>
          <w:sz w:val="34"/>
        </w:rPr>
        <w:t>Initial Public-Records Processing Workflow</w:t>
        <w:br/>
        <w:t>and Software Configuration Analysis</w:t>
      </w:r>
    </w:p>
    <w:p>
      <w:pPr>
        <w:jc w:val="center"/>
      </w:pPr>
      <w:r>
        <w:rPr>
          <w:i/>
          <w:color w:val="5A5A5A"/>
          <w:sz w:val="18"/>
        </w:rPr>
        <w:t>Pilot State 05 of 10 | City / municipal applicability | Research accessed July 22, 2026</w:t>
      </w:r>
    </w:p>
    <w:tbl>
      <w:tblPr>
        <w:tblW w:type="auto" w:w="0"/>
        <w:jc w:val="center"/>
        <w:tblLayout w:type="fixed"/>
        <w:tblLook w:firstColumn="1" w:firstRow="1" w:lastColumn="0" w:lastRow="0" w:noHBand="0" w:noVBand="1" w:val="04A0"/>
      </w:tblPr>
      <w:tblGrid>
        <w:gridCol w:w="10454"/>
      </w:tblGrid>
      <w:tr>
        <w:tc>
          <w:tcPr>
            <w:tcW w:type="dxa" w:w="10152"/>
            <w:shd w:fill="F3F6F9"/>
            <w:tcMar>
              <w:top w:w="90" w:type="dxa"/>
              <w:start w:w="120" w:type="dxa"/>
              <w:bottom w:w="90" w:type="dxa"/>
              <w:end w:w="120" w:type="dxa"/>
            </w:tcMar>
          </w:tcPr>
          <w:p>
            <w:pPr>
              <w:spacing w:after="0"/>
            </w:pPr>
            <w:r>
              <w:rPr>
                <w:b/>
                <w:color w:val="17365D"/>
              </w:rPr>
              <w:t xml:space="preserve">Scope: </w:t>
            </w:r>
            <w:r>
              <w:t>Florida Constitution article I, section 24 and chapter 119, Florida Statutes, apply to municipal records. Florida does not require a request to be written, but this analysis models a written city request.</w:t>
            </w:r>
          </w:p>
        </w:tc>
      </w:tr>
    </w:tbl>
    <w:tbl>
      <w:tblPr>
        <w:tblW w:type="auto" w:w="0"/>
        <w:jc w:val="center"/>
        <w:tblLayout w:type="fixed"/>
        <w:tblLook w:firstColumn="1" w:firstRow="1" w:lastColumn="0" w:lastRow="0" w:noHBand="0" w:noVBand="1" w:val="04A0"/>
      </w:tblPr>
      <w:tblGrid>
        <w:gridCol w:w="10454"/>
      </w:tblGrid>
      <w:tr>
        <w:tc>
          <w:tcPr>
            <w:tcW w:type="dxa" w:w="10152"/>
            <w:shd w:fill="F3F6F9"/>
            <w:tcMar>
              <w:top w:w="90" w:type="dxa"/>
              <w:start w:w="120" w:type="dxa"/>
              <w:bottom w:w="90" w:type="dxa"/>
              <w:end w:w="120" w:type="dxa"/>
            </w:tcMar>
          </w:tcPr>
          <w:p>
            <w:pPr>
              <w:spacing w:after="0"/>
            </w:pPr>
            <w:r>
              <w:rPr>
                <w:b/>
                <w:color w:val="17365D"/>
              </w:rPr>
              <w:t xml:space="preserve">Method: </w:t>
            </w:r>
            <w:r>
              <w:t>The same fixed method is used for all ten states. Each rule is separated into trigger, condition, action, communication, deadline, clock effect, and configuration source. A qualitative term such as 'prompt' or 'reasonable' is preserved as law and paired with a local-policy configuration field; no numeric value is invented.</w:t>
            </w:r>
          </w:p>
        </w:tc>
      </w:tr>
    </w:tbl>
    <w:p>
      <w:pPr>
        <w:pStyle w:val="Heading1"/>
      </w:pPr>
      <w:r>
        <w:t>Executive conclusions</w:t>
      </w:r>
    </w:p>
    <w:p>
      <w:pPr>
        <w:pStyle w:val="CompactList"/>
      </w:pPr>
      <w:r>
        <w:rPr>
          <w:b/>
        </w:rPr>
        <w:t xml:space="preserve">• </w:t>
      </w:r>
      <w:r>
        <w:t>Florida requires prompt acknowledgment and a good-faith response but does not establish a statewide fixed number of days for acknowledgment, determination, or production.</w:t>
      </w:r>
    </w:p>
    <w:p>
      <w:pPr>
        <w:pStyle w:val="CompactList"/>
      </w:pPr>
      <w:r>
        <w:rPr>
          <w:b/>
        </w:rPr>
        <w:t xml:space="preserve">• </w:t>
      </w:r>
      <w:r>
        <w:t>A good-faith response includes reasonable efforts to determine whether the record exists and where it can be accessed. Delay is allowed only for the reasonable time needed to retrieve, review, and redact.</w:t>
      </w:r>
    </w:p>
    <w:p>
      <w:pPr>
        <w:pStyle w:val="CompactList"/>
      </w:pPr>
      <w:r>
        <w:rPr>
          <w:b/>
        </w:rPr>
        <w:t xml:space="preserve">• </w:t>
      </w:r>
      <w:r>
        <w:t>If an exemption applies, the custodian must state the basis and statutory citation; on request, the reasons must be provided in writing and with particularity. Nonexempt portions must be produced.</w:t>
      </w:r>
    </w:p>
    <w:p>
      <w:pPr>
        <w:pStyle w:val="CompactList"/>
      </w:pPr>
      <w:r>
        <w:rPr>
          <w:b/>
        </w:rPr>
        <w:t xml:space="preserve">• </w:t>
      </w:r>
      <w:r>
        <w:t>Florida has no statewide simple/complex classification. “Extensive use” is a fee trigger, not a deadline classification.</w:t>
      </w:r>
    </w:p>
    <w:p>
      <w:pPr>
        <w:pStyle w:val="CompactList"/>
      </w:pPr>
      <w:r>
        <w:rPr>
          <w:b/>
        </w:rPr>
        <w:t xml:space="preserve">• </w:t>
      </w:r>
      <w:r>
        <w:t>Actual duplication costs may be charged. A reasonable special service charge is allowed for extensive IT use or extensive clerical/supervisory assistance, but statewide law does not define a universal minute threshold, estimate threshold, or deposit percentage.</w:t>
      </w:r>
    </w:p>
    <w:p>
      <w:pPr>
        <w:pStyle w:val="Heading2"/>
      </w:pPr>
      <w:r>
        <w:t>Configuration-source legend</w:t>
      </w:r>
    </w:p>
    <w:tbl>
      <w:tblPr>
        <w:tblStyle w:val="TableGrid"/>
        <w:tblW w:type="auto" w:w="0"/>
        <w:jc w:val="center"/>
        <w:tblLayout w:type="fixed"/>
        <w:tblLook w:firstColumn="1" w:firstRow="1" w:lastColumn="0" w:lastRow="0" w:noHBand="0" w:noVBand="1" w:val="04A0"/>
      </w:tblPr>
      <w:tblGrid>
        <w:gridCol w:w="5227"/>
        <w:gridCol w:w="5227"/>
      </w:tblGrid>
      <w:tr>
        <w:trPr>
          <w:tblHeader w:val="true"/>
          <w:cantSplit/>
        </w:trPr>
        <w:tc>
          <w:tcPr>
            <w:tcW w:type="dxa" w:w="2088"/>
            <w:shd w:fill="17365D"/>
            <w:tcMar>
              <w:top w:w="70" w:type="dxa"/>
              <w:start w:w="80" w:type="dxa"/>
              <w:bottom w:w="70" w:type="dxa"/>
              <w:end w:w="80" w:type="dxa"/>
            </w:tcMar>
          </w:tcPr>
          <w:p>
            <w:pPr>
              <w:spacing w:after="0"/>
              <w:jc w:val="left"/>
            </w:pPr>
            <w:r>
              <w:rPr>
                <w:b/>
                <w:color w:val="FFFFFF"/>
                <w:sz w:val="16"/>
              </w:rPr>
              <w:t>Source type</w:t>
            </w:r>
          </w:p>
        </w:tc>
        <w:tc>
          <w:tcPr>
            <w:tcW w:type="dxa" w:w="8063"/>
            <w:shd w:fill="17365D"/>
            <w:tcMar>
              <w:top w:w="70" w:type="dxa"/>
              <w:start w:w="80" w:type="dxa"/>
              <w:bottom w:w="70" w:type="dxa"/>
              <w:end w:w="80" w:type="dxa"/>
            </w:tcMar>
          </w:tcPr>
          <w:p>
            <w:pPr>
              <w:spacing w:after="0"/>
              <w:jc w:val="left"/>
            </w:pPr>
            <w:r>
              <w:rPr>
                <w:b/>
                <w:color w:val="FFFFFF"/>
                <w:sz w:val="16"/>
              </w:rPr>
              <w:t>Meaning</w:t>
            </w:r>
          </w:p>
        </w:tc>
      </w:tr>
      <w:tr>
        <w:trPr>
          <w:cantSplit/>
        </w:trPr>
        <w:tc>
          <w:tcPr>
            <w:tcW w:type="dxa" w:w="2088"/>
            <w:tcMar>
              <w:top w:w="70" w:type="dxa"/>
              <w:start w:w="80" w:type="dxa"/>
              <w:bottom w:w="70" w:type="dxa"/>
              <w:end w:w="80" w:type="dxa"/>
            </w:tcMar>
            <w:vAlign w:val="top"/>
          </w:tcPr>
          <w:p>
            <w:pPr>
              <w:spacing w:after="0" w:line="240" w:lineRule="auto"/>
            </w:pPr>
            <w:r>
              <w:rPr>
                <w:rFonts w:ascii="Aptos" w:hAnsi="Aptos"/>
                <w:sz w:val="16"/>
              </w:rPr>
              <w:t>Statutory / statewide</w:t>
            </w:r>
          </w:p>
        </w:tc>
        <w:tc>
          <w:tcPr>
            <w:tcW w:type="dxa" w:w="8063"/>
            <w:tcMar>
              <w:top w:w="70" w:type="dxa"/>
              <w:start w:w="80" w:type="dxa"/>
              <w:bottom w:w="70" w:type="dxa"/>
              <w:end w:w="80" w:type="dxa"/>
            </w:tcMar>
            <w:vAlign w:val="top"/>
          </w:tcPr>
          <w:p>
            <w:pPr>
              <w:spacing w:after="0" w:line="240" w:lineRule="auto"/>
            </w:pPr>
            <w:r>
              <w:rPr>
                <w:rFonts w:ascii="Aptos" w:hAnsi="Aptos"/>
                <w:sz w:val="16"/>
              </w:rPr>
              <w:t>A value or rule supplied by binding statewide law or generally applicable regulation.</w:t>
            </w:r>
          </w:p>
        </w:tc>
      </w:tr>
      <w:tr>
        <w:trPr>
          <w:cantSplit/>
        </w:trPr>
        <w:tc>
          <w:tcPr>
            <w:tcW w:type="dxa" w:w="2088"/>
            <w:shd w:fill="FAFCFE"/>
            <w:tcMar>
              <w:top w:w="70" w:type="dxa"/>
              <w:start w:w="80" w:type="dxa"/>
              <w:bottom w:w="70" w:type="dxa"/>
              <w:end w:w="80" w:type="dxa"/>
            </w:tcMar>
            <w:vAlign w:val="top"/>
          </w:tcPr>
          <w:p>
            <w:pPr>
              <w:spacing w:after="0" w:line="240" w:lineRule="auto"/>
            </w:pPr>
            <w:r>
              <w:rPr>
                <w:rFonts w:ascii="Aptos" w:hAnsi="Aptos"/>
                <w:sz w:val="16"/>
              </w:rPr>
              <w:t>Jurisdiction policy</w:t>
            </w:r>
          </w:p>
        </w:tc>
        <w:tc>
          <w:tcPr>
            <w:tcW w:type="dxa" w:w="8063"/>
            <w:shd w:fill="FAFCFE"/>
            <w:tcMar>
              <w:top w:w="70" w:type="dxa"/>
              <w:start w:w="80" w:type="dxa"/>
              <w:bottom w:w="70" w:type="dxa"/>
              <w:end w:w="80" w:type="dxa"/>
            </w:tcMar>
            <w:vAlign w:val="top"/>
          </w:tcPr>
          <w:p>
            <w:pPr>
              <w:spacing w:after="0" w:line="240" w:lineRule="auto"/>
            </w:pPr>
            <w:r>
              <w:rPr>
                <w:rFonts w:ascii="Aptos" w:hAnsi="Aptos"/>
                <w:sz w:val="16"/>
              </w:rPr>
              <w:t>The state leaves a number, standard, workflow choice, rate, or notice practice to the city.</w:t>
            </w:r>
          </w:p>
        </w:tc>
      </w:tr>
      <w:tr>
        <w:trPr>
          <w:cantSplit/>
        </w:trPr>
        <w:tc>
          <w:tcPr>
            <w:tcW w:type="dxa" w:w="2088"/>
            <w:tcMar>
              <w:top w:w="70" w:type="dxa"/>
              <w:start w:w="80" w:type="dxa"/>
              <w:bottom w:w="70" w:type="dxa"/>
              <w:end w:w="80" w:type="dxa"/>
            </w:tcMar>
            <w:vAlign w:val="top"/>
          </w:tcPr>
          <w:p>
            <w:pPr>
              <w:spacing w:after="0" w:line="240" w:lineRule="auto"/>
            </w:pPr>
            <w:r>
              <w:rPr>
                <w:rFonts w:ascii="Aptos" w:hAnsi="Aptos"/>
                <w:sz w:val="16"/>
              </w:rPr>
              <w:t>Operational</w:t>
            </w:r>
          </w:p>
        </w:tc>
        <w:tc>
          <w:tcPr>
            <w:tcW w:type="dxa" w:w="8063"/>
            <w:tcMar>
              <w:top w:w="70" w:type="dxa"/>
              <w:start w:w="80" w:type="dxa"/>
              <w:bottom w:w="70" w:type="dxa"/>
              <w:end w:w="80" w:type="dxa"/>
            </w:tcMar>
            <w:vAlign w:val="top"/>
          </w:tcPr>
          <w:p>
            <w:pPr>
              <w:spacing w:after="0" w:line="240" w:lineRule="auto"/>
            </w:pPr>
            <w:r>
              <w:rPr>
                <w:rFonts w:ascii="Aptos" w:hAnsi="Aptos"/>
                <w:sz w:val="16"/>
              </w:rPr>
              <w:t>A workload-management choice that does not itself alter legal rights or deadlines.</w:t>
            </w:r>
          </w:p>
        </w:tc>
      </w:tr>
    </w:tbl>
    <w:p>
      <w:pPr>
        <w:pStyle w:val="Heading1"/>
      </w:pPr>
      <w:r>
        <w:t>1. Intake and initial legal review</w:t>
      </w:r>
    </w:p>
    <w:p>
      <w:pPr>
        <w:pStyle w:val="CompactList"/>
      </w:pPr>
      <w:r>
        <w:rPr>
          <w:b/>
        </w:rPr>
        <w:t xml:space="preserve">• </w:t>
      </w:r>
      <w:r>
        <w:t>Record receipt and promptly acknowledge even though no numeric statewide deadline exists.</w:t>
      </w:r>
    </w:p>
    <w:p>
      <w:pPr>
        <w:pStyle w:val="CompactList"/>
      </w:pPr>
      <w:r>
        <w:rPr>
          <w:b/>
        </w:rPr>
        <w:t xml:space="preserve">• </w:t>
      </w:r>
      <w:r>
        <w:t>Immediately identify custodians and make reasonable efforts across city officers/employees to determine whether responsive records exist and where they are located.</w:t>
      </w:r>
    </w:p>
    <w:p>
      <w:pPr>
        <w:pStyle w:val="CompactList"/>
      </w:pPr>
      <w:r>
        <w:rPr>
          <w:b/>
        </w:rPr>
        <w:t xml:space="preserve">• </w:t>
      </w:r>
      <w:r>
        <w:t>Determine whether inspection or copies are requested, whether exemptions/redaction apply, and whether the nature or volume may require extensive resources.</w:t>
      </w:r>
    </w:p>
    <w:p>
      <w:pPr>
        <w:pStyle w:val="CompactList"/>
      </w:pPr>
      <w:r>
        <w:rPr>
          <w:b/>
        </w:rPr>
        <w:t xml:space="preserve">• </w:t>
      </w:r>
      <w:r>
        <w:t>Do not delay merely to impose an administrative intake form; oral requests are valid under state law.</w:t>
      </w:r>
    </w:p>
    <w:p>
      <w:pPr>
        <w:pStyle w:val="Heading1"/>
      </w:pPr>
      <w:r>
        <w:t>2. Deadline and required-communication matrix</w:t>
      </w:r>
    </w:p>
    <w:tbl>
      <w:tblPr>
        <w:tblStyle w:val="TableGrid"/>
        <w:tblW w:type="auto" w:w="0"/>
        <w:jc w:val="center"/>
        <w:tblLayout w:type="fixed"/>
        <w:tblLook w:firstColumn="1" w:firstRow="1" w:lastColumn="0" w:lastRow="0" w:noHBand="0" w:noVBand="1" w:val="04A0"/>
      </w:tblPr>
      <w:tblGrid>
        <w:gridCol w:w="2613"/>
        <w:gridCol w:w="2613"/>
        <w:gridCol w:w="2613"/>
        <w:gridCol w:w="2613"/>
      </w:tblGrid>
      <w:tr>
        <w:trPr>
          <w:tblHeader w:val="true"/>
          <w:cantSplit/>
        </w:trPr>
        <w:tc>
          <w:tcPr>
            <w:tcW w:type="dxa" w:w="1872"/>
            <w:shd w:fill="17365D"/>
            <w:tcMar>
              <w:top w:w="70" w:type="dxa"/>
              <w:start w:w="80" w:type="dxa"/>
              <w:bottom w:w="70" w:type="dxa"/>
              <w:end w:w="80" w:type="dxa"/>
            </w:tcMar>
          </w:tcPr>
          <w:p>
            <w:pPr>
              <w:spacing w:after="0"/>
              <w:jc w:val="left"/>
            </w:pPr>
            <w:r>
              <w:rPr>
                <w:b/>
                <w:color w:val="FFFFFF"/>
                <w:sz w:val="15"/>
              </w:rPr>
              <w:t>Trigger / deadline</w:t>
            </w:r>
          </w:p>
        </w:tc>
        <w:tc>
          <w:tcPr>
            <w:tcW w:type="dxa" w:w="4752"/>
            <w:shd w:fill="17365D"/>
            <w:tcMar>
              <w:top w:w="70" w:type="dxa"/>
              <w:start w:w="80" w:type="dxa"/>
              <w:bottom w:w="70" w:type="dxa"/>
              <w:end w:w="80" w:type="dxa"/>
            </w:tcMar>
          </w:tcPr>
          <w:p>
            <w:pPr>
              <w:spacing w:after="0"/>
              <w:jc w:val="left"/>
            </w:pPr>
            <w:r>
              <w:rPr>
                <w:b/>
                <w:color w:val="FFFFFF"/>
                <w:sz w:val="15"/>
              </w:rPr>
              <w:t>Required outcome or communication</w:t>
            </w:r>
          </w:p>
        </w:tc>
        <w:tc>
          <w:tcPr>
            <w:tcW w:type="dxa" w:w="1655"/>
            <w:shd w:fill="17365D"/>
            <w:tcMar>
              <w:top w:w="70" w:type="dxa"/>
              <w:start w:w="80" w:type="dxa"/>
              <w:bottom w:w="70" w:type="dxa"/>
              <w:end w:w="80" w:type="dxa"/>
            </w:tcMar>
          </w:tcPr>
          <w:p>
            <w:pPr>
              <w:spacing w:after="0"/>
              <w:jc w:val="left"/>
            </w:pPr>
            <w:r>
              <w:rPr>
                <w:b/>
                <w:color w:val="FFFFFF"/>
                <w:sz w:val="15"/>
              </w:rPr>
              <w:t>Clock effect</w:t>
            </w:r>
          </w:p>
        </w:tc>
        <w:tc>
          <w:tcPr>
            <w:tcW w:type="dxa" w:w="1872"/>
            <w:shd w:fill="17365D"/>
            <w:tcMar>
              <w:top w:w="70" w:type="dxa"/>
              <w:start w:w="80" w:type="dxa"/>
              <w:bottom w:w="70" w:type="dxa"/>
              <w:end w:w="80" w:type="dxa"/>
            </w:tcMar>
          </w:tcPr>
          <w:p>
            <w:pPr>
              <w:spacing w:after="0"/>
              <w:jc w:val="left"/>
            </w:pPr>
            <w:r>
              <w:rPr>
                <w:b/>
                <w:color w:val="FFFFFF"/>
                <w:sz w:val="15"/>
              </w:rPr>
              <w:t>Source</w:t>
            </w:r>
          </w:p>
        </w:tc>
      </w:tr>
      <w:tr>
        <w:trPr>
          <w:cantSplit/>
        </w:trPr>
        <w:tc>
          <w:tcPr>
            <w:tcW w:type="dxa" w:w="1872"/>
            <w:tcMar>
              <w:top w:w="70" w:type="dxa"/>
              <w:start w:w="80" w:type="dxa"/>
              <w:bottom w:w="70" w:type="dxa"/>
              <w:end w:w="80" w:type="dxa"/>
            </w:tcMar>
            <w:vAlign w:val="top"/>
          </w:tcPr>
          <w:p>
            <w:pPr>
              <w:spacing w:after="0" w:line="240" w:lineRule="auto"/>
            </w:pPr>
            <w:r>
              <w:rPr>
                <w:rFonts w:ascii="Aptos" w:hAnsi="Aptos"/>
                <w:sz w:val="15"/>
              </w:rPr>
              <w:t>Promptly</w:t>
            </w:r>
          </w:p>
        </w:tc>
        <w:tc>
          <w:tcPr>
            <w:tcW w:type="dxa" w:w="4752"/>
            <w:tcMar>
              <w:top w:w="70" w:type="dxa"/>
              <w:start w:w="80" w:type="dxa"/>
              <w:bottom w:w="70" w:type="dxa"/>
              <w:end w:w="80" w:type="dxa"/>
            </w:tcMar>
            <w:vAlign w:val="top"/>
          </w:tcPr>
          <w:p>
            <w:pPr>
              <w:spacing w:after="0" w:line="240" w:lineRule="auto"/>
            </w:pPr>
            <w:r>
              <w:rPr>
                <w:rFonts w:ascii="Aptos" w:hAnsi="Aptos"/>
                <w:sz w:val="15"/>
              </w:rPr>
              <w:t>Acknowledge requests and respond in good faith.</w:t>
            </w:r>
          </w:p>
        </w:tc>
        <w:tc>
          <w:tcPr>
            <w:tcW w:type="dxa" w:w="1655"/>
            <w:tcMar>
              <w:top w:w="70" w:type="dxa"/>
              <w:start w:w="80" w:type="dxa"/>
              <w:bottom w:w="70" w:type="dxa"/>
              <w:end w:w="80" w:type="dxa"/>
            </w:tcMar>
            <w:vAlign w:val="top"/>
          </w:tcPr>
          <w:p>
            <w:pPr>
              <w:spacing w:after="0" w:line="240" w:lineRule="auto"/>
            </w:pPr>
            <w:r>
              <w:rPr>
                <w:rFonts w:ascii="Aptos" w:hAnsi="Aptos"/>
                <w:sz w:val="15"/>
              </w:rPr>
              <w:t>Qualitative active timer.</w:t>
            </w:r>
          </w:p>
        </w:tc>
        <w:tc>
          <w:tcPr>
            <w:tcW w:type="dxa" w:w="1872"/>
            <w:tcMar>
              <w:top w:w="70" w:type="dxa"/>
              <w:start w:w="80" w:type="dxa"/>
              <w:bottom w:w="70" w:type="dxa"/>
              <w:end w:w="80" w:type="dxa"/>
            </w:tcMar>
            <w:vAlign w:val="top"/>
          </w:tcPr>
          <w:p>
            <w:pPr>
              <w:spacing w:after="0" w:line="240" w:lineRule="auto"/>
            </w:pPr>
            <w:r>
              <w:rPr>
                <w:rFonts w:ascii="Aptos" w:hAnsi="Aptos"/>
                <w:sz w:val="15"/>
              </w:rPr>
              <w:t>Fla. Stat. §119.07(1)(c)</w:t>
            </w:r>
          </w:p>
        </w:tc>
      </w:tr>
      <w:tr>
        <w:trPr>
          <w:cantSplit/>
        </w:trPr>
        <w:tc>
          <w:tcPr>
            <w:tcW w:type="dxa" w:w="1872"/>
            <w:shd w:fill="FAFCFE"/>
            <w:tcMar>
              <w:top w:w="70" w:type="dxa"/>
              <w:start w:w="80" w:type="dxa"/>
              <w:bottom w:w="70" w:type="dxa"/>
              <w:end w:w="80" w:type="dxa"/>
            </w:tcMar>
            <w:vAlign w:val="top"/>
          </w:tcPr>
          <w:p>
            <w:pPr>
              <w:spacing w:after="0" w:line="240" w:lineRule="auto"/>
            </w:pPr>
            <w:r>
              <w:rPr>
                <w:rFonts w:ascii="Aptos" w:hAnsi="Aptos"/>
                <w:sz w:val="15"/>
              </w:rPr>
              <w:t>Reasonable time</w:t>
            </w:r>
          </w:p>
        </w:tc>
        <w:tc>
          <w:tcPr>
            <w:tcW w:type="dxa" w:w="4752"/>
            <w:shd w:fill="FAFCFE"/>
            <w:tcMar>
              <w:top w:w="70" w:type="dxa"/>
              <w:start w:w="80" w:type="dxa"/>
              <w:bottom w:w="70" w:type="dxa"/>
              <w:end w:w="80" w:type="dxa"/>
            </w:tcMar>
            <w:vAlign w:val="top"/>
          </w:tcPr>
          <w:p>
            <w:pPr>
              <w:spacing w:after="0" w:line="240" w:lineRule="auto"/>
            </w:pPr>
            <w:r>
              <w:rPr>
                <w:rFonts w:ascii="Aptos" w:hAnsi="Aptos"/>
                <w:sz w:val="15"/>
              </w:rPr>
              <w:t>Retrieve, review, redact, and make available without unjustified delay.</w:t>
            </w:r>
          </w:p>
        </w:tc>
        <w:tc>
          <w:tcPr>
            <w:tcW w:type="dxa" w:w="1655"/>
            <w:shd w:fill="FAFCFE"/>
            <w:tcMar>
              <w:top w:w="70" w:type="dxa"/>
              <w:start w:w="80" w:type="dxa"/>
              <w:bottom w:w="70" w:type="dxa"/>
              <w:end w:w="80" w:type="dxa"/>
            </w:tcMar>
            <w:vAlign w:val="top"/>
          </w:tcPr>
          <w:p>
            <w:pPr>
              <w:spacing w:after="0" w:line="240" w:lineRule="auto"/>
            </w:pPr>
            <w:r>
              <w:rPr>
                <w:rFonts w:ascii="Aptos" w:hAnsi="Aptos"/>
                <w:sz w:val="15"/>
              </w:rPr>
              <w:t>Local target may operationalize but not replace law.</w:t>
            </w:r>
          </w:p>
        </w:tc>
        <w:tc>
          <w:tcPr>
            <w:tcW w:type="dxa" w:w="1872"/>
            <w:shd w:fill="FAFCFE"/>
            <w:tcMar>
              <w:top w:w="70" w:type="dxa"/>
              <w:start w:w="80" w:type="dxa"/>
              <w:bottom w:w="70" w:type="dxa"/>
              <w:end w:w="80" w:type="dxa"/>
            </w:tcMar>
            <w:vAlign w:val="top"/>
          </w:tcPr>
          <w:p>
            <w:pPr>
              <w:spacing w:after="0" w:line="240" w:lineRule="auto"/>
            </w:pPr>
            <w:r>
              <w:rPr>
                <w:rFonts w:ascii="Aptos" w:hAnsi="Aptos"/>
                <w:sz w:val="15"/>
              </w:rPr>
              <w:t>Case law / AG guidance</w:t>
            </w:r>
          </w:p>
        </w:tc>
      </w:tr>
      <w:tr>
        <w:trPr>
          <w:cantSplit/>
        </w:trPr>
        <w:tc>
          <w:tcPr>
            <w:tcW w:type="dxa" w:w="1872"/>
            <w:tcMar>
              <w:top w:w="70" w:type="dxa"/>
              <w:start w:w="80" w:type="dxa"/>
              <w:bottom w:w="70" w:type="dxa"/>
              <w:end w:w="80" w:type="dxa"/>
            </w:tcMar>
            <w:vAlign w:val="top"/>
          </w:tcPr>
          <w:p>
            <w:pPr>
              <w:spacing w:after="0" w:line="240" w:lineRule="auto"/>
            </w:pPr>
            <w:r>
              <w:rPr>
                <w:rFonts w:ascii="Aptos" w:hAnsi="Aptos"/>
                <w:sz w:val="15"/>
              </w:rPr>
              <w:t>Exemption asserted</w:t>
            </w:r>
          </w:p>
        </w:tc>
        <w:tc>
          <w:tcPr>
            <w:tcW w:type="dxa" w:w="4752"/>
            <w:tcMar>
              <w:top w:w="70" w:type="dxa"/>
              <w:start w:w="80" w:type="dxa"/>
              <w:bottom w:w="70" w:type="dxa"/>
              <w:end w:w="80" w:type="dxa"/>
            </w:tcMar>
            <w:vAlign w:val="top"/>
          </w:tcPr>
          <w:p>
            <w:pPr>
              <w:spacing w:after="0" w:line="240" w:lineRule="auto"/>
            </w:pPr>
            <w:r>
              <w:rPr>
                <w:rFonts w:ascii="Aptos" w:hAnsi="Aptos"/>
                <w:sz w:val="15"/>
              </w:rPr>
              <w:t>State basis including statutory citation; if requested, give written particularized reasons.</w:t>
            </w:r>
          </w:p>
        </w:tc>
        <w:tc>
          <w:tcPr>
            <w:tcW w:type="dxa" w:w="1655"/>
            <w:tcMar>
              <w:top w:w="70" w:type="dxa"/>
              <w:start w:w="80" w:type="dxa"/>
              <w:bottom w:w="70" w:type="dxa"/>
              <w:end w:w="80" w:type="dxa"/>
            </w:tcMar>
            <w:vAlign w:val="top"/>
          </w:tcPr>
          <w:p>
            <w:pPr>
              <w:spacing w:after="0" w:line="240" w:lineRule="auto"/>
            </w:pPr>
            <w:r>
              <w:rPr>
                <w:rFonts w:ascii="Aptos" w:hAnsi="Aptos"/>
                <w:sz w:val="15"/>
              </w:rPr>
              <w:t>Withheld portion documented.</w:t>
            </w:r>
          </w:p>
        </w:tc>
        <w:tc>
          <w:tcPr>
            <w:tcW w:type="dxa" w:w="1872"/>
            <w:tcMar>
              <w:top w:w="70" w:type="dxa"/>
              <w:start w:w="80" w:type="dxa"/>
              <w:bottom w:w="70" w:type="dxa"/>
              <w:end w:w="80" w:type="dxa"/>
            </w:tcMar>
            <w:vAlign w:val="top"/>
          </w:tcPr>
          <w:p>
            <w:pPr>
              <w:spacing w:after="0" w:line="240" w:lineRule="auto"/>
            </w:pPr>
            <w:r>
              <w:rPr>
                <w:rFonts w:ascii="Aptos" w:hAnsi="Aptos"/>
                <w:sz w:val="15"/>
              </w:rPr>
              <w:t>§119.07(1)(e)-(f)</w:t>
            </w:r>
          </w:p>
        </w:tc>
      </w:tr>
      <w:tr>
        <w:trPr>
          <w:cantSplit/>
        </w:trPr>
        <w:tc>
          <w:tcPr>
            <w:tcW w:type="dxa" w:w="1872"/>
            <w:shd w:fill="FAFCFE"/>
            <w:tcMar>
              <w:top w:w="70" w:type="dxa"/>
              <w:start w:w="80" w:type="dxa"/>
              <w:bottom w:w="70" w:type="dxa"/>
              <w:end w:w="80" w:type="dxa"/>
            </w:tcMar>
            <w:vAlign w:val="top"/>
          </w:tcPr>
          <w:p>
            <w:pPr>
              <w:spacing w:after="0" w:line="240" w:lineRule="auto"/>
            </w:pPr>
            <w:r>
              <w:rPr>
                <w:rFonts w:ascii="Aptos" w:hAnsi="Aptos"/>
                <w:sz w:val="15"/>
              </w:rPr>
              <w:t>Partial exemption</w:t>
            </w:r>
          </w:p>
        </w:tc>
        <w:tc>
          <w:tcPr>
            <w:tcW w:type="dxa" w:w="4752"/>
            <w:shd w:fill="FAFCFE"/>
            <w:tcMar>
              <w:top w:w="70" w:type="dxa"/>
              <w:start w:w="80" w:type="dxa"/>
              <w:bottom w:w="70" w:type="dxa"/>
              <w:end w:w="80" w:type="dxa"/>
            </w:tcMar>
            <w:vAlign w:val="top"/>
          </w:tcPr>
          <w:p>
            <w:pPr>
              <w:spacing w:after="0" w:line="240" w:lineRule="auto"/>
            </w:pPr>
            <w:r>
              <w:rPr>
                <w:rFonts w:ascii="Aptos" w:hAnsi="Aptos"/>
                <w:sz w:val="15"/>
              </w:rPr>
              <w:t>Redact validly exempt portion and produce remainder.</w:t>
            </w:r>
          </w:p>
        </w:tc>
        <w:tc>
          <w:tcPr>
            <w:tcW w:type="dxa" w:w="1655"/>
            <w:shd w:fill="FAFCFE"/>
            <w:tcMar>
              <w:top w:w="70" w:type="dxa"/>
              <w:start w:w="80" w:type="dxa"/>
              <w:bottom w:w="70" w:type="dxa"/>
              <w:end w:w="80" w:type="dxa"/>
            </w:tcMar>
            <w:vAlign w:val="top"/>
          </w:tcPr>
          <w:p>
            <w:pPr>
              <w:spacing w:after="0" w:line="240" w:lineRule="auto"/>
            </w:pPr>
            <w:r>
              <w:rPr>
                <w:rFonts w:ascii="Aptos" w:hAnsi="Aptos"/>
                <w:sz w:val="15"/>
              </w:rPr>
              <w:t>Production continues for segregable material.</w:t>
            </w:r>
          </w:p>
        </w:tc>
        <w:tc>
          <w:tcPr>
            <w:tcW w:type="dxa" w:w="1872"/>
            <w:shd w:fill="FAFCFE"/>
            <w:tcMar>
              <w:top w:w="70" w:type="dxa"/>
              <w:start w:w="80" w:type="dxa"/>
              <w:bottom w:w="70" w:type="dxa"/>
              <w:end w:w="80" w:type="dxa"/>
            </w:tcMar>
            <w:vAlign w:val="top"/>
          </w:tcPr>
          <w:p>
            <w:pPr>
              <w:spacing w:after="0" w:line="240" w:lineRule="auto"/>
            </w:pPr>
            <w:r>
              <w:rPr>
                <w:rFonts w:ascii="Aptos" w:hAnsi="Aptos"/>
                <w:sz w:val="15"/>
              </w:rPr>
              <w:t>§119.07(1)(d)</w:t>
            </w:r>
          </w:p>
        </w:tc>
      </w:tr>
      <w:tr>
        <w:trPr>
          <w:cantSplit/>
        </w:trPr>
        <w:tc>
          <w:tcPr>
            <w:tcW w:type="dxa" w:w="1872"/>
            <w:tcMar>
              <w:top w:w="70" w:type="dxa"/>
              <w:start w:w="80" w:type="dxa"/>
              <w:bottom w:w="70" w:type="dxa"/>
              <w:end w:w="80" w:type="dxa"/>
            </w:tcMar>
            <w:vAlign w:val="top"/>
          </w:tcPr>
          <w:p>
            <w:pPr>
              <w:spacing w:after="0" w:line="240" w:lineRule="auto"/>
            </w:pPr>
            <w:r>
              <w:rPr>
                <w:rFonts w:ascii="Aptos" w:hAnsi="Aptos"/>
                <w:sz w:val="15"/>
              </w:rPr>
              <w:t>Copy delivery</w:t>
            </w:r>
          </w:p>
        </w:tc>
        <w:tc>
          <w:tcPr>
            <w:tcW w:type="dxa" w:w="4752"/>
            <w:tcMar>
              <w:top w:w="70" w:type="dxa"/>
              <w:start w:w="80" w:type="dxa"/>
              <w:bottom w:w="70" w:type="dxa"/>
              <w:end w:w="80" w:type="dxa"/>
            </w:tcMar>
            <w:vAlign w:val="top"/>
          </w:tcPr>
          <w:p>
            <w:pPr>
              <w:spacing w:after="0" w:line="240" w:lineRule="auto"/>
            </w:pPr>
            <w:r>
              <w:rPr>
                <w:rFonts w:ascii="Aptos" w:hAnsi="Aptos"/>
                <w:sz w:val="15"/>
              </w:rPr>
              <w:t>Furnish upon payment of authorized fee.</w:t>
            </w:r>
          </w:p>
        </w:tc>
        <w:tc>
          <w:tcPr>
            <w:tcW w:type="dxa" w:w="1655"/>
            <w:tcMar>
              <w:top w:w="70" w:type="dxa"/>
              <w:start w:w="80" w:type="dxa"/>
              <w:bottom w:w="70" w:type="dxa"/>
              <w:end w:w="80" w:type="dxa"/>
            </w:tcMar>
            <w:vAlign w:val="top"/>
          </w:tcPr>
          <w:p>
            <w:pPr>
              <w:spacing w:after="0" w:line="240" w:lineRule="auto"/>
            </w:pPr>
            <w:r>
              <w:rPr>
                <w:rFonts w:ascii="Aptos" w:hAnsi="Aptos"/>
                <w:sz w:val="15"/>
              </w:rPr>
              <w:t>Payment gate for copies.</w:t>
            </w:r>
          </w:p>
        </w:tc>
        <w:tc>
          <w:tcPr>
            <w:tcW w:type="dxa" w:w="1872"/>
            <w:tcMar>
              <w:top w:w="70" w:type="dxa"/>
              <w:start w:w="80" w:type="dxa"/>
              <w:bottom w:w="70" w:type="dxa"/>
              <w:end w:w="80" w:type="dxa"/>
            </w:tcMar>
            <w:vAlign w:val="top"/>
          </w:tcPr>
          <w:p>
            <w:pPr>
              <w:spacing w:after="0" w:line="240" w:lineRule="auto"/>
            </w:pPr>
            <w:r>
              <w:rPr>
                <w:rFonts w:ascii="Aptos" w:hAnsi="Aptos"/>
                <w:sz w:val="15"/>
              </w:rPr>
              <w:t>§119.07(4)</w:t>
            </w:r>
          </w:p>
        </w:tc>
      </w:tr>
    </w:tbl>
    <w:p>
      <w:pPr>
        <w:pStyle w:val="Heading1"/>
      </w:pPr>
      <w:r>
        <w:t>3. Vague, unclear, or overly broad requests</w:t>
      </w:r>
    </w:p>
    <w:p>
      <w:pPr>
        <w:pStyle w:val="CompactList"/>
      </w:pPr>
      <w:r>
        <w:rPr>
          <w:b/>
        </w:rPr>
        <w:t xml:space="preserve">• </w:t>
      </w:r>
      <w:r>
        <w:t>Chapter 119 contains no formal statewide clarification deadline, tolling rule, or abandonment period.</w:t>
      </w:r>
    </w:p>
    <w:p>
      <w:pPr>
        <w:pStyle w:val="CompactList"/>
      </w:pPr>
      <w:r>
        <w:rPr>
          <w:b/>
        </w:rPr>
        <w:t xml:space="preserve">• </w:t>
      </w:r>
      <w:r>
        <w:t>When the description is not sufficient to identify records, the city should promptly explain the ambiguity and ask focused questions while preserving the good-faith search duty.</w:t>
      </w:r>
    </w:p>
    <w:p>
      <w:pPr>
        <w:pStyle w:val="CompactList"/>
      </w:pPr>
      <w:r>
        <w:rPr>
          <w:b/>
        </w:rPr>
        <w:t xml:space="preserve">• </w:t>
      </w:r>
      <w:r>
        <w:t>Florida does not require an agency to create a new record or answer questions. The communication should distinguish an unidentifiable record request from a request for information or research.</w:t>
      </w:r>
    </w:p>
    <w:p>
      <w:pPr>
        <w:pStyle w:val="CompactList"/>
      </w:pPr>
      <w:r>
        <w:rPr>
          <w:b/>
        </w:rPr>
        <w:t xml:space="preserve">• </w:t>
      </w:r>
      <w:r>
        <w:t>Any numeric clarification response period or administrative closure rule is a local-policy value.</w:t>
      </w:r>
    </w:p>
    <w:tbl>
      <w:tblPr>
        <w:tblW w:type="auto" w:w="0"/>
        <w:jc w:val="center"/>
        <w:tblLayout w:type="fixed"/>
        <w:tblLook w:firstColumn="1" w:firstRow="1" w:lastColumn="0" w:lastRow="0" w:noHBand="0" w:noVBand="1" w:val="04A0"/>
      </w:tblPr>
      <w:tblGrid>
        <w:gridCol w:w="10454"/>
      </w:tblGrid>
      <w:tr>
        <w:tc>
          <w:tcPr>
            <w:tcW w:type="dxa" w:w="10152"/>
            <w:shd w:fill="F3F6F9"/>
            <w:tcMar>
              <w:top w:w="90" w:type="dxa"/>
              <w:start w:w="120" w:type="dxa"/>
              <w:bottom w:w="90" w:type="dxa"/>
              <w:end w:w="120" w:type="dxa"/>
            </w:tcMar>
          </w:tcPr>
          <w:p>
            <w:pPr>
              <w:spacing w:after="0"/>
            </w:pPr>
            <w:r>
              <w:rPr>
                <w:b/>
                <w:color w:val="17365D"/>
              </w:rPr>
              <w:t xml:space="preserve">Engine treatment: </w:t>
            </w:r>
            <w:r>
              <w:t>Keep a qualitative prompt-response timer active. Send a clarification request without claiming a statutory pause. Configure reminders and closure only from the city’s adopted policy and retain the ability to reopen when a usable description arrives.</w:t>
            </w:r>
          </w:p>
        </w:tc>
      </w:tr>
    </w:tbl>
    <w:p>
      <w:pPr>
        <w:pStyle w:val="Heading1"/>
      </w:pPr>
      <w:r>
        <w:t>4. Denial, withholding, and partial production</w:t>
      </w:r>
    </w:p>
    <w:p>
      <w:pPr>
        <w:pStyle w:val="CompactList"/>
      </w:pPr>
      <w:r>
        <w:rPr>
          <w:b/>
        </w:rPr>
        <w:t xml:space="preserve">• </w:t>
      </w:r>
      <w:r>
        <w:t>The custodian must state the exemption basis and statutory citation. A requester may demand a written explanation with particularity.</w:t>
      </w:r>
    </w:p>
    <w:p>
      <w:pPr>
        <w:pStyle w:val="CompactList"/>
      </w:pPr>
      <w:r>
        <w:rPr>
          <w:b/>
        </w:rPr>
        <w:t xml:space="preserve">• </w:t>
      </w:r>
      <w:r>
        <w:t>Valid exempt portions are redacted and the remainder produced; “contains exempt information” is not a valid basis to withhold the entire record.</w:t>
      </w:r>
    </w:p>
    <w:p>
      <w:pPr>
        <w:pStyle w:val="CompactList"/>
      </w:pPr>
      <w:r>
        <w:rPr>
          <w:b/>
        </w:rPr>
        <w:t xml:space="preserve">• </w:t>
      </w:r>
      <w:r>
        <w:t>Florida generally provides judicial enforcement rather than a mandatory statewide administrative appeal. Audit evidence of promptness and good faith is therefore critical.</w:t>
      </w:r>
    </w:p>
    <w:p>
      <w:pPr>
        <w:pStyle w:val="CompactList"/>
      </w:pPr>
      <w:r>
        <w:rPr>
          <w:b/>
        </w:rPr>
        <w:t xml:space="preserve">• </w:t>
      </w:r>
      <w:r>
        <w:t>The city may not respond by filing a declaratory action against the requester to determine whether the record is public.</w:t>
      </w:r>
    </w:p>
    <w:p>
      <w:pPr>
        <w:pStyle w:val="Heading1"/>
      </w:pPr>
      <w:r>
        <w:t>5. Request classification and processing tracks</w:t>
      </w:r>
    </w:p>
    <w:p>
      <w:pPr>
        <w:pStyle w:val="CompactList"/>
      </w:pPr>
      <w:r>
        <w:rPr>
          <w:b/>
        </w:rPr>
        <w:t xml:space="preserve">• </w:t>
      </w:r>
      <w:r>
        <w:t>No legal simple, routine, complex, or voluminous tracks control response time.</w:t>
      </w:r>
    </w:p>
    <w:p>
      <w:pPr>
        <w:pStyle w:val="CompactList"/>
      </w:pPr>
      <w:r>
        <w:rPr>
          <w:b/>
        </w:rPr>
        <w:t xml:space="preserve">• </w:t>
      </w:r>
      <w:r>
        <w:t>“Extensive use of information technology resources” and “extensive clerical or supervisory assistance” are statutory fee conditions. They must be evaluated separately from workload labels.</w:t>
      </w:r>
    </w:p>
    <w:p>
      <w:pPr>
        <w:pStyle w:val="CompactList"/>
      </w:pPr>
      <w:r>
        <w:rPr>
          <w:b/>
        </w:rPr>
        <w:t xml:space="preserve">• </w:t>
      </w:r>
      <w:r>
        <w:t>Operational classifications can set internal service goals, but a high-effort label does not create an extension or excuse prompt processing.</w:t>
      </w:r>
    </w:p>
    <w:tbl>
      <w:tblPr>
        <w:tblStyle w:val="TableGrid"/>
        <w:tblW w:type="auto" w:w="0"/>
        <w:jc w:val="center"/>
        <w:tblLayout w:type="fixed"/>
        <w:tblLook w:firstColumn="1" w:firstRow="1" w:lastColumn="0" w:lastRow="0" w:noHBand="0" w:noVBand="1" w:val="04A0"/>
      </w:tblPr>
      <w:tblGrid>
        <w:gridCol w:w="3485"/>
        <w:gridCol w:w="3485"/>
        <w:gridCol w:w="3485"/>
      </w:tblGrid>
      <w:tr>
        <w:trPr>
          <w:tblHeader w:val="true"/>
          <w:cantSplit/>
        </w:trPr>
        <w:tc>
          <w:tcPr>
            <w:tcW w:type="dxa" w:w="3024"/>
            <w:shd w:fill="17365D"/>
            <w:tcMar>
              <w:top w:w="70" w:type="dxa"/>
              <w:start w:w="80" w:type="dxa"/>
              <w:bottom w:w="70" w:type="dxa"/>
              <w:end w:w="80" w:type="dxa"/>
            </w:tcMar>
          </w:tcPr>
          <w:p>
            <w:pPr>
              <w:spacing w:after="0"/>
              <w:jc w:val="left"/>
            </w:pPr>
            <w:r>
              <w:rPr>
                <w:b/>
                <w:color w:val="FFFFFF"/>
                <w:sz w:val="15"/>
              </w:rPr>
              <w:t>Classification / flag</w:t>
            </w:r>
          </w:p>
        </w:tc>
        <w:tc>
          <w:tcPr>
            <w:tcW w:type="dxa" w:w="1944"/>
            <w:shd w:fill="17365D"/>
            <w:tcMar>
              <w:top w:w="70" w:type="dxa"/>
              <w:start w:w="80" w:type="dxa"/>
              <w:bottom w:w="70" w:type="dxa"/>
              <w:end w:w="80" w:type="dxa"/>
            </w:tcMar>
          </w:tcPr>
          <w:p>
            <w:pPr>
              <w:spacing w:after="0"/>
              <w:jc w:val="left"/>
            </w:pPr>
            <w:r>
              <w:rPr>
                <w:b/>
                <w:color w:val="FFFFFF"/>
                <w:sz w:val="15"/>
              </w:rPr>
              <w:t>Legal or operational?</w:t>
            </w:r>
          </w:p>
        </w:tc>
        <w:tc>
          <w:tcPr>
            <w:tcW w:type="dxa" w:w="4752"/>
            <w:shd w:fill="17365D"/>
            <w:tcMar>
              <w:top w:w="70" w:type="dxa"/>
              <w:start w:w="80" w:type="dxa"/>
              <w:bottom w:w="70" w:type="dxa"/>
              <w:end w:w="80" w:type="dxa"/>
            </w:tcMar>
          </w:tcPr>
          <w:p>
            <w:pPr>
              <w:spacing w:after="0"/>
              <w:jc w:val="left"/>
            </w:pPr>
            <w:r>
              <w:rPr>
                <w:b/>
                <w:color w:val="FFFFFF"/>
                <w:sz w:val="15"/>
              </w:rPr>
              <w:t>Workflow consequence</w:t>
            </w:r>
          </w:p>
        </w:tc>
      </w:tr>
      <w:tr>
        <w:trPr>
          <w:cantSplit/>
        </w:trPr>
        <w:tc>
          <w:tcPr>
            <w:tcW w:type="dxa" w:w="3024"/>
            <w:tcMar>
              <w:top w:w="70" w:type="dxa"/>
              <w:start w:w="80" w:type="dxa"/>
              <w:bottom w:w="70" w:type="dxa"/>
              <w:end w:w="80" w:type="dxa"/>
            </w:tcMar>
            <w:vAlign w:val="top"/>
          </w:tcPr>
          <w:p>
            <w:pPr>
              <w:spacing w:after="0" w:line="240" w:lineRule="auto"/>
            </w:pPr>
            <w:r>
              <w:rPr>
                <w:rFonts w:ascii="Aptos" w:hAnsi="Aptos"/>
                <w:sz w:val="15"/>
              </w:rPr>
              <w:t>Routine / high effort</w:t>
            </w:r>
          </w:p>
        </w:tc>
        <w:tc>
          <w:tcPr>
            <w:tcW w:type="dxa" w:w="1944"/>
            <w:tcMar>
              <w:top w:w="70" w:type="dxa"/>
              <w:start w:w="80" w:type="dxa"/>
              <w:bottom w:w="70" w:type="dxa"/>
              <w:end w:w="80" w:type="dxa"/>
            </w:tcMar>
            <w:vAlign w:val="top"/>
          </w:tcPr>
          <w:p>
            <w:pPr>
              <w:spacing w:after="0" w:line="240" w:lineRule="auto"/>
            </w:pPr>
            <w:r>
              <w:rPr>
                <w:rFonts w:ascii="Aptos" w:hAnsi="Aptos"/>
                <w:sz w:val="15"/>
              </w:rPr>
              <w:t>Operational</w:t>
            </w:r>
          </w:p>
        </w:tc>
        <w:tc>
          <w:tcPr>
            <w:tcW w:type="dxa" w:w="4752"/>
            <w:tcMar>
              <w:top w:w="70" w:type="dxa"/>
              <w:start w:w="80" w:type="dxa"/>
              <w:bottom w:w="70" w:type="dxa"/>
              <w:end w:w="80" w:type="dxa"/>
            </w:tcMar>
            <w:vAlign w:val="top"/>
          </w:tcPr>
          <w:p>
            <w:pPr>
              <w:spacing w:after="0" w:line="240" w:lineRule="auto"/>
            </w:pPr>
            <w:r>
              <w:rPr>
                <w:rFonts w:ascii="Aptos" w:hAnsi="Aptos"/>
                <w:sz w:val="15"/>
              </w:rPr>
              <w:t>Internal staffing and escalation only.</w:t>
            </w:r>
          </w:p>
        </w:tc>
      </w:tr>
      <w:tr>
        <w:trPr>
          <w:cantSplit/>
        </w:trPr>
        <w:tc>
          <w:tcPr>
            <w:tcW w:type="dxa" w:w="3024"/>
            <w:shd w:fill="FAFCFE"/>
            <w:tcMar>
              <w:top w:w="70" w:type="dxa"/>
              <w:start w:w="80" w:type="dxa"/>
              <w:bottom w:w="70" w:type="dxa"/>
              <w:end w:w="80" w:type="dxa"/>
            </w:tcMar>
            <w:vAlign w:val="top"/>
          </w:tcPr>
          <w:p>
            <w:pPr>
              <w:spacing w:after="0" w:line="240" w:lineRule="auto"/>
            </w:pPr>
            <w:r>
              <w:rPr>
                <w:rFonts w:ascii="Aptos" w:hAnsi="Aptos"/>
                <w:sz w:val="15"/>
              </w:rPr>
              <w:t>Extensive-use fee flag</w:t>
            </w:r>
          </w:p>
        </w:tc>
        <w:tc>
          <w:tcPr>
            <w:tcW w:type="dxa" w:w="1944"/>
            <w:shd w:fill="FAFCFE"/>
            <w:tcMar>
              <w:top w:w="70" w:type="dxa"/>
              <w:start w:w="80" w:type="dxa"/>
              <w:bottom w:w="70" w:type="dxa"/>
              <w:end w:w="80" w:type="dxa"/>
            </w:tcMar>
            <w:vAlign w:val="top"/>
          </w:tcPr>
          <w:p>
            <w:pPr>
              <w:spacing w:after="0" w:line="240" w:lineRule="auto"/>
            </w:pPr>
            <w:r>
              <w:rPr>
                <w:rFonts w:ascii="Aptos" w:hAnsi="Aptos"/>
                <w:sz w:val="15"/>
              </w:rPr>
              <w:t>Statutory fee condition</w:t>
            </w:r>
          </w:p>
        </w:tc>
        <w:tc>
          <w:tcPr>
            <w:tcW w:type="dxa" w:w="4752"/>
            <w:shd w:fill="FAFCFE"/>
            <w:tcMar>
              <w:top w:w="70" w:type="dxa"/>
              <w:start w:w="80" w:type="dxa"/>
              <w:bottom w:w="70" w:type="dxa"/>
              <w:end w:w="80" w:type="dxa"/>
            </w:tcMar>
            <w:vAlign w:val="top"/>
          </w:tcPr>
          <w:p>
            <w:pPr>
              <w:spacing w:after="0" w:line="240" w:lineRule="auto"/>
            </w:pPr>
            <w:r>
              <w:rPr>
                <w:rFonts w:ascii="Aptos" w:hAnsi="Aptos"/>
                <w:sz w:val="15"/>
              </w:rPr>
              <w:t>Calculate actual attributable resource/labor cost; communicate charge.</w:t>
            </w:r>
          </w:p>
        </w:tc>
      </w:tr>
      <w:tr>
        <w:trPr>
          <w:cantSplit/>
        </w:trPr>
        <w:tc>
          <w:tcPr>
            <w:tcW w:type="dxa" w:w="3024"/>
            <w:tcMar>
              <w:top w:w="70" w:type="dxa"/>
              <w:start w:w="80" w:type="dxa"/>
              <w:bottom w:w="70" w:type="dxa"/>
              <w:end w:w="80" w:type="dxa"/>
            </w:tcMar>
            <w:vAlign w:val="top"/>
          </w:tcPr>
          <w:p>
            <w:pPr>
              <w:spacing w:after="0" w:line="240" w:lineRule="auto"/>
            </w:pPr>
            <w:r>
              <w:rPr>
                <w:rFonts w:ascii="Aptos" w:hAnsi="Aptos"/>
                <w:sz w:val="15"/>
              </w:rPr>
              <w:t>Exemption / redaction</w:t>
            </w:r>
          </w:p>
        </w:tc>
        <w:tc>
          <w:tcPr>
            <w:tcW w:type="dxa" w:w="1944"/>
            <w:tcMar>
              <w:top w:w="70" w:type="dxa"/>
              <w:start w:w="80" w:type="dxa"/>
              <w:bottom w:w="70" w:type="dxa"/>
              <w:end w:w="80" w:type="dxa"/>
            </w:tcMar>
            <w:vAlign w:val="top"/>
          </w:tcPr>
          <w:p>
            <w:pPr>
              <w:spacing w:after="0" w:line="240" w:lineRule="auto"/>
            </w:pPr>
            <w:r>
              <w:rPr>
                <w:rFonts w:ascii="Aptos" w:hAnsi="Aptos"/>
                <w:sz w:val="15"/>
              </w:rPr>
              <w:t>Legal processing flag</w:t>
            </w:r>
          </w:p>
        </w:tc>
        <w:tc>
          <w:tcPr>
            <w:tcW w:type="dxa" w:w="4752"/>
            <w:tcMar>
              <w:top w:w="70" w:type="dxa"/>
              <w:start w:w="80" w:type="dxa"/>
              <w:bottom w:w="70" w:type="dxa"/>
              <w:end w:w="80" w:type="dxa"/>
            </w:tcMar>
            <w:vAlign w:val="top"/>
          </w:tcPr>
          <w:p>
            <w:pPr>
              <w:spacing w:after="0" w:line="240" w:lineRule="auto"/>
            </w:pPr>
            <w:r>
              <w:rPr>
                <w:rFonts w:ascii="Aptos" w:hAnsi="Aptos"/>
                <w:sz w:val="15"/>
              </w:rPr>
              <w:t>Cite statute, particularized explanation on request, release remainder.</w:t>
            </w:r>
          </w:p>
        </w:tc>
      </w:tr>
      <w:tr>
        <w:trPr>
          <w:cantSplit/>
        </w:trPr>
        <w:tc>
          <w:tcPr>
            <w:tcW w:type="dxa" w:w="3024"/>
            <w:shd w:fill="FAFCFE"/>
            <w:tcMar>
              <w:top w:w="70" w:type="dxa"/>
              <w:start w:w="80" w:type="dxa"/>
              <w:bottom w:w="70" w:type="dxa"/>
              <w:end w:w="80" w:type="dxa"/>
            </w:tcMar>
            <w:vAlign w:val="top"/>
          </w:tcPr>
          <w:p>
            <w:pPr>
              <w:spacing w:after="0" w:line="240" w:lineRule="auto"/>
            </w:pPr>
            <w:r>
              <w:rPr>
                <w:rFonts w:ascii="Aptos" w:hAnsi="Aptos"/>
                <w:sz w:val="15"/>
              </w:rPr>
              <w:t>Inspection / copy</w:t>
            </w:r>
          </w:p>
        </w:tc>
        <w:tc>
          <w:tcPr>
            <w:tcW w:type="dxa" w:w="1944"/>
            <w:shd w:fill="FAFCFE"/>
            <w:tcMar>
              <w:top w:w="70" w:type="dxa"/>
              <w:start w:w="80" w:type="dxa"/>
              <w:bottom w:w="70" w:type="dxa"/>
              <w:end w:w="80" w:type="dxa"/>
            </w:tcMar>
            <w:vAlign w:val="top"/>
          </w:tcPr>
          <w:p>
            <w:pPr>
              <w:spacing w:after="0" w:line="240" w:lineRule="auto"/>
            </w:pPr>
            <w:r>
              <w:rPr>
                <w:rFonts w:ascii="Aptos" w:hAnsi="Aptos"/>
                <w:sz w:val="15"/>
              </w:rPr>
              <w:t>Legal delivery mode</w:t>
            </w:r>
          </w:p>
        </w:tc>
        <w:tc>
          <w:tcPr>
            <w:tcW w:type="dxa" w:w="4752"/>
            <w:shd w:fill="FAFCFE"/>
            <w:tcMar>
              <w:top w:w="70" w:type="dxa"/>
              <w:start w:w="80" w:type="dxa"/>
              <w:bottom w:w="70" w:type="dxa"/>
              <w:end w:w="80" w:type="dxa"/>
            </w:tcMar>
            <w:vAlign w:val="top"/>
          </w:tcPr>
          <w:p>
            <w:pPr>
              <w:spacing w:after="0" w:line="240" w:lineRule="auto"/>
            </w:pPr>
            <w:r>
              <w:rPr>
                <w:rFonts w:ascii="Aptos" w:hAnsi="Aptos"/>
                <w:sz w:val="15"/>
              </w:rPr>
              <w:t>Inspection generally free; copy fees/payment apply.</w:t>
            </w:r>
          </w:p>
        </w:tc>
      </w:tr>
      <w:tr>
        <w:trPr>
          <w:cantSplit/>
        </w:trPr>
        <w:tc>
          <w:tcPr>
            <w:tcW w:type="dxa" w:w="3024"/>
            <w:tcMar>
              <w:top w:w="70" w:type="dxa"/>
              <w:start w:w="80" w:type="dxa"/>
              <w:bottom w:w="70" w:type="dxa"/>
              <w:end w:w="80" w:type="dxa"/>
            </w:tcMar>
            <w:vAlign w:val="top"/>
          </w:tcPr>
          <w:p>
            <w:pPr>
              <w:spacing w:after="0" w:line="240" w:lineRule="auto"/>
            </w:pPr>
            <w:r>
              <w:rPr>
                <w:rFonts w:ascii="Aptos" w:hAnsi="Aptos"/>
                <w:sz w:val="15"/>
              </w:rPr>
              <w:t>No responsive records</w:t>
            </w:r>
          </w:p>
        </w:tc>
        <w:tc>
          <w:tcPr>
            <w:tcW w:type="dxa" w:w="1944"/>
            <w:tcMar>
              <w:top w:w="70" w:type="dxa"/>
              <w:start w:w="80" w:type="dxa"/>
              <w:bottom w:w="70" w:type="dxa"/>
              <w:end w:w="80" w:type="dxa"/>
            </w:tcMar>
            <w:vAlign w:val="top"/>
          </w:tcPr>
          <w:p>
            <w:pPr>
              <w:spacing w:after="0" w:line="240" w:lineRule="auto"/>
            </w:pPr>
            <w:r>
              <w:rPr>
                <w:rFonts w:ascii="Aptos" w:hAnsi="Aptos"/>
                <w:sz w:val="15"/>
              </w:rPr>
              <w:t>Factual outcome</w:t>
            </w:r>
          </w:p>
        </w:tc>
        <w:tc>
          <w:tcPr>
            <w:tcW w:type="dxa" w:w="4752"/>
            <w:tcMar>
              <w:top w:w="70" w:type="dxa"/>
              <w:start w:w="80" w:type="dxa"/>
              <w:bottom w:w="70" w:type="dxa"/>
              <w:end w:w="80" w:type="dxa"/>
            </w:tcMar>
            <w:vAlign w:val="top"/>
          </w:tcPr>
          <w:p>
            <w:pPr>
              <w:spacing w:after="0" w:line="240" w:lineRule="auto"/>
            </w:pPr>
            <w:r>
              <w:rPr>
                <w:rFonts w:ascii="Aptos" w:hAnsi="Aptos"/>
                <w:sz w:val="15"/>
              </w:rPr>
              <w:t>Communicate good-faith search result promptly.</w:t>
            </w:r>
          </w:p>
        </w:tc>
      </w:tr>
    </w:tbl>
    <w:p>
      <w:pPr>
        <w:pStyle w:val="Heading1"/>
      </w:pPr>
      <w:r>
        <w:t>6. Fees, estimates, deposits, and payment timing</w:t>
      </w:r>
    </w:p>
    <w:p>
      <w:pPr>
        <w:pStyle w:val="CompactList"/>
      </w:pPr>
      <w:r>
        <w:rPr>
          <w:b/>
        </w:rPr>
        <w:t xml:space="preserve">• </w:t>
      </w:r>
      <w:r>
        <w:t>For standard copies where no other law sets a fee: up to 15 cents for a one-sided letter/legal page, an additional 5 cents for two-sided copies, actual duplication cost for other copies, and up to $1 for certification.</w:t>
      </w:r>
    </w:p>
    <w:p>
      <w:pPr>
        <w:pStyle w:val="CompactList"/>
      </w:pPr>
      <w:r>
        <w:rPr>
          <w:b/>
        </w:rPr>
        <w:t xml:space="preserve">• </w:t>
      </w:r>
      <w:r>
        <w:t>“Actual cost of duplication” excludes ordinary labor and overhead; it is the cost of materials and supplies used to duplicate.</w:t>
      </w:r>
    </w:p>
    <w:p>
      <w:pPr>
        <w:pStyle w:val="CompactList"/>
      </w:pPr>
      <w:r>
        <w:rPr>
          <w:b/>
        </w:rPr>
        <w:t xml:space="preserve">• </w:t>
      </w:r>
      <w:r>
        <w:t>If nature or volume requires extensive IT resources or extensive clerical/supervisory assistance, the city may add a reasonable special service charge based on the cost actually incurred or attributable.</w:t>
      </w:r>
    </w:p>
    <w:p>
      <w:pPr>
        <w:pStyle w:val="CompactList"/>
      </w:pPr>
      <w:r>
        <w:rPr>
          <w:b/>
        </w:rPr>
        <w:t xml:space="preserve">• </w:t>
      </w:r>
      <w:r>
        <w:t>State law does not define a universal “extensive” duration. A city policy may set a defensible threshold and estimate/deposit workflow, but it must not convert routine costs into an extensive-use charge.</w:t>
      </w:r>
    </w:p>
    <w:p>
      <w:pPr>
        <w:pStyle w:val="CompactList"/>
      </w:pPr>
      <w:r>
        <w:rPr>
          <w:b/>
        </w:rPr>
        <w:t xml:space="preserve">• </w:t>
      </w:r>
      <w:r>
        <w:t>Estimates and reasonable deposits are common and supported by Attorney General guidance, but a statewide dollar trigger or deposit percentage is not supplied by §119.07.</w:t>
      </w:r>
    </w:p>
    <w:tbl>
      <w:tblPr>
        <w:tblStyle w:val="TableGrid"/>
        <w:tblW w:type="auto" w:w="0"/>
        <w:jc w:val="center"/>
        <w:tblLayout w:type="fixed"/>
        <w:tblLook w:firstColumn="1" w:firstRow="1" w:lastColumn="0" w:lastRow="0" w:noHBand="0" w:noVBand="1" w:val="04A0"/>
      </w:tblPr>
      <w:tblGrid>
        <w:gridCol w:w="3485"/>
        <w:gridCol w:w="3485"/>
        <w:gridCol w:w="3485"/>
      </w:tblGrid>
      <w:tr>
        <w:trPr>
          <w:tblHeader w:val="true"/>
          <w:cantSplit/>
        </w:trPr>
        <w:tc>
          <w:tcPr>
            <w:tcW w:type="dxa" w:w="2448"/>
            <w:shd w:fill="17365D"/>
            <w:tcMar>
              <w:top w:w="70" w:type="dxa"/>
              <w:start w:w="80" w:type="dxa"/>
              <w:bottom w:w="70" w:type="dxa"/>
              <w:end w:w="80" w:type="dxa"/>
            </w:tcMar>
          </w:tcPr>
          <w:p>
            <w:pPr>
              <w:spacing w:after="0"/>
              <w:jc w:val="left"/>
            </w:pPr>
            <w:r>
              <w:rPr>
                <w:b/>
                <w:color w:val="FFFFFF"/>
                <w:sz w:val="15"/>
              </w:rPr>
              <w:t>Fee event</w:t>
            </w:r>
          </w:p>
        </w:tc>
        <w:tc>
          <w:tcPr>
            <w:tcW w:type="dxa" w:w="4536"/>
            <w:shd w:fill="17365D"/>
            <w:tcMar>
              <w:top w:w="70" w:type="dxa"/>
              <w:start w:w="80" w:type="dxa"/>
              <w:bottom w:w="70" w:type="dxa"/>
              <w:end w:w="80" w:type="dxa"/>
            </w:tcMar>
          </w:tcPr>
          <w:p>
            <w:pPr>
              <w:spacing w:after="0"/>
              <w:jc w:val="left"/>
            </w:pPr>
            <w:r>
              <w:rPr>
                <w:b/>
                <w:color w:val="FFFFFF"/>
                <w:sz w:val="15"/>
              </w:rPr>
              <w:t>Statewide rule</w:t>
            </w:r>
          </w:p>
        </w:tc>
        <w:tc>
          <w:tcPr>
            <w:tcW w:type="dxa" w:w="2736"/>
            <w:shd w:fill="17365D"/>
            <w:tcMar>
              <w:top w:w="70" w:type="dxa"/>
              <w:start w:w="80" w:type="dxa"/>
              <w:bottom w:w="70" w:type="dxa"/>
              <w:end w:w="80" w:type="dxa"/>
            </w:tcMar>
          </w:tcPr>
          <w:p>
            <w:pPr>
              <w:spacing w:after="0"/>
              <w:jc w:val="left"/>
            </w:pPr>
            <w:r>
              <w:rPr>
                <w:b/>
                <w:color w:val="FFFFFF"/>
                <w:sz w:val="15"/>
              </w:rPr>
              <w:t>Configurable city value</w:t>
            </w:r>
          </w:p>
        </w:tc>
      </w:tr>
      <w:tr>
        <w:trPr>
          <w:cantSplit/>
        </w:trPr>
        <w:tc>
          <w:tcPr>
            <w:tcW w:type="dxa" w:w="2448"/>
            <w:tcMar>
              <w:top w:w="70" w:type="dxa"/>
              <w:start w:w="80" w:type="dxa"/>
              <w:bottom w:w="70" w:type="dxa"/>
              <w:end w:w="80" w:type="dxa"/>
            </w:tcMar>
            <w:vAlign w:val="top"/>
          </w:tcPr>
          <w:p>
            <w:pPr>
              <w:spacing w:after="0" w:line="240" w:lineRule="auto"/>
            </w:pPr>
            <w:r>
              <w:rPr>
                <w:rFonts w:ascii="Aptos" w:hAnsi="Aptos"/>
                <w:sz w:val="15"/>
              </w:rPr>
              <w:t>Standard copies</w:t>
            </w:r>
          </w:p>
        </w:tc>
        <w:tc>
          <w:tcPr>
            <w:tcW w:type="dxa" w:w="4536"/>
            <w:tcMar>
              <w:top w:w="70" w:type="dxa"/>
              <w:start w:w="80" w:type="dxa"/>
              <w:bottom w:w="70" w:type="dxa"/>
              <w:end w:w="80" w:type="dxa"/>
            </w:tcMar>
            <w:vAlign w:val="top"/>
          </w:tcPr>
          <w:p>
            <w:pPr>
              <w:spacing w:after="0" w:line="240" w:lineRule="auto"/>
            </w:pPr>
            <w:r>
              <w:rPr>
                <w:rFonts w:ascii="Aptos" w:hAnsi="Aptos"/>
                <w:sz w:val="15"/>
              </w:rPr>
              <w:t>Statutory per-page maximums / actual duplication.</w:t>
            </w:r>
          </w:p>
        </w:tc>
        <w:tc>
          <w:tcPr>
            <w:tcW w:type="dxa" w:w="2736"/>
            <w:tcMar>
              <w:top w:w="70" w:type="dxa"/>
              <w:start w:w="80" w:type="dxa"/>
              <w:bottom w:w="70" w:type="dxa"/>
              <w:end w:w="80" w:type="dxa"/>
            </w:tcMar>
            <w:vAlign w:val="top"/>
          </w:tcPr>
          <w:p>
            <w:pPr>
              <w:spacing w:after="0" w:line="240" w:lineRule="auto"/>
            </w:pPr>
            <w:r>
              <w:rPr>
                <w:rFonts w:ascii="Aptos" w:hAnsi="Aptos"/>
                <w:sz w:val="15"/>
              </w:rPr>
              <w:t>Current media and delivery schedule.</w:t>
            </w:r>
          </w:p>
        </w:tc>
      </w:tr>
      <w:tr>
        <w:trPr>
          <w:cantSplit/>
        </w:trPr>
        <w:tc>
          <w:tcPr>
            <w:tcW w:type="dxa" w:w="2448"/>
            <w:shd w:fill="FAFCFE"/>
            <w:tcMar>
              <w:top w:w="70" w:type="dxa"/>
              <w:start w:w="80" w:type="dxa"/>
              <w:bottom w:w="70" w:type="dxa"/>
              <w:end w:w="80" w:type="dxa"/>
            </w:tcMar>
            <w:vAlign w:val="top"/>
          </w:tcPr>
          <w:p>
            <w:pPr>
              <w:spacing w:after="0" w:line="240" w:lineRule="auto"/>
            </w:pPr>
            <w:r>
              <w:rPr>
                <w:rFonts w:ascii="Aptos" w:hAnsi="Aptos"/>
                <w:sz w:val="15"/>
              </w:rPr>
              <w:t>Extensive-use charge</w:t>
            </w:r>
          </w:p>
        </w:tc>
        <w:tc>
          <w:tcPr>
            <w:tcW w:type="dxa" w:w="4536"/>
            <w:shd w:fill="FAFCFE"/>
            <w:tcMar>
              <w:top w:w="70" w:type="dxa"/>
              <w:start w:w="80" w:type="dxa"/>
              <w:bottom w:w="70" w:type="dxa"/>
              <w:end w:w="80" w:type="dxa"/>
            </w:tcMar>
            <w:vAlign w:val="top"/>
          </w:tcPr>
          <w:p>
            <w:pPr>
              <w:spacing w:after="0" w:line="240" w:lineRule="auto"/>
            </w:pPr>
            <w:r>
              <w:rPr>
                <w:rFonts w:ascii="Aptos" w:hAnsi="Aptos"/>
                <w:sz w:val="15"/>
              </w:rPr>
              <w:t>Reasonable; actual IT cost or attributable clerical/supervisory labor.</w:t>
            </w:r>
          </w:p>
        </w:tc>
        <w:tc>
          <w:tcPr>
            <w:tcW w:type="dxa" w:w="2736"/>
            <w:shd w:fill="FAFCFE"/>
            <w:tcMar>
              <w:top w:w="70" w:type="dxa"/>
              <w:start w:w="80" w:type="dxa"/>
              <w:bottom w:w="70" w:type="dxa"/>
              <w:end w:w="80" w:type="dxa"/>
            </w:tcMar>
            <w:vAlign w:val="top"/>
          </w:tcPr>
          <w:p>
            <w:pPr>
              <w:spacing w:after="0" w:line="240" w:lineRule="auto"/>
            </w:pPr>
            <w:r>
              <w:rPr>
                <w:rFonts w:ascii="Aptos" w:hAnsi="Aptos"/>
                <w:sz w:val="15"/>
              </w:rPr>
              <w:t>Definition/threshold, rate, estimate method, approver.</w:t>
            </w:r>
          </w:p>
        </w:tc>
      </w:tr>
      <w:tr>
        <w:trPr>
          <w:cantSplit/>
        </w:trPr>
        <w:tc>
          <w:tcPr>
            <w:tcW w:type="dxa" w:w="2448"/>
            <w:tcMar>
              <w:top w:w="70" w:type="dxa"/>
              <w:start w:w="80" w:type="dxa"/>
              <w:bottom w:w="70" w:type="dxa"/>
              <w:end w:w="80" w:type="dxa"/>
            </w:tcMar>
            <w:vAlign w:val="top"/>
          </w:tcPr>
          <w:p>
            <w:pPr>
              <w:spacing w:after="0" w:line="240" w:lineRule="auto"/>
            </w:pPr>
            <w:r>
              <w:rPr>
                <w:rFonts w:ascii="Aptos" w:hAnsi="Aptos"/>
                <w:sz w:val="15"/>
              </w:rPr>
              <w:t>Estimate</w:t>
            </w:r>
          </w:p>
        </w:tc>
        <w:tc>
          <w:tcPr>
            <w:tcW w:type="dxa" w:w="4536"/>
            <w:tcMar>
              <w:top w:w="70" w:type="dxa"/>
              <w:start w:w="80" w:type="dxa"/>
              <w:bottom w:w="70" w:type="dxa"/>
              <w:end w:w="80" w:type="dxa"/>
            </w:tcMar>
            <w:vAlign w:val="top"/>
          </w:tcPr>
          <w:p>
            <w:pPr>
              <w:spacing w:after="0" w:line="240" w:lineRule="auto"/>
            </w:pPr>
            <w:r>
              <w:rPr>
                <w:rFonts w:ascii="Aptos" w:hAnsi="Aptos"/>
                <w:sz w:val="15"/>
              </w:rPr>
              <w:t>No universal statutory dollar trigger.</w:t>
            </w:r>
          </w:p>
        </w:tc>
        <w:tc>
          <w:tcPr>
            <w:tcW w:type="dxa" w:w="2736"/>
            <w:tcMar>
              <w:top w:w="70" w:type="dxa"/>
              <w:start w:w="80" w:type="dxa"/>
              <w:bottom w:w="70" w:type="dxa"/>
              <w:end w:w="80" w:type="dxa"/>
            </w:tcMar>
            <w:vAlign w:val="top"/>
          </w:tcPr>
          <w:p>
            <w:pPr>
              <w:spacing w:after="0" w:line="240" w:lineRule="auto"/>
            </w:pPr>
            <w:r>
              <w:rPr>
                <w:rFonts w:ascii="Aptos" w:hAnsi="Aptos"/>
                <w:sz w:val="15"/>
              </w:rPr>
              <w:t>When required, validity period, revised-estimate rule.</w:t>
            </w:r>
          </w:p>
        </w:tc>
      </w:tr>
      <w:tr>
        <w:trPr>
          <w:cantSplit/>
        </w:trPr>
        <w:tc>
          <w:tcPr>
            <w:tcW w:type="dxa" w:w="2448"/>
            <w:shd w:fill="FAFCFE"/>
            <w:tcMar>
              <w:top w:w="70" w:type="dxa"/>
              <w:start w:w="80" w:type="dxa"/>
              <w:bottom w:w="70" w:type="dxa"/>
              <w:end w:w="80" w:type="dxa"/>
            </w:tcMar>
            <w:vAlign w:val="top"/>
          </w:tcPr>
          <w:p>
            <w:pPr>
              <w:spacing w:after="0" w:line="240" w:lineRule="auto"/>
            </w:pPr>
            <w:r>
              <w:rPr>
                <w:rFonts w:ascii="Aptos" w:hAnsi="Aptos"/>
                <w:sz w:val="15"/>
              </w:rPr>
              <w:t>Deposit</w:t>
            </w:r>
          </w:p>
        </w:tc>
        <w:tc>
          <w:tcPr>
            <w:tcW w:type="dxa" w:w="4536"/>
            <w:shd w:fill="FAFCFE"/>
            <w:tcMar>
              <w:top w:w="70" w:type="dxa"/>
              <w:start w:w="80" w:type="dxa"/>
              <w:bottom w:w="70" w:type="dxa"/>
              <w:end w:w="80" w:type="dxa"/>
            </w:tcMar>
            <w:vAlign w:val="top"/>
          </w:tcPr>
          <w:p>
            <w:pPr>
              <w:spacing w:after="0" w:line="240" w:lineRule="auto"/>
            </w:pPr>
            <w:r>
              <w:rPr>
                <w:rFonts w:ascii="Aptos" w:hAnsi="Aptos"/>
                <w:sz w:val="15"/>
              </w:rPr>
              <w:t>No statewide percentage formula.</w:t>
            </w:r>
          </w:p>
        </w:tc>
        <w:tc>
          <w:tcPr>
            <w:tcW w:type="dxa" w:w="2736"/>
            <w:shd w:fill="FAFCFE"/>
            <w:tcMar>
              <w:top w:w="70" w:type="dxa"/>
              <w:start w:w="80" w:type="dxa"/>
              <w:bottom w:w="70" w:type="dxa"/>
              <w:end w:w="80" w:type="dxa"/>
            </w:tcMar>
            <w:vAlign w:val="top"/>
          </w:tcPr>
          <w:p>
            <w:pPr>
              <w:spacing w:after="0" w:line="240" w:lineRule="auto"/>
            </w:pPr>
            <w:r>
              <w:rPr>
                <w:rFonts w:ascii="Aptos" w:hAnsi="Aptos"/>
                <w:sz w:val="15"/>
              </w:rPr>
              <w:t>Threshold, percentage/full amount, refund/reconciliation.</w:t>
            </w:r>
          </w:p>
        </w:tc>
      </w:tr>
      <w:tr>
        <w:trPr>
          <w:cantSplit/>
        </w:trPr>
        <w:tc>
          <w:tcPr>
            <w:tcW w:type="dxa" w:w="2448"/>
            <w:tcMar>
              <w:top w:w="70" w:type="dxa"/>
              <w:start w:w="80" w:type="dxa"/>
              <w:bottom w:w="70" w:type="dxa"/>
              <w:end w:w="80" w:type="dxa"/>
            </w:tcMar>
            <w:vAlign w:val="top"/>
          </w:tcPr>
          <w:p>
            <w:pPr>
              <w:spacing w:after="0" w:line="240" w:lineRule="auto"/>
            </w:pPr>
            <w:r>
              <w:rPr>
                <w:rFonts w:ascii="Aptos" w:hAnsi="Aptos"/>
                <w:sz w:val="15"/>
              </w:rPr>
              <w:t>Inspection</w:t>
            </w:r>
          </w:p>
        </w:tc>
        <w:tc>
          <w:tcPr>
            <w:tcW w:type="dxa" w:w="4536"/>
            <w:tcMar>
              <w:top w:w="70" w:type="dxa"/>
              <w:start w:w="80" w:type="dxa"/>
              <w:bottom w:w="70" w:type="dxa"/>
              <w:end w:w="80" w:type="dxa"/>
            </w:tcMar>
            <w:vAlign w:val="top"/>
          </w:tcPr>
          <w:p>
            <w:pPr>
              <w:spacing w:after="0" w:line="240" w:lineRule="auto"/>
            </w:pPr>
            <w:r>
              <w:rPr>
                <w:rFonts w:ascii="Aptos" w:hAnsi="Aptos"/>
                <w:sz w:val="15"/>
              </w:rPr>
              <w:t>No ordinary inspection charge; extensive service may apply.</w:t>
            </w:r>
          </w:p>
        </w:tc>
        <w:tc>
          <w:tcPr>
            <w:tcW w:type="dxa" w:w="2736"/>
            <w:tcMar>
              <w:top w:w="70" w:type="dxa"/>
              <w:start w:w="80" w:type="dxa"/>
              <w:bottom w:w="70" w:type="dxa"/>
              <w:end w:w="80" w:type="dxa"/>
            </w:tcMar>
            <w:vAlign w:val="top"/>
          </w:tcPr>
          <w:p>
            <w:pPr>
              <w:spacing w:after="0" w:line="240" w:lineRule="auto"/>
            </w:pPr>
            <w:r>
              <w:rPr>
                <w:rFonts w:ascii="Aptos" w:hAnsi="Aptos"/>
                <w:sz w:val="15"/>
              </w:rPr>
              <w:t>Supervision and appointment policy consistent with law.</w:t>
            </w:r>
          </w:p>
        </w:tc>
      </w:tr>
    </w:tbl>
    <w:p>
      <w:pPr>
        <w:pStyle w:val="Heading1"/>
      </w:pPr>
      <w:r>
        <w:t>7. Normalized software rule matrix</w:t>
      </w:r>
    </w:p>
    <w:tbl>
      <w:tblPr>
        <w:tblStyle w:val="TableGrid"/>
        <w:tblW w:type="auto" w:w="0"/>
        <w:jc w:val="center"/>
        <w:tblLayout w:type="fixed"/>
        <w:tblLook w:firstColumn="1" w:firstRow="1" w:lastColumn="0" w:lastRow="0" w:noHBand="0" w:noVBand="1" w:val="04A0"/>
      </w:tblPr>
      <w:tblGrid>
        <w:gridCol w:w="2613"/>
        <w:gridCol w:w="2613"/>
        <w:gridCol w:w="2613"/>
        <w:gridCol w:w="2613"/>
      </w:tblGrid>
      <w:tr>
        <w:trPr>
          <w:tblHeader w:val="true"/>
          <w:cantSplit/>
        </w:trPr>
        <w:tc>
          <w:tcPr>
            <w:tcW w:type="dxa" w:w="2232"/>
            <w:shd w:fill="17365D"/>
            <w:tcMar>
              <w:top w:w="70" w:type="dxa"/>
              <w:start w:w="80" w:type="dxa"/>
              <w:bottom w:w="70" w:type="dxa"/>
              <w:end w:w="80" w:type="dxa"/>
            </w:tcMar>
          </w:tcPr>
          <w:p>
            <w:pPr>
              <w:spacing w:after="0"/>
              <w:jc w:val="left"/>
            </w:pPr>
            <w:r>
              <w:rPr>
                <w:b/>
                <w:color w:val="FFFFFF"/>
                <w:sz w:val="14"/>
              </w:rPr>
              <w:t>Rule / trigger</w:t>
            </w:r>
          </w:p>
        </w:tc>
        <w:tc>
          <w:tcPr>
            <w:tcW w:type="dxa" w:w="3168"/>
            <w:shd w:fill="17365D"/>
            <w:tcMar>
              <w:top w:w="70" w:type="dxa"/>
              <w:start w:w="80" w:type="dxa"/>
              <w:bottom w:w="70" w:type="dxa"/>
              <w:end w:w="80" w:type="dxa"/>
            </w:tcMar>
          </w:tcPr>
          <w:p>
            <w:pPr>
              <w:spacing w:after="0"/>
              <w:jc w:val="left"/>
            </w:pPr>
            <w:r>
              <w:rPr>
                <w:b/>
                <w:color w:val="FFFFFF"/>
                <w:sz w:val="14"/>
              </w:rPr>
              <w:t>Required system action</w:t>
            </w:r>
          </w:p>
        </w:tc>
        <w:tc>
          <w:tcPr>
            <w:tcW w:type="dxa" w:w="3024"/>
            <w:shd w:fill="17365D"/>
            <w:tcMar>
              <w:top w:w="70" w:type="dxa"/>
              <w:start w:w="80" w:type="dxa"/>
              <w:bottom w:w="70" w:type="dxa"/>
              <w:end w:w="80" w:type="dxa"/>
            </w:tcMar>
          </w:tcPr>
          <w:p>
            <w:pPr>
              <w:spacing w:after="0"/>
              <w:jc w:val="left"/>
            </w:pPr>
            <w:r>
              <w:rPr>
                <w:b/>
                <w:color w:val="FFFFFF"/>
                <w:sz w:val="14"/>
              </w:rPr>
              <w:t>Communication / deadline</w:t>
            </w:r>
          </w:p>
        </w:tc>
        <w:tc>
          <w:tcPr>
            <w:tcW w:type="dxa" w:w="2232"/>
            <w:shd w:fill="17365D"/>
            <w:tcMar>
              <w:top w:w="70" w:type="dxa"/>
              <w:start w:w="80" w:type="dxa"/>
              <w:bottom w:w="70" w:type="dxa"/>
              <w:end w:w="80" w:type="dxa"/>
            </w:tcMar>
          </w:tcPr>
          <w:p>
            <w:pPr>
              <w:spacing w:after="0"/>
              <w:jc w:val="left"/>
            </w:pPr>
            <w:r>
              <w:rPr>
                <w:b/>
                <w:color w:val="FFFFFF"/>
                <w:sz w:val="14"/>
              </w:rPr>
              <w:t>Clock / configuration</w:t>
            </w:r>
          </w:p>
        </w:tc>
      </w:tr>
      <w:tr>
        <w:trPr>
          <w:cantSplit/>
        </w:trPr>
        <w:tc>
          <w:tcPr>
            <w:tcW w:type="dxa" w:w="2232"/>
            <w:tcMar>
              <w:top w:w="70" w:type="dxa"/>
              <w:start w:w="80" w:type="dxa"/>
              <w:bottom w:w="70" w:type="dxa"/>
              <w:end w:w="80" w:type="dxa"/>
            </w:tcMar>
            <w:vAlign w:val="top"/>
          </w:tcPr>
          <w:p>
            <w:pPr>
              <w:spacing w:after="0" w:line="240" w:lineRule="auto"/>
            </w:pPr>
            <w:r>
              <w:rPr>
                <w:rFonts w:ascii="Aptos" w:hAnsi="Aptos"/>
                <w:sz w:val="14"/>
              </w:rPr>
              <w:t>Request received</w:t>
            </w:r>
          </w:p>
        </w:tc>
        <w:tc>
          <w:tcPr>
            <w:tcW w:type="dxa" w:w="3168"/>
            <w:tcMar>
              <w:top w:w="70" w:type="dxa"/>
              <w:start w:w="80" w:type="dxa"/>
              <w:bottom w:w="70" w:type="dxa"/>
              <w:end w:w="80" w:type="dxa"/>
            </w:tcMar>
            <w:vAlign w:val="top"/>
          </w:tcPr>
          <w:p>
            <w:pPr>
              <w:spacing w:after="0" w:line="240" w:lineRule="auto"/>
            </w:pPr>
            <w:r>
              <w:rPr>
                <w:rFonts w:ascii="Aptos" w:hAnsi="Aptos"/>
                <w:sz w:val="14"/>
              </w:rPr>
              <w:t>Create request and send prompt acknowledgment; assign custodians.</w:t>
            </w:r>
          </w:p>
        </w:tc>
        <w:tc>
          <w:tcPr>
            <w:tcW w:type="dxa" w:w="3024"/>
            <w:tcMar>
              <w:top w:w="70" w:type="dxa"/>
              <w:start w:w="80" w:type="dxa"/>
              <w:bottom w:w="70" w:type="dxa"/>
              <w:end w:w="80" w:type="dxa"/>
            </w:tcMar>
            <w:vAlign w:val="top"/>
          </w:tcPr>
          <w:p>
            <w:pPr>
              <w:spacing w:after="0" w:line="240" w:lineRule="auto"/>
            </w:pPr>
            <w:r>
              <w:rPr>
                <w:rFonts w:ascii="Aptos" w:hAnsi="Aptos"/>
                <w:sz w:val="14"/>
              </w:rPr>
              <w:t>No numeric state deadline.</w:t>
            </w:r>
          </w:p>
        </w:tc>
        <w:tc>
          <w:tcPr>
            <w:tcW w:type="dxa" w:w="2232"/>
            <w:tcMar>
              <w:top w:w="70" w:type="dxa"/>
              <w:start w:w="80" w:type="dxa"/>
              <w:bottom w:w="70" w:type="dxa"/>
              <w:end w:w="80" w:type="dxa"/>
            </w:tcMar>
            <w:vAlign w:val="top"/>
          </w:tcPr>
          <w:p>
            <w:pPr>
              <w:spacing w:after="0" w:line="240" w:lineRule="auto"/>
            </w:pPr>
            <w:r>
              <w:rPr>
                <w:rFonts w:ascii="Aptos" w:hAnsi="Aptos"/>
                <w:sz w:val="14"/>
              </w:rPr>
              <w:t>Qualitative “prompt.”</w:t>
            </w:r>
          </w:p>
        </w:tc>
      </w:tr>
      <w:tr>
        <w:trPr>
          <w:cantSplit/>
        </w:trPr>
        <w:tc>
          <w:tcPr>
            <w:tcW w:type="dxa" w:w="2232"/>
            <w:shd w:fill="FAFCFE"/>
            <w:tcMar>
              <w:top w:w="70" w:type="dxa"/>
              <w:start w:w="80" w:type="dxa"/>
              <w:bottom w:w="70" w:type="dxa"/>
              <w:end w:w="80" w:type="dxa"/>
            </w:tcMar>
            <w:vAlign w:val="top"/>
          </w:tcPr>
          <w:p>
            <w:pPr>
              <w:spacing w:after="0" w:line="240" w:lineRule="auto"/>
            </w:pPr>
            <w:r>
              <w:rPr>
                <w:rFonts w:ascii="Aptos" w:hAnsi="Aptos"/>
                <w:sz w:val="14"/>
              </w:rPr>
              <w:t>Search begins</w:t>
            </w:r>
          </w:p>
        </w:tc>
        <w:tc>
          <w:tcPr>
            <w:tcW w:type="dxa" w:w="3168"/>
            <w:shd w:fill="FAFCFE"/>
            <w:tcMar>
              <w:top w:w="70" w:type="dxa"/>
              <w:start w:w="80" w:type="dxa"/>
              <w:bottom w:w="70" w:type="dxa"/>
              <w:end w:w="80" w:type="dxa"/>
            </w:tcMar>
            <w:vAlign w:val="top"/>
          </w:tcPr>
          <w:p>
            <w:pPr>
              <w:spacing w:after="0" w:line="240" w:lineRule="auto"/>
            </w:pPr>
            <w:r>
              <w:rPr>
                <w:rFonts w:ascii="Aptos" w:hAnsi="Aptos"/>
                <w:sz w:val="14"/>
              </w:rPr>
              <w:t>Make reasonable efforts to determine existence and location.</w:t>
            </w:r>
          </w:p>
        </w:tc>
        <w:tc>
          <w:tcPr>
            <w:tcW w:type="dxa" w:w="3024"/>
            <w:shd w:fill="FAFCFE"/>
            <w:tcMar>
              <w:top w:w="70" w:type="dxa"/>
              <w:start w:w="80" w:type="dxa"/>
              <w:bottom w:w="70" w:type="dxa"/>
              <w:end w:w="80" w:type="dxa"/>
            </w:tcMar>
            <w:vAlign w:val="top"/>
          </w:tcPr>
          <w:p>
            <w:pPr>
              <w:spacing w:after="0" w:line="240" w:lineRule="auto"/>
            </w:pPr>
            <w:r>
              <w:rPr>
                <w:rFonts w:ascii="Aptos" w:hAnsi="Aptos"/>
                <w:sz w:val="14"/>
              </w:rPr>
              <w:t>Status updates per city policy.</w:t>
            </w:r>
          </w:p>
        </w:tc>
        <w:tc>
          <w:tcPr>
            <w:tcW w:type="dxa" w:w="2232"/>
            <w:shd w:fill="FAFCFE"/>
            <w:tcMar>
              <w:top w:w="70" w:type="dxa"/>
              <w:start w:w="80" w:type="dxa"/>
              <w:bottom w:w="70" w:type="dxa"/>
              <w:end w:w="80" w:type="dxa"/>
            </w:tcMar>
            <w:vAlign w:val="top"/>
          </w:tcPr>
          <w:p>
            <w:pPr>
              <w:spacing w:after="0" w:line="240" w:lineRule="auto"/>
            </w:pPr>
            <w:r>
              <w:rPr>
                <w:rFonts w:ascii="Aptos" w:hAnsi="Aptos"/>
                <w:sz w:val="14"/>
              </w:rPr>
              <w:t>Good-faith standard.</w:t>
            </w:r>
          </w:p>
        </w:tc>
      </w:tr>
      <w:tr>
        <w:trPr>
          <w:cantSplit/>
        </w:trPr>
        <w:tc>
          <w:tcPr>
            <w:tcW w:type="dxa" w:w="2232"/>
            <w:tcMar>
              <w:top w:w="70" w:type="dxa"/>
              <w:start w:w="80" w:type="dxa"/>
              <w:bottom w:w="70" w:type="dxa"/>
              <w:end w:w="80" w:type="dxa"/>
            </w:tcMar>
            <w:vAlign w:val="top"/>
          </w:tcPr>
          <w:p>
            <w:pPr>
              <w:spacing w:after="0" w:line="240" w:lineRule="auto"/>
            </w:pPr>
            <w:r>
              <w:rPr>
                <w:rFonts w:ascii="Aptos" w:hAnsi="Aptos"/>
                <w:sz w:val="14"/>
              </w:rPr>
              <w:t>Description unusable</w:t>
            </w:r>
          </w:p>
        </w:tc>
        <w:tc>
          <w:tcPr>
            <w:tcW w:type="dxa" w:w="3168"/>
            <w:tcMar>
              <w:top w:w="70" w:type="dxa"/>
              <w:start w:w="80" w:type="dxa"/>
              <w:bottom w:w="70" w:type="dxa"/>
              <w:end w:w="80" w:type="dxa"/>
            </w:tcMar>
            <w:vAlign w:val="top"/>
          </w:tcPr>
          <w:p>
            <w:pPr>
              <w:spacing w:after="0" w:line="240" w:lineRule="auto"/>
            </w:pPr>
            <w:r>
              <w:rPr>
                <w:rFonts w:ascii="Aptos" w:hAnsi="Aptos"/>
                <w:sz w:val="14"/>
              </w:rPr>
              <w:t>Explain ambiguity; request focused clarification.</w:t>
            </w:r>
          </w:p>
        </w:tc>
        <w:tc>
          <w:tcPr>
            <w:tcW w:type="dxa" w:w="3024"/>
            <w:tcMar>
              <w:top w:w="70" w:type="dxa"/>
              <w:start w:w="80" w:type="dxa"/>
              <w:bottom w:w="70" w:type="dxa"/>
              <w:end w:w="80" w:type="dxa"/>
            </w:tcMar>
            <w:vAlign w:val="top"/>
          </w:tcPr>
          <w:p>
            <w:pPr>
              <w:spacing w:after="0" w:line="240" w:lineRule="auto"/>
            </w:pPr>
            <w:r>
              <w:rPr>
                <w:rFonts w:ascii="Aptos" w:hAnsi="Aptos"/>
                <w:sz w:val="14"/>
              </w:rPr>
              <w:t>Prompt communication.</w:t>
            </w:r>
          </w:p>
        </w:tc>
        <w:tc>
          <w:tcPr>
            <w:tcW w:type="dxa" w:w="2232"/>
            <w:tcMar>
              <w:top w:w="70" w:type="dxa"/>
              <w:start w:w="80" w:type="dxa"/>
              <w:bottom w:w="70" w:type="dxa"/>
              <w:end w:w="80" w:type="dxa"/>
            </w:tcMar>
            <w:vAlign w:val="top"/>
          </w:tcPr>
          <w:p>
            <w:pPr>
              <w:spacing w:after="0" w:line="240" w:lineRule="auto"/>
            </w:pPr>
            <w:r>
              <w:rPr>
                <w:rFonts w:ascii="Aptos" w:hAnsi="Aptos"/>
                <w:sz w:val="14"/>
              </w:rPr>
              <w:t>No statutory toll/abandonment.</w:t>
            </w:r>
          </w:p>
        </w:tc>
      </w:tr>
      <w:tr>
        <w:trPr>
          <w:cantSplit/>
        </w:trPr>
        <w:tc>
          <w:tcPr>
            <w:tcW w:type="dxa" w:w="2232"/>
            <w:shd w:fill="FAFCFE"/>
            <w:tcMar>
              <w:top w:w="70" w:type="dxa"/>
              <w:start w:w="80" w:type="dxa"/>
              <w:bottom w:w="70" w:type="dxa"/>
              <w:end w:w="80" w:type="dxa"/>
            </w:tcMar>
            <w:vAlign w:val="top"/>
          </w:tcPr>
          <w:p>
            <w:pPr>
              <w:spacing w:after="0" w:line="240" w:lineRule="auto"/>
            </w:pPr>
            <w:r>
              <w:rPr>
                <w:rFonts w:ascii="Aptos" w:hAnsi="Aptos"/>
                <w:sz w:val="14"/>
              </w:rPr>
              <w:t>Exemption applies</w:t>
            </w:r>
          </w:p>
        </w:tc>
        <w:tc>
          <w:tcPr>
            <w:tcW w:type="dxa" w:w="3168"/>
            <w:shd w:fill="FAFCFE"/>
            <w:tcMar>
              <w:top w:w="70" w:type="dxa"/>
              <w:start w:w="80" w:type="dxa"/>
              <w:bottom w:w="70" w:type="dxa"/>
              <w:end w:w="80" w:type="dxa"/>
            </w:tcMar>
            <w:vAlign w:val="top"/>
          </w:tcPr>
          <w:p>
            <w:pPr>
              <w:spacing w:after="0" w:line="240" w:lineRule="auto"/>
            </w:pPr>
            <w:r>
              <w:rPr>
                <w:rFonts w:ascii="Aptos" w:hAnsi="Aptos"/>
                <w:sz w:val="14"/>
              </w:rPr>
              <w:t>Redact valid portion; record statute and rationale.</w:t>
            </w:r>
          </w:p>
        </w:tc>
        <w:tc>
          <w:tcPr>
            <w:tcW w:type="dxa" w:w="3024"/>
            <w:shd w:fill="FAFCFE"/>
            <w:tcMar>
              <w:top w:w="70" w:type="dxa"/>
              <w:start w:w="80" w:type="dxa"/>
              <w:bottom w:w="70" w:type="dxa"/>
              <w:end w:w="80" w:type="dxa"/>
            </w:tcMar>
            <w:vAlign w:val="top"/>
          </w:tcPr>
          <w:p>
            <w:pPr>
              <w:spacing w:after="0" w:line="240" w:lineRule="auto"/>
            </w:pPr>
            <w:r>
              <w:rPr>
                <w:rFonts w:ascii="Aptos" w:hAnsi="Aptos"/>
                <w:sz w:val="14"/>
              </w:rPr>
              <w:t>Basis + citation; particularized writing if requested.</w:t>
            </w:r>
          </w:p>
        </w:tc>
        <w:tc>
          <w:tcPr>
            <w:tcW w:type="dxa" w:w="2232"/>
            <w:shd w:fill="FAFCFE"/>
            <w:tcMar>
              <w:top w:w="70" w:type="dxa"/>
              <w:start w:w="80" w:type="dxa"/>
              <w:bottom w:w="70" w:type="dxa"/>
              <w:end w:w="80" w:type="dxa"/>
            </w:tcMar>
            <w:vAlign w:val="top"/>
          </w:tcPr>
          <w:p>
            <w:pPr>
              <w:spacing w:after="0" w:line="240" w:lineRule="auto"/>
            </w:pPr>
            <w:r>
              <w:rPr>
                <w:rFonts w:ascii="Aptos" w:hAnsi="Aptos"/>
                <w:sz w:val="14"/>
              </w:rPr>
              <w:t>Segregable production remains active.</w:t>
            </w:r>
          </w:p>
        </w:tc>
      </w:tr>
      <w:tr>
        <w:trPr>
          <w:cantSplit/>
        </w:trPr>
        <w:tc>
          <w:tcPr>
            <w:tcW w:type="dxa" w:w="2232"/>
            <w:tcMar>
              <w:top w:w="70" w:type="dxa"/>
              <w:start w:w="80" w:type="dxa"/>
              <w:bottom w:w="70" w:type="dxa"/>
              <w:end w:w="80" w:type="dxa"/>
            </w:tcMar>
            <w:vAlign w:val="top"/>
          </w:tcPr>
          <w:p>
            <w:pPr>
              <w:spacing w:after="0" w:line="240" w:lineRule="auto"/>
            </w:pPr>
            <w:r>
              <w:rPr>
                <w:rFonts w:ascii="Aptos" w:hAnsi="Aptos"/>
                <w:sz w:val="14"/>
              </w:rPr>
              <w:t>Records ready</w:t>
            </w:r>
          </w:p>
        </w:tc>
        <w:tc>
          <w:tcPr>
            <w:tcW w:type="dxa" w:w="3168"/>
            <w:tcMar>
              <w:top w:w="70" w:type="dxa"/>
              <w:start w:w="80" w:type="dxa"/>
              <w:bottom w:w="70" w:type="dxa"/>
              <w:end w:w="80" w:type="dxa"/>
            </w:tcMar>
            <w:vAlign w:val="top"/>
          </w:tcPr>
          <w:p>
            <w:pPr>
              <w:spacing w:after="0" w:line="240" w:lineRule="auto"/>
            </w:pPr>
            <w:r>
              <w:rPr>
                <w:rFonts w:ascii="Aptos" w:hAnsi="Aptos"/>
                <w:sz w:val="14"/>
              </w:rPr>
              <w:t>Arrange inspection or copies.</w:t>
            </w:r>
          </w:p>
        </w:tc>
        <w:tc>
          <w:tcPr>
            <w:tcW w:type="dxa" w:w="3024"/>
            <w:tcMar>
              <w:top w:w="70" w:type="dxa"/>
              <w:start w:w="80" w:type="dxa"/>
              <w:bottom w:w="70" w:type="dxa"/>
              <w:end w:w="80" w:type="dxa"/>
            </w:tcMar>
            <w:vAlign w:val="top"/>
          </w:tcPr>
          <w:p>
            <w:pPr>
              <w:spacing w:after="0" w:line="240" w:lineRule="auto"/>
            </w:pPr>
            <w:r>
              <w:rPr>
                <w:rFonts w:ascii="Aptos" w:hAnsi="Aptos"/>
                <w:sz w:val="14"/>
              </w:rPr>
              <w:t>Provide in reasonable time.</w:t>
            </w:r>
          </w:p>
        </w:tc>
        <w:tc>
          <w:tcPr>
            <w:tcW w:type="dxa" w:w="2232"/>
            <w:tcMar>
              <w:top w:w="70" w:type="dxa"/>
              <w:start w:w="80" w:type="dxa"/>
              <w:bottom w:w="70" w:type="dxa"/>
              <w:end w:w="80" w:type="dxa"/>
            </w:tcMar>
            <w:vAlign w:val="top"/>
          </w:tcPr>
          <w:p>
            <w:pPr>
              <w:spacing w:after="0" w:line="240" w:lineRule="auto"/>
            </w:pPr>
            <w:r>
              <w:rPr>
                <w:rFonts w:ascii="Aptos" w:hAnsi="Aptos"/>
                <w:sz w:val="14"/>
              </w:rPr>
              <w:t>Payment gate for authorized copy fee.</w:t>
            </w:r>
          </w:p>
        </w:tc>
      </w:tr>
      <w:tr>
        <w:trPr>
          <w:cantSplit/>
        </w:trPr>
        <w:tc>
          <w:tcPr>
            <w:tcW w:type="dxa" w:w="2232"/>
            <w:shd w:fill="FAFCFE"/>
            <w:tcMar>
              <w:top w:w="70" w:type="dxa"/>
              <w:start w:w="80" w:type="dxa"/>
              <w:bottom w:w="70" w:type="dxa"/>
              <w:end w:w="80" w:type="dxa"/>
            </w:tcMar>
            <w:vAlign w:val="top"/>
          </w:tcPr>
          <w:p>
            <w:pPr>
              <w:spacing w:after="0" w:line="240" w:lineRule="auto"/>
            </w:pPr>
            <w:r>
              <w:rPr>
                <w:rFonts w:ascii="Aptos" w:hAnsi="Aptos"/>
                <w:sz w:val="14"/>
              </w:rPr>
              <w:t>Extensive resources likely</w:t>
            </w:r>
          </w:p>
        </w:tc>
        <w:tc>
          <w:tcPr>
            <w:tcW w:type="dxa" w:w="3168"/>
            <w:shd w:fill="FAFCFE"/>
            <w:tcMar>
              <w:top w:w="70" w:type="dxa"/>
              <w:start w:w="80" w:type="dxa"/>
              <w:bottom w:w="70" w:type="dxa"/>
              <w:end w:w="80" w:type="dxa"/>
            </w:tcMar>
            <w:vAlign w:val="top"/>
          </w:tcPr>
          <w:p>
            <w:pPr>
              <w:spacing w:after="0" w:line="240" w:lineRule="auto"/>
            </w:pPr>
            <w:r>
              <w:rPr>
                <w:rFonts w:ascii="Aptos" w:hAnsi="Aptos"/>
                <w:sz w:val="14"/>
              </w:rPr>
              <w:t>Document resource basis; calculate actual attributable charge.</w:t>
            </w:r>
          </w:p>
        </w:tc>
        <w:tc>
          <w:tcPr>
            <w:tcW w:type="dxa" w:w="3024"/>
            <w:shd w:fill="FAFCFE"/>
            <w:tcMar>
              <w:top w:w="70" w:type="dxa"/>
              <w:start w:w="80" w:type="dxa"/>
              <w:bottom w:w="70" w:type="dxa"/>
              <w:end w:w="80" w:type="dxa"/>
            </w:tcMar>
            <w:vAlign w:val="top"/>
          </w:tcPr>
          <w:p>
            <w:pPr>
              <w:spacing w:after="0" w:line="240" w:lineRule="auto"/>
            </w:pPr>
            <w:r>
              <w:rPr>
                <w:rFonts w:ascii="Aptos" w:hAnsi="Aptos"/>
                <w:sz w:val="14"/>
              </w:rPr>
              <w:t>Estimate/deposit under city policy.</w:t>
            </w:r>
          </w:p>
        </w:tc>
        <w:tc>
          <w:tcPr>
            <w:tcW w:type="dxa" w:w="2232"/>
            <w:shd w:fill="FAFCFE"/>
            <w:tcMar>
              <w:top w:w="70" w:type="dxa"/>
              <w:start w:w="80" w:type="dxa"/>
              <w:bottom w:w="70" w:type="dxa"/>
              <w:end w:w="80" w:type="dxa"/>
            </w:tcMar>
            <w:vAlign w:val="top"/>
          </w:tcPr>
          <w:p>
            <w:pPr>
              <w:spacing w:after="0" w:line="240" w:lineRule="auto"/>
            </w:pPr>
            <w:r>
              <w:rPr>
                <w:rFonts w:ascii="Aptos" w:hAnsi="Aptos"/>
                <w:sz w:val="14"/>
              </w:rPr>
              <w:t>Jurisdiction threshold; statutory reasonableness ceiling.</w:t>
            </w:r>
          </w:p>
        </w:tc>
      </w:tr>
      <w:tr>
        <w:trPr>
          <w:cantSplit/>
        </w:trPr>
        <w:tc>
          <w:tcPr>
            <w:tcW w:type="dxa" w:w="2232"/>
            <w:tcMar>
              <w:top w:w="70" w:type="dxa"/>
              <w:start w:w="80" w:type="dxa"/>
              <w:bottom w:w="70" w:type="dxa"/>
              <w:end w:w="80" w:type="dxa"/>
            </w:tcMar>
            <w:vAlign w:val="top"/>
          </w:tcPr>
          <w:p>
            <w:pPr>
              <w:spacing w:after="0" w:line="240" w:lineRule="auto"/>
            </w:pPr>
            <w:r>
              <w:rPr>
                <w:rFonts w:ascii="Aptos" w:hAnsi="Aptos"/>
                <w:sz w:val="14"/>
              </w:rPr>
              <w:t>No records found</w:t>
            </w:r>
          </w:p>
        </w:tc>
        <w:tc>
          <w:tcPr>
            <w:tcW w:type="dxa" w:w="3168"/>
            <w:tcMar>
              <w:top w:w="70" w:type="dxa"/>
              <w:start w:w="80" w:type="dxa"/>
              <w:bottom w:w="70" w:type="dxa"/>
              <w:end w:w="80" w:type="dxa"/>
            </w:tcMar>
            <w:vAlign w:val="top"/>
          </w:tcPr>
          <w:p>
            <w:pPr>
              <w:spacing w:after="0" w:line="240" w:lineRule="auto"/>
            </w:pPr>
            <w:r>
              <w:rPr>
                <w:rFonts w:ascii="Aptos" w:hAnsi="Aptos"/>
                <w:sz w:val="14"/>
              </w:rPr>
              <w:t>Document good-faith search and communicate.</w:t>
            </w:r>
          </w:p>
        </w:tc>
        <w:tc>
          <w:tcPr>
            <w:tcW w:type="dxa" w:w="3024"/>
            <w:tcMar>
              <w:top w:w="70" w:type="dxa"/>
              <w:start w:w="80" w:type="dxa"/>
              <w:bottom w:w="70" w:type="dxa"/>
              <w:end w:w="80" w:type="dxa"/>
            </w:tcMar>
            <w:vAlign w:val="top"/>
          </w:tcPr>
          <w:p>
            <w:pPr>
              <w:spacing w:after="0" w:line="240" w:lineRule="auto"/>
            </w:pPr>
            <w:r>
              <w:rPr>
                <w:rFonts w:ascii="Aptos" w:hAnsi="Aptos"/>
                <w:sz w:val="14"/>
              </w:rPr>
              <w:t>Prompt no-record response.</w:t>
            </w:r>
          </w:p>
        </w:tc>
        <w:tc>
          <w:tcPr>
            <w:tcW w:type="dxa" w:w="2232"/>
            <w:tcMar>
              <w:top w:w="70" w:type="dxa"/>
              <w:start w:w="80" w:type="dxa"/>
              <w:bottom w:w="70" w:type="dxa"/>
              <w:end w:w="80" w:type="dxa"/>
            </w:tcMar>
            <w:vAlign w:val="top"/>
          </w:tcPr>
          <w:p>
            <w:pPr>
              <w:spacing w:after="0" w:line="240" w:lineRule="auto"/>
            </w:pPr>
            <w:r>
              <w:rPr>
                <w:rFonts w:ascii="Aptos" w:hAnsi="Aptos"/>
                <w:sz w:val="14"/>
              </w:rPr>
              <w:t>Close factual branch.</w:t>
            </w:r>
          </w:p>
        </w:tc>
      </w:tr>
    </w:tbl>
    <w:p>
      <w:pPr>
        <w:pStyle w:val="Heading1"/>
      </w:pPr>
      <w:r>
        <w:t>8. Required jurisdiction-configuration fields</w:t>
      </w:r>
    </w:p>
    <w:tbl>
      <w:tblPr>
        <w:tblStyle w:val="TableGrid"/>
        <w:tblW w:type="auto" w:w="0"/>
        <w:jc w:val="center"/>
        <w:tblLayout w:type="fixed"/>
        <w:tblLook w:firstColumn="1" w:firstRow="1" w:lastColumn="0" w:lastRow="0" w:noHBand="0" w:noVBand="1" w:val="04A0"/>
      </w:tblPr>
      <w:tblGrid>
        <w:gridCol w:w="3485"/>
        <w:gridCol w:w="3485"/>
        <w:gridCol w:w="3485"/>
      </w:tblGrid>
      <w:tr>
        <w:trPr>
          <w:tblHeader w:val="true"/>
          <w:cantSplit/>
        </w:trPr>
        <w:tc>
          <w:tcPr>
            <w:tcW w:type="dxa" w:w="3168"/>
            <w:shd w:fill="17365D"/>
            <w:tcMar>
              <w:top w:w="70" w:type="dxa"/>
              <w:start w:w="80" w:type="dxa"/>
              <w:bottom w:w="70" w:type="dxa"/>
              <w:end w:w="80" w:type="dxa"/>
            </w:tcMar>
          </w:tcPr>
          <w:p>
            <w:pPr>
              <w:spacing w:after="0"/>
              <w:jc w:val="left"/>
            </w:pPr>
            <w:r>
              <w:rPr>
                <w:b/>
                <w:color w:val="FFFFFF"/>
                <w:sz w:val="15"/>
              </w:rPr>
              <w:t>Field</w:t>
            </w:r>
          </w:p>
        </w:tc>
        <w:tc>
          <w:tcPr>
            <w:tcW w:type="dxa" w:w="3240"/>
            <w:shd w:fill="17365D"/>
            <w:tcMar>
              <w:top w:w="70" w:type="dxa"/>
              <w:start w:w="80" w:type="dxa"/>
              <w:bottom w:w="70" w:type="dxa"/>
              <w:end w:w="80" w:type="dxa"/>
            </w:tcMar>
          </w:tcPr>
          <w:p>
            <w:pPr>
              <w:spacing w:after="0"/>
              <w:jc w:val="left"/>
            </w:pPr>
            <w:r>
              <w:rPr>
                <w:b/>
                <w:color w:val="FFFFFF"/>
                <w:sz w:val="15"/>
              </w:rPr>
              <w:t>State-supplied default</w:t>
            </w:r>
          </w:p>
        </w:tc>
        <w:tc>
          <w:tcPr>
            <w:tcW w:type="dxa" w:w="4248"/>
            <w:shd w:fill="17365D"/>
            <w:tcMar>
              <w:top w:w="70" w:type="dxa"/>
              <w:start w:w="80" w:type="dxa"/>
              <w:bottom w:w="70" w:type="dxa"/>
              <w:end w:w="80" w:type="dxa"/>
            </w:tcMar>
          </w:tcPr>
          <w:p>
            <w:pPr>
              <w:spacing w:after="0"/>
              <w:jc w:val="left"/>
            </w:pPr>
            <w:r>
              <w:rPr>
                <w:b/>
                <w:color w:val="FFFFFF"/>
                <w:sz w:val="15"/>
              </w:rPr>
              <w:t>City configuration needed</w:t>
            </w:r>
          </w:p>
        </w:tc>
      </w:tr>
      <w:tr>
        <w:trPr>
          <w:cantSplit/>
        </w:trPr>
        <w:tc>
          <w:tcPr>
            <w:tcW w:type="dxa" w:w="3168"/>
            <w:tcMar>
              <w:top w:w="70" w:type="dxa"/>
              <w:start w:w="80" w:type="dxa"/>
              <w:bottom w:w="70" w:type="dxa"/>
              <w:end w:w="80" w:type="dxa"/>
            </w:tcMar>
            <w:vAlign w:val="top"/>
          </w:tcPr>
          <w:p>
            <w:pPr>
              <w:spacing w:after="0" w:line="240" w:lineRule="auto"/>
            </w:pPr>
            <w:r>
              <w:rPr>
                <w:rFonts w:ascii="Aptos" w:hAnsi="Aptos"/>
                <w:sz w:val="15"/>
              </w:rPr>
              <w:t>Prompt / reasonable service goals</w:t>
            </w:r>
          </w:p>
        </w:tc>
        <w:tc>
          <w:tcPr>
            <w:tcW w:type="dxa" w:w="3240"/>
            <w:tcMar>
              <w:top w:w="70" w:type="dxa"/>
              <w:start w:w="80" w:type="dxa"/>
              <w:bottom w:w="70" w:type="dxa"/>
              <w:end w:w="80" w:type="dxa"/>
            </w:tcMar>
            <w:vAlign w:val="top"/>
          </w:tcPr>
          <w:p>
            <w:pPr>
              <w:spacing w:after="0" w:line="240" w:lineRule="auto"/>
            </w:pPr>
            <w:r>
              <w:rPr>
                <w:rFonts w:ascii="Aptos" w:hAnsi="Aptos"/>
                <w:sz w:val="15"/>
              </w:rPr>
              <w:t>Qualitative statewide duty.</w:t>
            </w:r>
          </w:p>
        </w:tc>
        <w:tc>
          <w:tcPr>
            <w:tcW w:type="dxa" w:w="4248"/>
            <w:tcMar>
              <w:top w:w="70" w:type="dxa"/>
              <w:start w:w="80" w:type="dxa"/>
              <w:bottom w:w="70" w:type="dxa"/>
              <w:end w:w="80" w:type="dxa"/>
            </w:tcMar>
            <w:vAlign w:val="top"/>
          </w:tcPr>
          <w:p>
            <w:pPr>
              <w:spacing w:after="0" w:line="240" w:lineRule="auto"/>
            </w:pPr>
            <w:r>
              <w:rPr>
                <w:rFonts w:ascii="Aptos" w:hAnsi="Aptos"/>
                <w:sz w:val="15"/>
              </w:rPr>
              <w:t>Internal acknowledgment and production targets, escalation.</w:t>
            </w:r>
          </w:p>
        </w:tc>
      </w:tr>
      <w:tr>
        <w:trPr>
          <w:cantSplit/>
        </w:trPr>
        <w:tc>
          <w:tcPr>
            <w:tcW w:type="dxa" w:w="3168"/>
            <w:shd w:fill="FAFCFE"/>
            <w:tcMar>
              <w:top w:w="70" w:type="dxa"/>
              <w:start w:w="80" w:type="dxa"/>
              <w:bottom w:w="70" w:type="dxa"/>
              <w:end w:w="80" w:type="dxa"/>
            </w:tcMar>
            <w:vAlign w:val="top"/>
          </w:tcPr>
          <w:p>
            <w:pPr>
              <w:spacing w:after="0" w:line="240" w:lineRule="auto"/>
            </w:pPr>
            <w:r>
              <w:rPr>
                <w:rFonts w:ascii="Aptos" w:hAnsi="Aptos"/>
                <w:sz w:val="15"/>
              </w:rPr>
              <w:t>Clarification nonresponse</w:t>
            </w:r>
          </w:p>
        </w:tc>
        <w:tc>
          <w:tcPr>
            <w:tcW w:type="dxa" w:w="3240"/>
            <w:shd w:fill="FAFCFE"/>
            <w:tcMar>
              <w:top w:w="70" w:type="dxa"/>
              <w:start w:w="80" w:type="dxa"/>
              <w:bottom w:w="70" w:type="dxa"/>
              <w:end w:w="80" w:type="dxa"/>
            </w:tcMar>
            <w:vAlign w:val="top"/>
          </w:tcPr>
          <w:p>
            <w:pPr>
              <w:spacing w:after="0" w:line="240" w:lineRule="auto"/>
            </w:pPr>
            <w:r>
              <w:rPr>
                <w:rFonts w:ascii="Aptos" w:hAnsi="Aptos"/>
                <w:sz w:val="15"/>
              </w:rPr>
              <w:t>No statewide period.</w:t>
            </w:r>
          </w:p>
        </w:tc>
        <w:tc>
          <w:tcPr>
            <w:tcW w:type="dxa" w:w="4248"/>
            <w:shd w:fill="FAFCFE"/>
            <w:tcMar>
              <w:top w:w="70" w:type="dxa"/>
              <w:start w:w="80" w:type="dxa"/>
              <w:bottom w:w="70" w:type="dxa"/>
              <w:end w:w="80" w:type="dxa"/>
            </w:tcMar>
            <w:vAlign w:val="top"/>
          </w:tcPr>
          <w:p>
            <w:pPr>
              <w:spacing w:after="0" w:line="240" w:lineRule="auto"/>
            </w:pPr>
            <w:r>
              <w:rPr>
                <w:rFonts w:ascii="Aptos" w:hAnsi="Aptos"/>
                <w:sz w:val="15"/>
              </w:rPr>
              <w:t>Reminder and closure/reopen policy.</w:t>
            </w:r>
          </w:p>
        </w:tc>
      </w:tr>
      <w:tr>
        <w:trPr>
          <w:cantSplit/>
        </w:trPr>
        <w:tc>
          <w:tcPr>
            <w:tcW w:type="dxa" w:w="3168"/>
            <w:tcMar>
              <w:top w:w="70" w:type="dxa"/>
              <w:start w:w="80" w:type="dxa"/>
              <w:bottom w:w="70" w:type="dxa"/>
              <w:end w:w="80" w:type="dxa"/>
            </w:tcMar>
            <w:vAlign w:val="top"/>
          </w:tcPr>
          <w:p>
            <w:pPr>
              <w:spacing w:after="0" w:line="240" w:lineRule="auto"/>
            </w:pPr>
            <w:r>
              <w:rPr>
                <w:rFonts w:ascii="Aptos" w:hAnsi="Aptos"/>
                <w:sz w:val="15"/>
              </w:rPr>
              <w:t>Extensive-use definition</w:t>
            </w:r>
          </w:p>
        </w:tc>
        <w:tc>
          <w:tcPr>
            <w:tcW w:type="dxa" w:w="3240"/>
            <w:tcMar>
              <w:top w:w="70" w:type="dxa"/>
              <w:start w:w="80" w:type="dxa"/>
              <w:bottom w:w="70" w:type="dxa"/>
              <w:end w:w="80" w:type="dxa"/>
            </w:tcMar>
            <w:vAlign w:val="top"/>
          </w:tcPr>
          <w:p>
            <w:pPr>
              <w:spacing w:after="0" w:line="240" w:lineRule="auto"/>
            </w:pPr>
            <w:r>
              <w:rPr>
                <w:rFonts w:ascii="Aptos" w:hAnsi="Aptos"/>
                <w:sz w:val="15"/>
              </w:rPr>
              <w:t>Qualitative statutory condition.</w:t>
            </w:r>
          </w:p>
        </w:tc>
        <w:tc>
          <w:tcPr>
            <w:tcW w:type="dxa" w:w="4248"/>
            <w:tcMar>
              <w:top w:w="70" w:type="dxa"/>
              <w:start w:w="80" w:type="dxa"/>
              <w:bottom w:w="70" w:type="dxa"/>
              <w:end w:w="80" w:type="dxa"/>
            </w:tcMar>
            <w:vAlign w:val="top"/>
          </w:tcPr>
          <w:p>
            <w:pPr>
              <w:spacing w:after="0" w:line="240" w:lineRule="auto"/>
            </w:pPr>
            <w:r>
              <w:rPr>
                <w:rFonts w:ascii="Aptos" w:hAnsi="Aptos"/>
                <w:sz w:val="15"/>
              </w:rPr>
              <w:t>Local time/resource threshold and documentation standard.</w:t>
            </w:r>
          </w:p>
        </w:tc>
      </w:tr>
      <w:tr>
        <w:trPr>
          <w:cantSplit/>
        </w:trPr>
        <w:tc>
          <w:tcPr>
            <w:tcW w:type="dxa" w:w="3168"/>
            <w:shd w:fill="FAFCFE"/>
            <w:tcMar>
              <w:top w:w="70" w:type="dxa"/>
              <w:start w:w="80" w:type="dxa"/>
              <w:bottom w:w="70" w:type="dxa"/>
              <w:end w:w="80" w:type="dxa"/>
            </w:tcMar>
            <w:vAlign w:val="top"/>
          </w:tcPr>
          <w:p>
            <w:pPr>
              <w:spacing w:after="0" w:line="240" w:lineRule="auto"/>
            </w:pPr>
            <w:r>
              <w:rPr>
                <w:rFonts w:ascii="Aptos" w:hAnsi="Aptos"/>
                <w:sz w:val="15"/>
              </w:rPr>
              <w:t>Special-service rates</w:t>
            </w:r>
          </w:p>
        </w:tc>
        <w:tc>
          <w:tcPr>
            <w:tcW w:type="dxa" w:w="3240"/>
            <w:shd w:fill="FAFCFE"/>
            <w:tcMar>
              <w:top w:w="70" w:type="dxa"/>
              <w:start w:w="80" w:type="dxa"/>
              <w:bottom w:w="70" w:type="dxa"/>
              <w:end w:w="80" w:type="dxa"/>
            </w:tcMar>
            <w:vAlign w:val="top"/>
          </w:tcPr>
          <w:p>
            <w:pPr>
              <w:spacing w:after="0" w:line="240" w:lineRule="auto"/>
            </w:pPr>
            <w:r>
              <w:rPr>
                <w:rFonts w:ascii="Aptos" w:hAnsi="Aptos"/>
                <w:sz w:val="15"/>
              </w:rPr>
              <w:t>Actual incurred/attributable cost.</w:t>
            </w:r>
          </w:p>
        </w:tc>
        <w:tc>
          <w:tcPr>
            <w:tcW w:type="dxa" w:w="4248"/>
            <w:shd w:fill="FAFCFE"/>
            <w:tcMar>
              <w:top w:w="70" w:type="dxa"/>
              <w:start w:w="80" w:type="dxa"/>
              <w:bottom w:w="70" w:type="dxa"/>
              <w:end w:w="80" w:type="dxa"/>
            </w:tcMar>
            <w:vAlign w:val="top"/>
          </w:tcPr>
          <w:p>
            <w:pPr>
              <w:spacing w:after="0" w:line="240" w:lineRule="auto"/>
            </w:pPr>
            <w:r>
              <w:rPr>
                <w:rFonts w:ascii="Aptos" w:hAnsi="Aptos"/>
                <w:sz w:val="15"/>
              </w:rPr>
              <w:t>Eligible roles, hourly calculation, IT cost method.</w:t>
            </w:r>
          </w:p>
        </w:tc>
      </w:tr>
      <w:tr>
        <w:trPr>
          <w:cantSplit/>
        </w:trPr>
        <w:tc>
          <w:tcPr>
            <w:tcW w:type="dxa" w:w="3168"/>
            <w:tcMar>
              <w:top w:w="70" w:type="dxa"/>
              <w:start w:w="80" w:type="dxa"/>
              <w:bottom w:w="70" w:type="dxa"/>
              <w:end w:w="80" w:type="dxa"/>
            </w:tcMar>
            <w:vAlign w:val="top"/>
          </w:tcPr>
          <w:p>
            <w:pPr>
              <w:spacing w:after="0" w:line="240" w:lineRule="auto"/>
            </w:pPr>
            <w:r>
              <w:rPr>
                <w:rFonts w:ascii="Aptos" w:hAnsi="Aptos"/>
                <w:sz w:val="15"/>
              </w:rPr>
              <w:t>Estimate/deposit</w:t>
            </w:r>
          </w:p>
        </w:tc>
        <w:tc>
          <w:tcPr>
            <w:tcW w:type="dxa" w:w="3240"/>
            <w:tcMar>
              <w:top w:w="70" w:type="dxa"/>
              <w:start w:w="80" w:type="dxa"/>
              <w:bottom w:w="70" w:type="dxa"/>
              <w:end w:w="80" w:type="dxa"/>
            </w:tcMar>
            <w:vAlign w:val="top"/>
          </w:tcPr>
          <w:p>
            <w:pPr>
              <w:spacing w:after="0" w:line="240" w:lineRule="auto"/>
            </w:pPr>
            <w:r>
              <w:rPr>
                <w:rFonts w:ascii="Aptos" w:hAnsi="Aptos"/>
                <w:sz w:val="15"/>
              </w:rPr>
              <w:t>No statewide trigger/percentage.</w:t>
            </w:r>
          </w:p>
        </w:tc>
        <w:tc>
          <w:tcPr>
            <w:tcW w:type="dxa" w:w="4248"/>
            <w:tcMar>
              <w:top w:w="70" w:type="dxa"/>
              <w:start w:w="80" w:type="dxa"/>
              <w:bottom w:w="70" w:type="dxa"/>
              <w:end w:w="80" w:type="dxa"/>
            </w:tcMar>
            <w:vAlign w:val="top"/>
          </w:tcPr>
          <w:p>
            <w:pPr>
              <w:spacing w:after="0" w:line="240" w:lineRule="auto"/>
            </w:pPr>
            <w:r>
              <w:rPr>
                <w:rFonts w:ascii="Aptos" w:hAnsi="Aptos"/>
                <w:sz w:val="15"/>
              </w:rPr>
              <w:t>Threshold, amount, acceptance, payment and reconciliation.</w:t>
            </w:r>
          </w:p>
        </w:tc>
      </w:tr>
      <w:tr>
        <w:trPr>
          <w:cantSplit/>
        </w:trPr>
        <w:tc>
          <w:tcPr>
            <w:tcW w:type="dxa" w:w="3168"/>
            <w:shd w:fill="FAFCFE"/>
            <w:tcMar>
              <w:top w:w="70" w:type="dxa"/>
              <w:start w:w="80" w:type="dxa"/>
              <w:bottom w:w="70" w:type="dxa"/>
              <w:end w:w="80" w:type="dxa"/>
            </w:tcMar>
            <w:vAlign w:val="top"/>
          </w:tcPr>
          <w:p>
            <w:pPr>
              <w:spacing w:after="0" w:line="240" w:lineRule="auto"/>
            </w:pPr>
            <w:r>
              <w:rPr>
                <w:rFonts w:ascii="Aptos" w:hAnsi="Aptos"/>
                <w:sz w:val="15"/>
              </w:rPr>
              <w:t>Operational classes</w:t>
            </w:r>
          </w:p>
        </w:tc>
        <w:tc>
          <w:tcPr>
            <w:tcW w:type="dxa" w:w="3240"/>
            <w:shd w:fill="FAFCFE"/>
            <w:tcMar>
              <w:top w:w="70" w:type="dxa"/>
              <w:start w:w="80" w:type="dxa"/>
              <w:bottom w:w="70" w:type="dxa"/>
              <w:end w:w="80" w:type="dxa"/>
            </w:tcMar>
            <w:vAlign w:val="top"/>
          </w:tcPr>
          <w:p>
            <w:pPr>
              <w:spacing w:after="0" w:line="240" w:lineRule="auto"/>
            </w:pPr>
            <w:r>
              <w:rPr>
                <w:rFonts w:ascii="Aptos" w:hAnsi="Aptos"/>
                <w:sz w:val="15"/>
              </w:rPr>
              <w:t>No legal classes.</w:t>
            </w:r>
          </w:p>
        </w:tc>
        <w:tc>
          <w:tcPr>
            <w:tcW w:type="dxa" w:w="4248"/>
            <w:shd w:fill="FAFCFE"/>
            <w:tcMar>
              <w:top w:w="70" w:type="dxa"/>
              <w:start w:w="80" w:type="dxa"/>
              <w:bottom w:w="70" w:type="dxa"/>
              <w:end w:w="80" w:type="dxa"/>
            </w:tcMar>
            <w:vAlign w:val="top"/>
          </w:tcPr>
          <w:p>
            <w:pPr>
              <w:spacing w:after="0" w:line="240" w:lineRule="auto"/>
            </w:pPr>
            <w:r>
              <w:rPr>
                <w:rFonts w:ascii="Aptos" w:hAnsi="Aptos"/>
                <w:sz w:val="15"/>
              </w:rPr>
              <w:t>Routine/standard/complex labels and internal targets.</w:t>
            </w:r>
          </w:p>
        </w:tc>
      </w:tr>
      <w:tr>
        <w:trPr>
          <w:cantSplit/>
        </w:trPr>
        <w:tc>
          <w:tcPr>
            <w:tcW w:type="dxa" w:w="3168"/>
            <w:tcMar>
              <w:top w:w="70" w:type="dxa"/>
              <w:start w:w="80" w:type="dxa"/>
              <w:bottom w:w="70" w:type="dxa"/>
              <w:end w:w="80" w:type="dxa"/>
            </w:tcMar>
            <w:vAlign w:val="top"/>
          </w:tcPr>
          <w:p>
            <w:pPr>
              <w:spacing w:after="0" w:line="240" w:lineRule="auto"/>
            </w:pPr>
            <w:r>
              <w:rPr>
                <w:rFonts w:ascii="Aptos" w:hAnsi="Aptos"/>
                <w:sz w:val="15"/>
              </w:rPr>
              <w:t>Denial template</w:t>
            </w:r>
          </w:p>
        </w:tc>
        <w:tc>
          <w:tcPr>
            <w:tcW w:type="dxa" w:w="3240"/>
            <w:tcMar>
              <w:top w:w="70" w:type="dxa"/>
              <w:start w:w="80" w:type="dxa"/>
              <w:bottom w:w="70" w:type="dxa"/>
              <w:end w:w="80" w:type="dxa"/>
            </w:tcMar>
            <w:vAlign w:val="top"/>
          </w:tcPr>
          <w:p>
            <w:pPr>
              <w:spacing w:after="0" w:line="240" w:lineRule="auto"/>
            </w:pPr>
            <w:r>
              <w:rPr>
                <w:rFonts w:ascii="Aptos" w:hAnsi="Aptos"/>
                <w:sz w:val="15"/>
              </w:rPr>
              <w:t>Citation mandatory; particularity on request.</w:t>
            </w:r>
          </w:p>
        </w:tc>
        <w:tc>
          <w:tcPr>
            <w:tcW w:type="dxa" w:w="4248"/>
            <w:tcMar>
              <w:top w:w="70" w:type="dxa"/>
              <w:start w:w="80" w:type="dxa"/>
              <w:bottom w:w="70" w:type="dxa"/>
              <w:end w:w="80" w:type="dxa"/>
            </w:tcMar>
            <w:vAlign w:val="top"/>
          </w:tcPr>
          <w:p>
            <w:pPr>
              <w:spacing w:after="0" w:line="240" w:lineRule="auto"/>
            </w:pPr>
            <w:r>
              <w:rPr>
                <w:rFonts w:ascii="Aptos" w:hAnsi="Aptos"/>
                <w:sz w:val="15"/>
              </w:rPr>
              <w:t>Default written explanation, reviewer, appeal/litigation notice.</w:t>
            </w:r>
          </w:p>
        </w:tc>
      </w:tr>
    </w:tbl>
    <w:p>
      <w:pPr>
        <w:pStyle w:val="Heading1"/>
      </w:pPr>
      <w:r>
        <w:t>9. Suggested workflow states for this jurisdiction</w:t>
      </w:r>
    </w:p>
    <w:p>
      <w:pPr>
        <w:spacing w:after="40"/>
      </w:pPr>
      <w:r>
        <w:rPr>
          <w:b/>
          <w:sz w:val="17"/>
        </w:rPr>
        <w:t>Received</w:t>
      </w:r>
      <w:r>
        <w:t xml:space="preserve">  →  </w:t>
      </w:r>
      <w:r>
        <w:rPr>
          <w:b w:val="0"/>
          <w:sz w:val="17"/>
        </w:rPr>
        <w:t>Prompt Acknowledgment</w:t>
      </w:r>
      <w:r>
        <w:t xml:space="preserve">  →  </w:t>
      </w:r>
      <w:r>
        <w:rPr>
          <w:b w:val="0"/>
          <w:sz w:val="17"/>
        </w:rPr>
        <w:t>Custodian Search</w:t>
      </w:r>
      <w:r>
        <w:t xml:space="preserve">  →  </w:t>
      </w:r>
      <w:r>
        <w:rPr>
          <w:b w:val="0"/>
          <w:sz w:val="17"/>
        </w:rPr>
        <w:t>Clarification / Exemption / Extensive-Use Review</w:t>
      </w:r>
      <w:r>
        <w:t xml:space="preserve">  →  </w:t>
      </w:r>
      <w:r>
        <w:rPr>
          <w:b w:val="0"/>
          <w:sz w:val="17"/>
        </w:rPr>
        <w:t>Estimate or Deposit Pending</w:t>
      </w:r>
      <w:r>
        <w:t xml:space="preserve">  →  </w:t>
      </w:r>
      <w:r>
        <w:rPr>
          <w:b w:val="0"/>
          <w:sz w:val="17"/>
        </w:rPr>
        <w:t>Redaction &amp; Production</w:t>
      </w:r>
      <w:r>
        <w:t xml:space="preserve">  →  </w:t>
      </w:r>
      <w:r>
        <w:rPr>
          <w:b w:val="0"/>
          <w:sz w:val="17"/>
        </w:rPr>
        <w:t>Inspection / Payment &amp; Delivery</w:t>
      </w:r>
      <w:r>
        <w:t xml:space="preserve">  →  </w:t>
      </w:r>
      <w:r>
        <w:rPr>
          <w:b w:val="0"/>
          <w:sz w:val="17"/>
        </w:rPr>
        <w:t>Closed</w:t>
      </w:r>
    </w:p>
    <w:tbl>
      <w:tblPr>
        <w:tblW w:type="auto" w:w="0"/>
        <w:jc w:val="center"/>
        <w:tblLayout w:type="fixed"/>
        <w:tblLook w:firstColumn="1" w:firstRow="1" w:lastColumn="0" w:lastRow="0" w:noHBand="0" w:noVBand="1" w:val="04A0"/>
      </w:tblPr>
      <w:tblGrid>
        <w:gridCol w:w="10454"/>
      </w:tblGrid>
      <w:tr>
        <w:tc>
          <w:tcPr>
            <w:tcW w:type="dxa" w:w="10152"/>
            <w:shd w:fill="F3F6F9"/>
            <w:tcMar>
              <w:top w:w="90" w:type="dxa"/>
              <w:start w:w="120" w:type="dxa"/>
              <w:bottom w:w="90" w:type="dxa"/>
              <w:end w:w="120" w:type="dxa"/>
            </w:tcMar>
          </w:tcPr>
          <w:p>
            <w:pPr>
              <w:spacing w:after="0"/>
            </w:pPr>
            <w:r>
              <w:rPr>
                <w:b/>
                <w:color w:val="17365D"/>
              </w:rPr>
              <w:t xml:space="preserve">Implementation boundary: </w:t>
            </w:r>
            <w:r>
              <w:t>Automate policy service levels, fee math, redaction logs, and communications, but never present a local target as the statewide legal deadline. Humans decide reasonableness, extensive use, exemption applicability, and search sufficiency.</w:t>
            </w:r>
          </w:p>
        </w:tc>
      </w:tr>
    </w:tbl>
    <w:p>
      <w:pPr>
        <w:pStyle w:val="Heading1"/>
      </w:pPr>
      <w:r>
        <w:t>10. Confidence and unresolved local-policy questions</w:t>
      </w:r>
    </w:p>
    <w:p>
      <w:pPr>
        <w:pStyle w:val="CompactList"/>
      </w:pPr>
      <w:r>
        <w:rPr>
          <w:b/>
        </w:rPr>
        <w:t xml:space="preserve">• </w:t>
      </w:r>
      <w:r>
        <w:t>High confidence in the prompt/good-faith standard, exemption communications, segregation duty, and §119.07 fee components.</w:t>
      </w:r>
    </w:p>
    <w:p>
      <w:pPr>
        <w:pStyle w:val="CompactList"/>
      </w:pPr>
      <w:r>
        <w:rPr>
          <w:b/>
        </w:rPr>
        <w:t xml:space="preserve">• </w:t>
      </w:r>
      <w:r>
        <w:t>The absence of statewide numeric deadlines and extensive-use thresholds is central: those are city configuration values constrained by reasonableness and actual cost.</w:t>
      </w:r>
    </w:p>
    <w:p>
      <w:pPr>
        <w:pStyle w:val="CompactList"/>
      </w:pPr>
      <w:r>
        <w:rPr>
          <w:b/>
        </w:rPr>
        <w:t xml:space="preserve">• </w:t>
      </w:r>
      <w:r>
        <w:t>Local policies and relevant Florida appellate decisions should be reviewed before selecting operational time targets or extensive-use thresholds.</w:t>
      </w:r>
    </w:p>
    <w:p>
      <w:pPr>
        <w:pStyle w:val="Heading1"/>
      </w:pPr>
      <w:r>
        <w:t>Primary authorities and official resources</w:t>
      </w:r>
    </w:p>
    <w:p>
      <w:pPr>
        <w:pStyle w:val="CompactList"/>
      </w:pPr>
      <w:r>
        <w:rPr>
          <w:b/>
        </w:rPr>
        <w:t xml:space="preserve">• Florida Statutes §119.07 (2025): </w:t>
      </w:r>
      <w:hyperlink r:id="rId11">
        <w:r>
          <w:rPr>
            <w:color w:val="0563C1"/>
            <w:u w:val="single"/>
          </w:rPr>
          <w:t>https://www.leg.state.fl.us/statutes/index.cfm?App_mode=Display_Statute&amp;URL=0100-0199/0119/Sections/0119.07.html</w:t>
        </w:r>
      </w:hyperlink>
    </w:p>
    <w:p>
      <w:pPr>
        <w:pStyle w:val="CompactList"/>
      </w:pPr>
      <w:r>
        <w:rPr>
          <w:b/>
        </w:rPr>
        <w:t xml:space="preserve">• Florida Statutes, chapter 119: </w:t>
      </w:r>
      <w:hyperlink r:id="rId12">
        <w:r>
          <w:rPr>
            <w:color w:val="0563C1"/>
            <w:u w:val="single"/>
          </w:rPr>
          <w:t>https://www.leg.state.fl.us/statutes/index.cfm?App_mode=Display_Statute&amp;URL=0100-0199/0119/0119.html</w:t>
        </w:r>
      </w:hyperlink>
    </w:p>
    <w:p>
      <w:pPr>
        <w:pStyle w:val="CompactList"/>
      </w:pPr>
      <w:r>
        <w:rPr>
          <w:b/>
        </w:rPr>
        <w:t xml:space="preserve">• Florida Attorney General, Government-in-the-Sunshine Manual: </w:t>
      </w:r>
      <w:hyperlink r:id="rId13">
        <w:r>
          <w:rPr>
            <w:color w:val="0563C1"/>
            <w:u w:val="single"/>
          </w:rPr>
          <w:t>https://www.myfloridalegal.com/open-government/the-quotsunshinequot-manual</w:t>
        </w:r>
      </w:hyperlink>
    </w:p>
    <w:tbl>
      <w:tblPr>
        <w:tblW w:type="auto" w:w="0"/>
        <w:jc w:val="center"/>
        <w:tblLayout w:type="fixed"/>
        <w:tblLook w:firstColumn="1" w:firstRow="1" w:lastColumn="0" w:lastRow="0" w:noHBand="0" w:noVBand="1" w:val="04A0"/>
      </w:tblPr>
      <w:tblGrid>
        <w:gridCol w:w="10454"/>
      </w:tblGrid>
      <w:tr>
        <w:tc>
          <w:tcPr>
            <w:tcW w:type="dxa" w:w="10152"/>
            <w:shd w:fill="F3F6F9"/>
            <w:tcMar>
              <w:top w:w="90" w:type="dxa"/>
              <w:start w:w="120" w:type="dxa"/>
              <w:bottom w:w="90" w:type="dxa"/>
              <w:end w:w="120" w:type="dxa"/>
            </w:tcMar>
          </w:tcPr>
          <w:p>
            <w:pPr>
              <w:spacing w:after="0"/>
            </w:pPr>
            <w:r>
              <w:rPr>
                <w:b/>
                <w:color w:val="17365D"/>
              </w:rPr>
              <w:t xml:space="preserve">Legal-use caution: </w:t>
            </w:r>
            <w:r>
              <w:t>This is implementation-oriented legal research, not legal advice. Before production deployment, the city should validate the configuration against current statutes, regulations, controlling decisions, Attorney General or oversight guidance, and the city's adopted fee and records policies.</w:t>
            </w:r>
          </w:p>
        </w:tc>
      </w:tr>
    </w:tbl>
    <w:sectPr w:rsidR="00FC693F" w:rsidRPr="0006063C" w:rsidSect="00034616">
      <w:headerReference w:type="default" r:id="rId9"/>
      <w:footerReference w:type="default" r:id="rId10"/>
      <w:pgSz w:w="12240" w:h="15840"/>
      <w:pgMar w:top="792" w:right="893" w:bottom="792" w:left="893"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4"/>
      </w:rPr>
      <w:t xml:space="preserve">Research and software-configuration analysis | Accessed July 22,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A5A5A"/>
        <w:sz w:val="15"/>
      </w:rPr>
      <w:t>National Open Records Workflow Schema Pilot | 05 Florida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7"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Display" w:hAnsi="Aptos Display"/>
      <w:b/>
      <w:bCs/>
      <w:color w:val="17365D"/>
      <w:sz w:val="23"/>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ptos Display" w:hAnsi="Aptos Display"/>
      <w:b/>
      <w:bCs/>
      <w:color w:val="17365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Aptos Display" w:hAnsi="Aptos Display"/>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pactList">
    <w:name w:val="Compact List"/>
    <w:pPr>
      <w:spacing w:after="30"/>
      <w:ind w:left="259" w:hanging="187"/>
    </w:pPr>
    <w:rPr>
      <w:rFonts w:ascii="Aptos" w:hAnsi="Apto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leg.state.fl.us/statutes/index.cfm?App_mode=Display_Statute&amp;URL=0100-0199/0119/Sections/0119.07.html" TargetMode="External"/><Relationship Id="rId12" Type="http://schemas.openxmlformats.org/officeDocument/2006/relationships/hyperlink" Target="https://www.leg.state.fl.us/statutes/index.cfm?App_mode=Display_Statute&amp;URL=0100-0199/0119/0119.html" TargetMode="External"/><Relationship Id="rId13" Type="http://schemas.openxmlformats.org/officeDocument/2006/relationships/hyperlink" Target="https://www.myfloridalegal.com/open-government/the-quotsunshinequot-manu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