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California</w:t>
        <w:br/>
      </w:r>
      <w:r>
        <w:rPr>
          <w:color w:val="17365D"/>
          <w:sz w:val="34"/>
        </w:rPr>
        <w:t>Initial Public-Records Processing Workflow</w:t>
        <w:br/>
        <w:t>and Software Configuration Analysis</w:t>
      </w:r>
    </w:p>
    <w:p>
      <w:pPr>
        <w:jc w:val="center"/>
      </w:pPr>
      <w:r>
        <w:rPr>
          <w:i/>
          <w:color w:val="5A5A5A"/>
          <w:sz w:val="18"/>
        </w:rPr>
        <w:t>Pilot State 06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The California Public Records Act (CPRA), Government Code division 10, applies to local agencies including cities. The analysis focuses on requests for copies and the initial determination/production workflow.</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Within 10 calendar days after receipt, the city must determine whether the request seeks disclosable records in its possession and promptly notify the requester of the determination and reasons.</w:t>
      </w:r>
    </w:p>
    <w:p>
      <w:pPr>
        <w:pStyle w:val="CompactList"/>
      </w:pPr>
      <w:r>
        <w:rPr>
          <w:b/>
        </w:rPr>
        <w:t xml:space="preserve">• </w:t>
      </w:r>
      <w:r>
        <w:t>If records will be disclosed, the notice must state the estimated date and time when they will be available. The ten-day period is a determination deadline, not a production deadline; production must be prompt.</w:t>
      </w:r>
    </w:p>
    <w:p>
      <w:pPr>
        <w:pStyle w:val="CompactList"/>
      </w:pPr>
      <w:r>
        <w:rPr>
          <w:b/>
        </w:rPr>
        <w:t xml:space="preserve">• </w:t>
      </w:r>
      <w:r>
        <w:t>Unusual circumstances permit a written extension of the determination period for no more than 14 additional days, with reasons and expected dispatch date.</w:t>
      </w:r>
    </w:p>
    <w:p>
      <w:pPr>
        <w:pStyle w:val="CompactList"/>
      </w:pPr>
      <w:r>
        <w:rPr>
          <w:b/>
        </w:rPr>
        <w:t xml:space="preserve">• </w:t>
      </w:r>
      <w:r>
        <w:t>The city has an affirmative duty to help formulate a focused request, describe relevant technology/locations, and suggest ways to overcome practical barriers. No general statutory clarification tolling rule is stated.</w:t>
      </w:r>
    </w:p>
    <w:p>
      <w:pPr>
        <w:pStyle w:val="CompactList"/>
      </w:pPr>
      <w:r>
        <w:rPr>
          <w:b/>
        </w:rPr>
        <w:t xml:space="preserve">• </w:t>
      </w:r>
      <w:r>
        <w:t>California has no simple/complex classification. “Unusual circumstances” is a specific statutory extension flag; volume, remote facilities, consultation, data compilation/programming, cyberattack, and qualifying emergency conditions may trigger it.</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Timestamp receipt and calculate ten calendar days, including the city’s rule for deadlines falling on weekends/holidays.</w:t>
      </w:r>
    </w:p>
    <w:p>
      <w:pPr>
        <w:pStyle w:val="CompactList"/>
      </w:pPr>
      <w:r>
        <w:rPr>
          <w:b/>
        </w:rPr>
        <w:t xml:space="preserve">• </w:t>
      </w:r>
      <w:r>
        <w:t>Determine possession, identifiable records, disclosure status, need for consultation, location, volume, electronic extraction/programming, and whether an unusual-circumstances extension applies.</w:t>
      </w:r>
    </w:p>
    <w:p>
      <w:pPr>
        <w:pStyle w:val="CompactList"/>
      </w:pPr>
      <w:r>
        <w:rPr>
          <w:b/>
        </w:rPr>
        <w:t xml:space="preserve">• </w:t>
      </w:r>
      <w:r>
        <w:t>Begin production work concurrently; the determination deadline is not permission to delay readily producible records.</w:t>
      </w:r>
    </w:p>
    <w:p>
      <w:pPr>
        <w:pStyle w:val="CompactList"/>
      </w:pPr>
      <w:r>
        <w:rPr>
          <w:b/>
        </w:rPr>
        <w:t xml:space="preserve">• </w:t>
      </w:r>
      <w:r>
        <w:t>Provide reasonable assistance to make the request focused and effective.</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Within 10 calendar days</w:t>
            </w:r>
          </w:p>
        </w:tc>
        <w:tc>
          <w:tcPr>
            <w:tcW w:type="dxa" w:w="4752"/>
            <w:tcMar>
              <w:top w:w="70" w:type="dxa"/>
              <w:start w:w="80" w:type="dxa"/>
              <w:bottom w:w="70" w:type="dxa"/>
              <w:end w:w="80" w:type="dxa"/>
            </w:tcMar>
            <w:vAlign w:val="top"/>
          </w:tcPr>
          <w:p>
            <w:pPr>
              <w:spacing w:after="0" w:line="240" w:lineRule="auto"/>
            </w:pPr>
            <w:r>
              <w:rPr>
                <w:rFonts w:ascii="Aptos" w:hAnsi="Aptos"/>
                <w:sz w:val="15"/>
              </w:rPr>
              <w:t>Determine whether disclosable records are possessed; notify requester of determination and reasons; if disclosable, provide estimated availability date/time.</w:t>
            </w:r>
          </w:p>
        </w:tc>
        <w:tc>
          <w:tcPr>
            <w:tcW w:type="dxa" w:w="1655"/>
            <w:tcMar>
              <w:top w:w="70" w:type="dxa"/>
              <w:start w:w="80" w:type="dxa"/>
              <w:bottom w:w="70" w:type="dxa"/>
              <w:end w:w="80" w:type="dxa"/>
            </w:tcMar>
            <w:vAlign w:val="top"/>
          </w:tcPr>
          <w:p>
            <w:pPr>
              <w:spacing w:after="0" w:line="240" w:lineRule="auto"/>
            </w:pPr>
            <w:r>
              <w:rPr>
                <w:rFonts w:ascii="Aptos" w:hAnsi="Aptos"/>
                <w:sz w:val="15"/>
              </w:rPr>
              <w:t>Determination timer ends; production timer continues.</w:t>
            </w:r>
          </w:p>
        </w:tc>
        <w:tc>
          <w:tcPr>
            <w:tcW w:type="dxa" w:w="1872"/>
            <w:tcMar>
              <w:top w:w="70" w:type="dxa"/>
              <w:start w:w="80" w:type="dxa"/>
              <w:bottom w:w="70" w:type="dxa"/>
              <w:end w:w="80" w:type="dxa"/>
            </w:tcMar>
            <w:vAlign w:val="top"/>
          </w:tcPr>
          <w:p>
            <w:pPr>
              <w:spacing w:after="0" w:line="240" w:lineRule="auto"/>
            </w:pPr>
            <w:r>
              <w:rPr>
                <w:rFonts w:ascii="Aptos" w:hAnsi="Aptos"/>
                <w:sz w:val="15"/>
              </w:rPr>
              <w:t>Gov. Code §7922.535(a)</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Unusual circumstances</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Written notice from agency head/designee stating reasons and expected determination date; extension no more than 14 days.</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Extends determination only.</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§7922.535(b)</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Prompt production</w:t>
            </w:r>
          </w:p>
        </w:tc>
        <w:tc>
          <w:tcPr>
            <w:tcW w:type="dxa" w:w="4752"/>
            <w:tcMar>
              <w:top w:w="70" w:type="dxa"/>
              <w:start w:w="80" w:type="dxa"/>
              <w:bottom w:w="70" w:type="dxa"/>
              <w:end w:w="80" w:type="dxa"/>
            </w:tcMar>
            <w:vAlign w:val="top"/>
          </w:tcPr>
          <w:p>
            <w:pPr>
              <w:spacing w:after="0" w:line="240" w:lineRule="auto"/>
            </w:pPr>
            <w:r>
              <w:rPr>
                <w:rFonts w:ascii="Aptos" w:hAnsi="Aptos"/>
                <w:sz w:val="15"/>
              </w:rPr>
              <w:t>Make disclosable records available promptly after determination and payment of direct duplication costs where applicable.</w:t>
            </w:r>
          </w:p>
        </w:tc>
        <w:tc>
          <w:tcPr>
            <w:tcW w:type="dxa" w:w="1655"/>
            <w:tcMar>
              <w:top w:w="70" w:type="dxa"/>
              <w:start w:w="80" w:type="dxa"/>
              <w:bottom w:w="70" w:type="dxa"/>
              <w:end w:w="80" w:type="dxa"/>
            </w:tcMar>
            <w:vAlign w:val="top"/>
          </w:tcPr>
          <w:p>
            <w:pPr>
              <w:spacing w:after="0" w:line="240" w:lineRule="auto"/>
            </w:pPr>
            <w:r>
              <w:rPr>
                <w:rFonts w:ascii="Aptos" w:hAnsi="Aptos"/>
                <w:sz w:val="15"/>
              </w:rPr>
              <w:t>Qualitative production timer.</w:t>
            </w:r>
          </w:p>
        </w:tc>
        <w:tc>
          <w:tcPr>
            <w:tcW w:type="dxa" w:w="1872"/>
            <w:tcMar>
              <w:top w:w="70" w:type="dxa"/>
              <w:start w:w="80" w:type="dxa"/>
              <w:bottom w:w="70" w:type="dxa"/>
              <w:end w:w="80" w:type="dxa"/>
            </w:tcMar>
            <w:vAlign w:val="top"/>
          </w:tcPr>
          <w:p>
            <w:pPr>
              <w:spacing w:after="0" w:line="240" w:lineRule="auto"/>
            </w:pPr>
            <w:r>
              <w:rPr>
                <w:rFonts w:ascii="Aptos" w:hAnsi="Aptos"/>
                <w:sz w:val="15"/>
              </w:rPr>
              <w:t>§7922.530 / §7922.535</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Denial</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Written response stating reasons; identify names/titles of each person responsible for denial.</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Final denial branch / judicial review.</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§7922.540</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Assistance</w:t>
            </w:r>
          </w:p>
        </w:tc>
        <w:tc>
          <w:tcPr>
            <w:tcW w:type="dxa" w:w="4752"/>
            <w:tcMar>
              <w:top w:w="70" w:type="dxa"/>
              <w:start w:w="80" w:type="dxa"/>
              <w:bottom w:w="70" w:type="dxa"/>
              <w:end w:w="80" w:type="dxa"/>
            </w:tcMar>
            <w:vAlign w:val="top"/>
          </w:tcPr>
          <w:p>
            <w:pPr>
              <w:spacing w:after="0" w:line="240" w:lineRule="auto"/>
            </w:pPr>
            <w:r>
              <w:rPr>
                <w:rFonts w:ascii="Aptos" w:hAnsi="Aptos"/>
                <w:sz w:val="15"/>
              </w:rPr>
              <w:t>Use reasonable efforts to elicit clarification and help identify records.</w:t>
            </w:r>
          </w:p>
        </w:tc>
        <w:tc>
          <w:tcPr>
            <w:tcW w:type="dxa" w:w="1655"/>
            <w:tcMar>
              <w:top w:w="70" w:type="dxa"/>
              <w:start w:w="80" w:type="dxa"/>
              <w:bottom w:w="70" w:type="dxa"/>
              <w:end w:w="80" w:type="dxa"/>
            </w:tcMar>
            <w:vAlign w:val="top"/>
          </w:tcPr>
          <w:p>
            <w:pPr>
              <w:spacing w:after="0" w:line="240" w:lineRule="auto"/>
            </w:pPr>
            <w:r>
              <w:rPr>
                <w:rFonts w:ascii="Aptos" w:hAnsi="Aptos"/>
                <w:sz w:val="15"/>
              </w:rPr>
              <w:t>No express global toll.</w:t>
            </w:r>
          </w:p>
        </w:tc>
        <w:tc>
          <w:tcPr>
            <w:tcW w:type="dxa" w:w="1872"/>
            <w:tcMar>
              <w:top w:w="70" w:type="dxa"/>
              <w:start w:w="80" w:type="dxa"/>
              <w:bottom w:w="70" w:type="dxa"/>
              <w:end w:w="80" w:type="dxa"/>
            </w:tcMar>
            <w:vAlign w:val="top"/>
          </w:tcPr>
          <w:p>
            <w:pPr>
              <w:spacing w:after="0" w:line="240" w:lineRule="auto"/>
            </w:pPr>
            <w:r>
              <w:rPr>
                <w:rFonts w:ascii="Aptos" w:hAnsi="Aptos"/>
                <w:sz w:val="15"/>
              </w:rPr>
              <w:t>§7922.600</w:t>
            </w:r>
          </w:p>
        </w:tc>
      </w:tr>
    </w:tbl>
    <w:p>
      <w:pPr>
        <w:pStyle w:val="Heading1"/>
      </w:pPr>
      <w:r>
        <w:t>3. Vague, unclear, or overly broad requests</w:t>
      </w:r>
    </w:p>
    <w:p>
      <w:pPr>
        <w:pStyle w:val="CompactList"/>
      </w:pPr>
      <w:r>
        <w:rPr>
          <w:b/>
        </w:rPr>
        <w:t xml:space="preserve">• </w:t>
      </w:r>
      <w:r>
        <w:t>The city must assist the requester to make a focused and effective request that reasonably describes identifiable records.</w:t>
      </w:r>
    </w:p>
    <w:p>
      <w:pPr>
        <w:pStyle w:val="CompactList"/>
      </w:pPr>
      <w:r>
        <w:rPr>
          <w:b/>
        </w:rPr>
        <w:t xml:space="preserve">• </w:t>
      </w:r>
      <w:r>
        <w:t>Assistance includes identifying responsive records and information, describing relevant information technology and physical locations, and suggesting ways to overcome practical denial grounds.</w:t>
      </w:r>
    </w:p>
    <w:p>
      <w:pPr>
        <w:pStyle w:val="CompactList"/>
      </w:pPr>
      <w:r>
        <w:rPr>
          <w:b/>
        </w:rPr>
        <w:t xml:space="preserve">• </w:t>
      </w:r>
      <w:r>
        <w:t>The identification duty is satisfied when the city cannot identify the information after a reasonable effort to elicit clarifying information.</w:t>
      </w:r>
    </w:p>
    <w:p>
      <w:pPr>
        <w:pStyle w:val="CompactList"/>
      </w:pPr>
      <w:r>
        <w:rPr>
          <w:b/>
        </w:rPr>
        <w:t xml:space="preserve">• </w:t>
      </w:r>
      <w:r>
        <w:t>The CPRA does not state that clarification automatically pauses the ten-day determination period. The engine should continue to monitor the original deadline unless counsel-approved policy treats a materially revised request as a new request.</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Use a duty-to-assist checklist and a clarification task without a default toll. Permit a new receipt event only when the requester materially revises the scope and the city’s legal policy authorizes that treatment; preserve both versions and dates.</w:t>
            </w:r>
          </w:p>
        </w:tc>
      </w:tr>
    </w:tbl>
    <w:p>
      <w:pPr>
        <w:pStyle w:val="Heading1"/>
      </w:pPr>
      <w:r>
        <w:t>4. Denial, withholding, and partial production</w:t>
      </w:r>
    </w:p>
    <w:p>
      <w:pPr>
        <w:pStyle w:val="CompactList"/>
      </w:pPr>
      <w:r>
        <w:rPr>
          <w:b/>
        </w:rPr>
        <w:t xml:space="preserve">• </w:t>
      </w:r>
      <w:r>
        <w:t>Denials must be in writing, state the reasons, and identify the names and titles or positions of each person responsible.</w:t>
      </w:r>
    </w:p>
    <w:p>
      <w:pPr>
        <w:pStyle w:val="CompactList"/>
      </w:pPr>
      <w:r>
        <w:rPr>
          <w:b/>
        </w:rPr>
        <w:t xml:space="preserve">• </w:t>
      </w:r>
      <w:r>
        <w:t>Exempt portions should be redacted and reasonably segregable public portions disclosed.</w:t>
      </w:r>
    </w:p>
    <w:p>
      <w:pPr>
        <w:pStyle w:val="CompactList"/>
      </w:pPr>
      <w:r>
        <w:rPr>
          <w:b/>
        </w:rPr>
        <w:t xml:space="preserve">• </w:t>
      </w:r>
      <w:r>
        <w:t>Practical difficulty is not itself a substantive exemption. Use assistance and an unusual-circumstances extension where legally available.</w:t>
      </w:r>
    </w:p>
    <w:p>
      <w:pPr>
        <w:pStyle w:val="CompactList"/>
      </w:pPr>
      <w:r>
        <w:rPr>
          <w:b/>
        </w:rPr>
        <w:t xml:space="preserve">• </w:t>
      </w:r>
      <w:r>
        <w:t>CPRA enforcement is judicial; preserve determination notices, extension reasons, searches, and production dates.</w:t>
      </w:r>
    </w:p>
    <w:p>
      <w:pPr>
        <w:pStyle w:val="Heading1"/>
      </w:pPr>
      <w:r>
        <w:t>5. Request classification and processing tracks</w:t>
      </w:r>
    </w:p>
    <w:p>
      <w:pPr>
        <w:pStyle w:val="CompactList"/>
      </w:pPr>
      <w:r>
        <w:rPr>
          <w:b/>
        </w:rPr>
        <w:t xml:space="preserve">• </w:t>
      </w:r>
      <w:r>
        <w:t>No legal “simple” or “complex” categories change the ten-day determination rule.</w:t>
      </w:r>
    </w:p>
    <w:p>
      <w:pPr>
        <w:pStyle w:val="CompactList"/>
      </w:pPr>
      <w:r>
        <w:rPr>
          <w:b/>
        </w:rPr>
        <w:t xml:space="preserve">• </w:t>
      </w:r>
      <w:r>
        <w:t>Unusual circumstances are a statutory extension classification and must be tied to a listed reason, not simply asserted from workload.</w:t>
      </w:r>
    </w:p>
    <w:p>
      <w:pPr>
        <w:pStyle w:val="CompactList"/>
      </w:pPr>
      <w:r>
        <w:rPr>
          <w:b/>
        </w:rPr>
        <w:t xml:space="preserve">• </w:t>
      </w:r>
      <w:r>
        <w:t>Electronic data compilation/extraction/programming is a separate cost/technical flag and may also support an unusual-circumstances extension.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Standard determination</w:t>
            </w:r>
          </w:p>
        </w:tc>
        <w:tc>
          <w:tcPr>
            <w:tcW w:type="dxa" w:w="1944"/>
            <w:tcMar>
              <w:top w:w="70" w:type="dxa"/>
              <w:start w:w="80" w:type="dxa"/>
              <w:bottom w:w="70" w:type="dxa"/>
              <w:end w:w="80" w:type="dxa"/>
            </w:tcMar>
            <w:vAlign w:val="top"/>
          </w:tcPr>
          <w:p>
            <w:pPr>
              <w:spacing w:after="0" w:line="240" w:lineRule="auto"/>
            </w:pPr>
            <w:r>
              <w:rPr>
                <w:rFonts w:ascii="Aptos" w:hAnsi="Aptos"/>
                <w:sz w:val="15"/>
              </w:rPr>
              <w:t>Legal track</w:t>
            </w:r>
          </w:p>
        </w:tc>
        <w:tc>
          <w:tcPr>
            <w:tcW w:type="dxa" w:w="4752"/>
            <w:tcMar>
              <w:top w:w="70" w:type="dxa"/>
              <w:start w:w="80" w:type="dxa"/>
              <w:bottom w:w="70" w:type="dxa"/>
              <w:end w:w="80" w:type="dxa"/>
            </w:tcMar>
            <w:vAlign w:val="top"/>
          </w:tcPr>
          <w:p>
            <w:pPr>
              <w:spacing w:after="0" w:line="240" w:lineRule="auto"/>
            </w:pPr>
            <w:r>
              <w:rPr>
                <w:rFonts w:ascii="Aptos" w:hAnsi="Aptos"/>
                <w:sz w:val="15"/>
              </w:rPr>
              <w:t>10 calendar days; estimated production date/time if disclosable.</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Unusual circumstances</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Statutory extension</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Written reason; no more than 14 additional days.</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Clarification / duty to assist</w:t>
            </w:r>
          </w:p>
        </w:tc>
        <w:tc>
          <w:tcPr>
            <w:tcW w:type="dxa" w:w="1944"/>
            <w:tcMar>
              <w:top w:w="70" w:type="dxa"/>
              <w:start w:w="80" w:type="dxa"/>
              <w:bottom w:w="70" w:type="dxa"/>
              <w:end w:w="80" w:type="dxa"/>
            </w:tcMar>
            <w:vAlign w:val="top"/>
          </w:tcPr>
          <w:p>
            <w:pPr>
              <w:spacing w:after="0" w:line="240" w:lineRule="auto"/>
            </w:pPr>
            <w:r>
              <w:rPr>
                <w:rFonts w:ascii="Aptos" w:hAnsi="Aptos"/>
                <w:sz w:val="15"/>
              </w:rPr>
              <w:t>Statutory duty</w:t>
            </w:r>
          </w:p>
        </w:tc>
        <w:tc>
          <w:tcPr>
            <w:tcW w:type="dxa" w:w="4752"/>
            <w:tcMar>
              <w:top w:w="70" w:type="dxa"/>
              <w:start w:w="80" w:type="dxa"/>
              <w:bottom w:w="70" w:type="dxa"/>
              <w:end w:w="80" w:type="dxa"/>
            </w:tcMar>
            <w:vAlign w:val="top"/>
          </w:tcPr>
          <w:p>
            <w:pPr>
              <w:spacing w:after="0" w:line="240" w:lineRule="auto"/>
            </w:pPr>
            <w:r>
              <w:rPr>
                <w:rFonts w:ascii="Aptos" w:hAnsi="Aptos"/>
                <w:sz w:val="15"/>
              </w:rPr>
              <w:t>Reasonable focused assistance; no automatic toll.</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Electronic compilation/programming</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cost/processing flag</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Requester may bear specified production/programming costs.</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Simple / complex</w:t>
            </w:r>
          </w:p>
        </w:tc>
        <w:tc>
          <w:tcPr>
            <w:tcW w:type="dxa" w:w="1944"/>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tcMar>
              <w:top w:w="70" w:type="dxa"/>
              <w:start w:w="80" w:type="dxa"/>
              <w:bottom w:w="70" w:type="dxa"/>
              <w:end w:w="80" w:type="dxa"/>
            </w:tcMar>
            <w:vAlign w:val="top"/>
          </w:tcPr>
          <w:p>
            <w:pPr>
              <w:spacing w:after="0" w:line="240" w:lineRule="auto"/>
            </w:pPr>
            <w:r>
              <w:rPr>
                <w:rFonts w:ascii="Aptos" w:hAnsi="Aptos"/>
                <w:sz w:val="15"/>
              </w:rPr>
              <w:t>Internal service targets only.</w:t>
            </w:r>
          </w:p>
        </w:tc>
      </w:tr>
    </w:tbl>
    <w:p>
      <w:pPr>
        <w:pStyle w:val="Heading1"/>
      </w:pPr>
      <w:r>
        <w:t>6. Fees, estimates, deposits, and payment timing</w:t>
      </w:r>
    </w:p>
    <w:p>
      <w:pPr>
        <w:pStyle w:val="CompactList"/>
      </w:pPr>
      <w:r>
        <w:rPr>
          <w:b/>
        </w:rPr>
        <w:t xml:space="preserve">• </w:t>
      </w:r>
      <w:r>
        <w:t>For ordinary copies, the city may charge fees covering direct duplication costs or a fee expressly authorized by statute.</w:t>
      </w:r>
    </w:p>
    <w:p>
      <w:pPr>
        <w:pStyle w:val="CompactList"/>
      </w:pPr>
      <w:r>
        <w:rPr>
          <w:b/>
        </w:rPr>
        <w:t xml:space="preserve">• </w:t>
      </w:r>
      <w:r>
        <w:t>For electronic records, the requester generally receives the record in an electronic format used by the agency or a format in which it is held; the requester bears specified costs when production requires data compilation, extraction, construction of a record, programming, or computer services under the statutory conditions.</w:t>
      </w:r>
    </w:p>
    <w:p>
      <w:pPr>
        <w:pStyle w:val="CompactList"/>
      </w:pPr>
      <w:r>
        <w:rPr>
          <w:b/>
        </w:rPr>
        <w:t xml:space="preserve">• </w:t>
      </w:r>
      <w:r>
        <w:t>The CPRA does not establish a general statewide estimate threshold, deposit percentage, requester-acceptance deadline, or fee-based extension of the ten-day determination period.</w:t>
      </w:r>
    </w:p>
    <w:p>
      <w:pPr>
        <w:pStyle w:val="CompactList"/>
      </w:pPr>
      <w:r>
        <w:rPr>
          <w:b/>
        </w:rPr>
        <w:t xml:space="preserve">• </w:t>
      </w:r>
      <w:r>
        <w:t>Any estimate/deposit workflow is a local-policy implementation constrained by allowable cost categories and must not delay the required determination notice.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Ordinary duplication</w:t>
            </w:r>
          </w:p>
        </w:tc>
        <w:tc>
          <w:tcPr>
            <w:tcW w:type="dxa" w:w="4536"/>
            <w:tcMar>
              <w:top w:w="70" w:type="dxa"/>
              <w:start w:w="80" w:type="dxa"/>
              <w:bottom w:w="70" w:type="dxa"/>
              <w:end w:w="80" w:type="dxa"/>
            </w:tcMar>
            <w:vAlign w:val="top"/>
          </w:tcPr>
          <w:p>
            <w:pPr>
              <w:spacing w:after="0" w:line="240" w:lineRule="auto"/>
            </w:pPr>
            <w:r>
              <w:rPr>
                <w:rFonts w:ascii="Aptos" w:hAnsi="Aptos"/>
                <w:sz w:val="15"/>
              </w:rPr>
              <w:t>Direct cost of duplication unless another statute sets fee.</w:t>
            </w:r>
          </w:p>
        </w:tc>
        <w:tc>
          <w:tcPr>
            <w:tcW w:type="dxa" w:w="2736"/>
            <w:tcMar>
              <w:top w:w="70" w:type="dxa"/>
              <w:start w:w="80" w:type="dxa"/>
              <w:bottom w:w="70" w:type="dxa"/>
              <w:end w:w="80" w:type="dxa"/>
            </w:tcMar>
            <w:vAlign w:val="top"/>
          </w:tcPr>
          <w:p>
            <w:pPr>
              <w:spacing w:after="0" w:line="240" w:lineRule="auto"/>
            </w:pPr>
            <w:r>
              <w:rPr>
                <w:rFonts w:ascii="Aptos" w:hAnsi="Aptos"/>
                <w:sz w:val="15"/>
              </w:rPr>
              <w:t>Current page/media rates and payment method.</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Electronic extraction/programming</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Requester bears costs only in specified statutory conditions.</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Technical estimate, rates, alternatives, approval.</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Estimate</w:t>
            </w:r>
          </w:p>
        </w:tc>
        <w:tc>
          <w:tcPr>
            <w:tcW w:type="dxa" w:w="4536"/>
            <w:tcMar>
              <w:top w:w="70" w:type="dxa"/>
              <w:start w:w="80" w:type="dxa"/>
              <w:bottom w:w="70" w:type="dxa"/>
              <w:end w:w="80" w:type="dxa"/>
            </w:tcMar>
            <w:vAlign w:val="top"/>
          </w:tcPr>
          <w:p>
            <w:pPr>
              <w:spacing w:after="0" w:line="240" w:lineRule="auto"/>
            </w:pPr>
            <w:r>
              <w:rPr>
                <w:rFonts w:ascii="Aptos" w:hAnsi="Aptos"/>
                <w:sz w:val="15"/>
              </w:rPr>
              <w:t>No general statewide threshold.</w:t>
            </w:r>
          </w:p>
        </w:tc>
        <w:tc>
          <w:tcPr>
            <w:tcW w:type="dxa" w:w="2736"/>
            <w:tcMar>
              <w:top w:w="70" w:type="dxa"/>
              <w:start w:w="80" w:type="dxa"/>
              <w:bottom w:w="70" w:type="dxa"/>
              <w:end w:w="80" w:type="dxa"/>
            </w:tcMar>
            <w:vAlign w:val="top"/>
          </w:tcPr>
          <w:p>
            <w:pPr>
              <w:spacing w:after="0" w:line="240" w:lineRule="auto"/>
            </w:pPr>
            <w:r>
              <w:rPr>
                <w:rFonts w:ascii="Aptos" w:hAnsi="Aptos"/>
                <w:sz w:val="15"/>
              </w:rPr>
              <w:t>When quote is issued and requester acceptance method.</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Deposit / prepayment</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No general CPRA percentage.</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Authority, threshold, refund and reconciliation.</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Search/review/redaction</w:t>
            </w:r>
          </w:p>
        </w:tc>
        <w:tc>
          <w:tcPr>
            <w:tcW w:type="dxa" w:w="4536"/>
            <w:tcMar>
              <w:top w:w="70" w:type="dxa"/>
              <w:start w:w="80" w:type="dxa"/>
              <w:bottom w:w="70" w:type="dxa"/>
              <w:end w:w="80" w:type="dxa"/>
            </w:tcMar>
            <w:vAlign w:val="top"/>
          </w:tcPr>
          <w:p>
            <w:pPr>
              <w:spacing w:after="0" w:line="240" w:lineRule="auto"/>
            </w:pPr>
            <w:r>
              <w:rPr>
                <w:rFonts w:ascii="Aptos" w:hAnsi="Aptos"/>
                <w:sz w:val="15"/>
              </w:rPr>
              <w:t>Not ordinary duplication charges.</w:t>
            </w:r>
          </w:p>
        </w:tc>
        <w:tc>
          <w:tcPr>
            <w:tcW w:type="dxa" w:w="2736"/>
            <w:tcMar>
              <w:top w:w="70" w:type="dxa"/>
              <w:start w:w="80" w:type="dxa"/>
              <w:bottom w:w="70" w:type="dxa"/>
              <w:end w:w="80" w:type="dxa"/>
            </w:tcMar>
            <w:vAlign w:val="top"/>
          </w:tcPr>
          <w:p>
            <w:pPr>
              <w:spacing w:after="0" w:line="240" w:lineRule="auto"/>
            </w:pPr>
            <w:r>
              <w:rPr>
                <w:rFonts w:ascii="Aptos" w:hAnsi="Aptos"/>
                <w:sz w:val="15"/>
              </w:rPr>
              <w:t>Disable unless specific law authorizes.</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Request received</w:t>
            </w:r>
          </w:p>
        </w:tc>
        <w:tc>
          <w:tcPr>
            <w:tcW w:type="dxa" w:w="3168"/>
            <w:tcMar>
              <w:top w:w="70" w:type="dxa"/>
              <w:start w:w="80" w:type="dxa"/>
              <w:bottom w:w="70" w:type="dxa"/>
              <w:end w:w="80" w:type="dxa"/>
            </w:tcMar>
            <w:vAlign w:val="top"/>
          </w:tcPr>
          <w:p>
            <w:pPr>
              <w:spacing w:after="0" w:line="240" w:lineRule="auto"/>
            </w:pPr>
            <w:r>
              <w:rPr>
                <w:rFonts w:ascii="Aptos" w:hAnsi="Aptos"/>
                <w:sz w:val="14"/>
              </w:rPr>
              <w:t>Calculate 10-calendar-day determination deadline; start assistance/search.</w:t>
            </w:r>
          </w:p>
        </w:tc>
        <w:tc>
          <w:tcPr>
            <w:tcW w:type="dxa" w:w="3024"/>
            <w:tcMar>
              <w:top w:w="70" w:type="dxa"/>
              <w:start w:w="80" w:type="dxa"/>
              <w:bottom w:w="70" w:type="dxa"/>
              <w:end w:w="80" w:type="dxa"/>
            </w:tcMar>
            <w:vAlign w:val="top"/>
          </w:tcPr>
          <w:p>
            <w:pPr>
              <w:spacing w:after="0" w:line="240" w:lineRule="auto"/>
            </w:pPr>
            <w:r>
              <w:rPr>
                <w:rFonts w:ascii="Aptos" w:hAnsi="Aptos"/>
                <w:sz w:val="14"/>
              </w:rPr>
              <w:t>Determination notice by day 10.</w:t>
            </w:r>
          </w:p>
        </w:tc>
        <w:tc>
          <w:tcPr>
            <w:tcW w:type="dxa" w:w="2232"/>
            <w:tcMar>
              <w:top w:w="70" w:type="dxa"/>
              <w:start w:w="80" w:type="dxa"/>
              <w:bottom w:w="70" w:type="dxa"/>
              <w:end w:w="80" w:type="dxa"/>
            </w:tcMar>
            <w:vAlign w:val="top"/>
          </w:tcPr>
          <w:p>
            <w:pPr>
              <w:spacing w:after="0" w:line="240" w:lineRule="auto"/>
            </w:pPr>
            <w:r>
              <w:rPr>
                <w:rFonts w:ascii="Aptos" w:hAnsi="Aptos"/>
                <w:sz w:val="14"/>
              </w:rPr>
              <w:t>Hard determination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Unusual circumstance exists</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Select listed reason; obtain head/designee approval; set date ≤14-day extension.</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Written extension notice.</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Determination-only extension.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Request unclear</w:t>
            </w:r>
          </w:p>
        </w:tc>
        <w:tc>
          <w:tcPr>
            <w:tcW w:type="dxa" w:w="3168"/>
            <w:tcMar>
              <w:top w:w="70" w:type="dxa"/>
              <w:start w:w="80" w:type="dxa"/>
              <w:bottom w:w="70" w:type="dxa"/>
              <w:end w:w="80" w:type="dxa"/>
            </w:tcMar>
            <w:vAlign w:val="top"/>
          </w:tcPr>
          <w:p>
            <w:pPr>
              <w:spacing w:after="0" w:line="240" w:lineRule="auto"/>
            </w:pPr>
            <w:r>
              <w:rPr>
                <w:rFonts w:ascii="Aptos" w:hAnsi="Aptos"/>
                <w:sz w:val="14"/>
              </w:rPr>
              <w:t>Perform assistance duties and seek clarification.</w:t>
            </w:r>
          </w:p>
        </w:tc>
        <w:tc>
          <w:tcPr>
            <w:tcW w:type="dxa" w:w="3024"/>
            <w:tcMar>
              <w:top w:w="70" w:type="dxa"/>
              <w:start w:w="80" w:type="dxa"/>
              <w:bottom w:w="70" w:type="dxa"/>
              <w:end w:w="80" w:type="dxa"/>
            </w:tcMar>
            <w:vAlign w:val="top"/>
          </w:tcPr>
          <w:p>
            <w:pPr>
              <w:spacing w:after="0" w:line="240" w:lineRule="auto"/>
            </w:pPr>
            <w:r>
              <w:rPr>
                <w:rFonts w:ascii="Aptos" w:hAnsi="Aptos"/>
                <w:sz w:val="14"/>
              </w:rPr>
              <w:t>Document reasonable efforts.</w:t>
            </w:r>
          </w:p>
        </w:tc>
        <w:tc>
          <w:tcPr>
            <w:tcW w:type="dxa" w:w="2232"/>
            <w:tcMar>
              <w:top w:w="70" w:type="dxa"/>
              <w:start w:w="80" w:type="dxa"/>
              <w:bottom w:w="70" w:type="dxa"/>
              <w:end w:w="80" w:type="dxa"/>
            </w:tcMar>
            <w:vAlign w:val="top"/>
          </w:tcPr>
          <w:p>
            <w:pPr>
              <w:spacing w:after="0" w:line="240" w:lineRule="auto"/>
            </w:pPr>
            <w:r>
              <w:rPr>
                <w:rFonts w:ascii="Aptos" w:hAnsi="Aptos"/>
                <w:sz w:val="14"/>
              </w:rPr>
              <w:t>No default toll.</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Disclosable records possessed</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Set estimated date/time and continue prompt production.</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Determination notice with reasons and estimate.</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Qualitative production timer.</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Full/partial denial</w:t>
            </w:r>
          </w:p>
        </w:tc>
        <w:tc>
          <w:tcPr>
            <w:tcW w:type="dxa" w:w="3168"/>
            <w:tcMar>
              <w:top w:w="70" w:type="dxa"/>
              <w:start w:w="80" w:type="dxa"/>
              <w:bottom w:w="70" w:type="dxa"/>
              <w:end w:w="80" w:type="dxa"/>
            </w:tcMar>
            <w:vAlign w:val="top"/>
          </w:tcPr>
          <w:p>
            <w:pPr>
              <w:spacing w:after="0" w:line="240" w:lineRule="auto"/>
            </w:pPr>
            <w:r>
              <w:rPr>
                <w:rFonts w:ascii="Aptos" w:hAnsi="Aptos"/>
                <w:sz w:val="14"/>
              </w:rPr>
              <w:t>Record exemptions and responsible decisionmakers.</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reasons + names/titles.</w:t>
            </w:r>
          </w:p>
        </w:tc>
        <w:tc>
          <w:tcPr>
            <w:tcW w:type="dxa" w:w="2232"/>
            <w:tcMar>
              <w:top w:w="70" w:type="dxa"/>
              <w:start w:w="80" w:type="dxa"/>
              <w:bottom w:w="70" w:type="dxa"/>
              <w:end w:w="80" w:type="dxa"/>
            </w:tcMar>
            <w:vAlign w:val="top"/>
          </w:tcPr>
          <w:p>
            <w:pPr>
              <w:spacing w:after="0" w:line="240" w:lineRule="auto"/>
            </w:pPr>
            <w:r>
              <w:rPr>
                <w:rFonts w:ascii="Aptos" w:hAnsi="Aptos"/>
                <w:sz w:val="14"/>
              </w:rPr>
              <w:t>Judicial-review branch.</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Electronic technical work required</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Determine statutory cost eligibility; generate technical estimate.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Quote/alternatives per city policy.</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Does not suspend determination deadline.</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Records ready</w:t>
            </w:r>
          </w:p>
        </w:tc>
        <w:tc>
          <w:tcPr>
            <w:tcW w:type="dxa" w:w="3168"/>
            <w:tcMar>
              <w:top w:w="70" w:type="dxa"/>
              <w:start w:w="80" w:type="dxa"/>
              <w:bottom w:w="70" w:type="dxa"/>
              <w:end w:w="80" w:type="dxa"/>
            </w:tcMar>
            <w:vAlign w:val="top"/>
          </w:tcPr>
          <w:p>
            <w:pPr>
              <w:spacing w:after="0" w:line="240" w:lineRule="auto"/>
            </w:pPr>
            <w:r>
              <w:rPr>
                <w:rFonts w:ascii="Aptos" w:hAnsi="Aptos"/>
                <w:sz w:val="14"/>
              </w:rPr>
              <w:t>Collect authorized duplication cost and deliver promptly.</w:t>
            </w:r>
          </w:p>
        </w:tc>
        <w:tc>
          <w:tcPr>
            <w:tcW w:type="dxa" w:w="3024"/>
            <w:tcMar>
              <w:top w:w="70" w:type="dxa"/>
              <w:start w:w="80" w:type="dxa"/>
              <w:bottom w:w="70" w:type="dxa"/>
              <w:end w:w="80" w:type="dxa"/>
            </w:tcMar>
            <w:vAlign w:val="top"/>
          </w:tcPr>
          <w:p>
            <w:pPr>
              <w:spacing w:after="0" w:line="240" w:lineRule="auto"/>
            </w:pPr>
            <w:r>
              <w:rPr>
                <w:rFonts w:ascii="Aptos" w:hAnsi="Aptos"/>
                <w:sz w:val="14"/>
              </w:rPr>
              <w:t>Delivery communication.</w:t>
            </w:r>
          </w:p>
        </w:tc>
        <w:tc>
          <w:tcPr>
            <w:tcW w:type="dxa" w:w="2232"/>
            <w:tcMar>
              <w:top w:w="70" w:type="dxa"/>
              <w:start w:w="80" w:type="dxa"/>
              <w:bottom w:w="70" w:type="dxa"/>
              <w:end w:w="80" w:type="dxa"/>
            </w:tcMar>
            <w:vAlign w:val="top"/>
          </w:tcPr>
          <w:p>
            <w:pPr>
              <w:spacing w:after="0" w:line="240" w:lineRule="auto"/>
            </w:pPr>
            <w:r>
              <w:rPr>
                <w:rFonts w:ascii="Aptos" w:hAnsi="Aptos"/>
                <w:sz w:val="14"/>
              </w:rPr>
              <w:t>Payment gate only for permitted costs.</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Calendar-day calculation</w:t>
            </w:r>
          </w:p>
        </w:tc>
        <w:tc>
          <w:tcPr>
            <w:tcW w:type="dxa" w:w="3240"/>
            <w:tcMar>
              <w:top w:w="70" w:type="dxa"/>
              <w:start w:w="80" w:type="dxa"/>
              <w:bottom w:w="70" w:type="dxa"/>
              <w:end w:w="80" w:type="dxa"/>
            </w:tcMar>
            <w:vAlign w:val="top"/>
          </w:tcPr>
          <w:p>
            <w:pPr>
              <w:spacing w:after="0" w:line="240" w:lineRule="auto"/>
            </w:pPr>
            <w:r>
              <w:rPr>
                <w:rFonts w:ascii="Aptos" w:hAnsi="Aptos"/>
                <w:sz w:val="15"/>
              </w:rPr>
              <w:t>10 days + maximum 14-day unusual extension.</w:t>
            </w:r>
          </w:p>
        </w:tc>
        <w:tc>
          <w:tcPr>
            <w:tcW w:type="dxa" w:w="4248"/>
            <w:tcMar>
              <w:top w:w="70" w:type="dxa"/>
              <w:start w:w="80" w:type="dxa"/>
              <w:bottom w:w="70" w:type="dxa"/>
              <w:end w:w="80" w:type="dxa"/>
            </w:tcMar>
            <w:vAlign w:val="top"/>
          </w:tcPr>
          <w:p>
            <w:pPr>
              <w:spacing w:after="0" w:line="240" w:lineRule="auto"/>
            </w:pPr>
            <w:r>
              <w:rPr>
                <w:rFonts w:ascii="Aptos" w:hAnsi="Aptos"/>
                <w:sz w:val="15"/>
              </w:rPr>
              <w:t>Weekend/holiday due-date handling and receipt cutoff.</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Unusual-circumstance reasons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Statutory list.</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Evidence checklist and head/designee approval.</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Prompt production target</w:t>
            </w:r>
          </w:p>
        </w:tc>
        <w:tc>
          <w:tcPr>
            <w:tcW w:type="dxa" w:w="3240"/>
            <w:tcMar>
              <w:top w:w="70" w:type="dxa"/>
              <w:start w:w="80" w:type="dxa"/>
              <w:bottom w:w="70" w:type="dxa"/>
              <w:end w:w="80" w:type="dxa"/>
            </w:tcMar>
            <w:vAlign w:val="top"/>
          </w:tcPr>
          <w:p>
            <w:pPr>
              <w:spacing w:after="0" w:line="240" w:lineRule="auto"/>
            </w:pPr>
            <w:r>
              <w:rPr>
                <w:rFonts w:ascii="Aptos" w:hAnsi="Aptos"/>
                <w:sz w:val="15"/>
              </w:rPr>
              <w:t>Qualitative duty.</w:t>
            </w:r>
          </w:p>
        </w:tc>
        <w:tc>
          <w:tcPr>
            <w:tcW w:type="dxa" w:w="4248"/>
            <w:tcMar>
              <w:top w:w="70" w:type="dxa"/>
              <w:start w:w="80" w:type="dxa"/>
              <w:bottom w:w="70" w:type="dxa"/>
              <w:end w:w="80" w:type="dxa"/>
            </w:tcMar>
            <w:vAlign w:val="top"/>
          </w:tcPr>
          <w:p>
            <w:pPr>
              <w:spacing w:after="0" w:line="240" w:lineRule="auto"/>
            </w:pPr>
            <w:r>
              <w:rPr>
                <w:rFonts w:ascii="Aptos" w:hAnsi="Aptos"/>
                <w:sz w:val="15"/>
              </w:rPr>
              <w:t>Internal service levels, status cadence, escalation.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Clarification treatment</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Duty to assist; no automatic toll.</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Material-revision/new-receipt policy and legal approval.</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Duplication rates</w:t>
            </w:r>
          </w:p>
        </w:tc>
        <w:tc>
          <w:tcPr>
            <w:tcW w:type="dxa" w:w="3240"/>
            <w:tcMar>
              <w:top w:w="70" w:type="dxa"/>
              <w:start w:w="80" w:type="dxa"/>
              <w:bottom w:w="70" w:type="dxa"/>
              <w:end w:w="80" w:type="dxa"/>
            </w:tcMar>
            <w:vAlign w:val="top"/>
          </w:tcPr>
          <w:p>
            <w:pPr>
              <w:spacing w:after="0" w:line="240" w:lineRule="auto"/>
            </w:pPr>
            <w:r>
              <w:rPr>
                <w:rFonts w:ascii="Aptos" w:hAnsi="Aptos"/>
                <w:sz w:val="15"/>
              </w:rPr>
              <w:t>Direct-cost ceiling.</w:t>
            </w:r>
          </w:p>
        </w:tc>
        <w:tc>
          <w:tcPr>
            <w:tcW w:type="dxa" w:w="4248"/>
            <w:tcMar>
              <w:top w:w="70" w:type="dxa"/>
              <w:start w:w="80" w:type="dxa"/>
              <w:bottom w:w="70" w:type="dxa"/>
              <w:end w:w="80" w:type="dxa"/>
            </w:tcMar>
            <w:vAlign w:val="top"/>
          </w:tcPr>
          <w:p>
            <w:pPr>
              <w:spacing w:after="0" w:line="240" w:lineRule="auto"/>
            </w:pPr>
            <w:r>
              <w:rPr>
                <w:rFonts w:ascii="Aptos" w:hAnsi="Aptos"/>
                <w:sz w:val="15"/>
              </w:rPr>
              <w:t>Current page/media costs and collection.</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Programming rates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Allowed only in statutory circumstances.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Technical labor rates, estimate, alternatives.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Operational classes</w:t>
            </w:r>
          </w:p>
        </w:tc>
        <w:tc>
          <w:tcPr>
            <w:tcW w:type="dxa" w:w="3240"/>
            <w:tcMar>
              <w:top w:w="70" w:type="dxa"/>
              <w:start w:w="80" w:type="dxa"/>
              <w:bottom w:w="70" w:type="dxa"/>
              <w:end w:w="80" w:type="dxa"/>
            </w:tcMar>
            <w:vAlign w:val="top"/>
          </w:tcPr>
          <w:p>
            <w:pPr>
              <w:spacing w:after="0" w:line="240" w:lineRule="auto"/>
            </w:pPr>
            <w:r>
              <w:rPr>
                <w:rFonts w:ascii="Aptos" w:hAnsi="Aptos"/>
                <w:sz w:val="15"/>
              </w:rPr>
              <w:t>No legal simple/complex class.</w:t>
            </w:r>
          </w:p>
        </w:tc>
        <w:tc>
          <w:tcPr>
            <w:tcW w:type="dxa" w:w="4248"/>
            <w:tcMar>
              <w:top w:w="70" w:type="dxa"/>
              <w:start w:w="80" w:type="dxa"/>
              <w:bottom w:w="70" w:type="dxa"/>
              <w:end w:w="80" w:type="dxa"/>
            </w:tcMar>
            <w:vAlign w:val="top"/>
          </w:tcPr>
          <w:p>
            <w:pPr>
              <w:spacing w:after="0" w:line="240" w:lineRule="auto"/>
            </w:pPr>
            <w:r>
              <w:rPr>
                <w:rFonts w:ascii="Aptos" w:hAnsi="Aptos"/>
                <w:sz w:val="15"/>
              </w:rPr>
              <w:t>Internal labels and targets.</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Denial notice</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Reasons and responsible names/titles.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Template, approvers, legal review threshold.</w:t>
            </w:r>
          </w:p>
        </w:tc>
      </w:tr>
    </w:tbl>
    <w:p>
      <w:pPr>
        <w:pStyle w:val="Heading1"/>
      </w:pPr>
      <w:r>
        <w:t>9. Suggested workflow states for this jurisdiction</w:t>
      </w:r>
    </w:p>
    <w:p>
      <w:pPr>
        <w:spacing w:after="40"/>
      </w:pPr>
      <w:r>
        <w:rPr>
          <w:b/>
          <w:sz w:val="17"/>
        </w:rPr>
        <w:t>Received</w:t>
      </w:r>
      <w:r>
        <w:t xml:space="preserve">  →  </w:t>
      </w:r>
      <w:r>
        <w:rPr>
          <w:b w:val="0"/>
          <w:sz w:val="17"/>
        </w:rPr>
        <w:t>Ten-Day Determination Review</w:t>
      </w:r>
      <w:r>
        <w:t xml:space="preserve">  →  </w:t>
      </w:r>
      <w:r>
        <w:rPr>
          <w:b w:val="0"/>
          <w:sz w:val="17"/>
        </w:rPr>
        <w:t>Clarification Assistance / Unusual Extension</w:t>
      </w:r>
      <w:r>
        <w:t xml:space="preserve">  →  </w:t>
      </w:r>
      <w:r>
        <w:rPr>
          <w:b w:val="0"/>
          <w:sz w:val="17"/>
        </w:rPr>
        <w:t>Disclosure Determined / Denial</w:t>
      </w:r>
      <w:r>
        <w:t xml:space="preserve">  →  </w:t>
      </w:r>
      <w:r>
        <w:rPr>
          <w:b w:val="0"/>
          <w:sz w:val="17"/>
        </w:rPr>
        <w:t>Search, Redaction &amp; Technical Work</w:t>
      </w:r>
      <w:r>
        <w:t xml:space="preserve">  →  </w:t>
      </w:r>
      <w:r>
        <w:rPr>
          <w:b w:val="0"/>
          <w:sz w:val="17"/>
        </w:rPr>
        <w:t>Estimate or Payment Pending</w:t>
      </w:r>
      <w:r>
        <w:t xml:space="preserve">  →  </w:t>
      </w:r>
      <w:r>
        <w:rPr>
          <w:b w:val="0"/>
          <w:sz w:val="17"/>
        </w:rPr>
        <w:t>Prompt Production</w:t>
      </w:r>
      <w:r>
        <w:t xml:space="preserve">  →  </w:t>
      </w:r>
      <w:r>
        <w:rPr>
          <w:b w:val="0"/>
          <w:sz w:val="17"/>
        </w:rPr>
        <w:t>Closed / Litigation Hold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Automate the determination and extension dates, listed-reason validation, notice content, and fee eligibility flags. Humans decide exemptions, possession, reasonableness of assistance/production, and whether electronic work qualifies for requester-paid programming costs.</w:t>
            </w:r>
          </w:p>
        </w:tc>
      </w:tr>
    </w:tbl>
    <w:p>
      <w:pPr>
        <w:pStyle w:val="Heading1"/>
      </w:pPr>
      <w:r>
        <w:t>10. Confidence and unresolved local-policy questions</w:t>
      </w:r>
    </w:p>
    <w:p>
      <w:pPr>
        <w:pStyle w:val="CompactList"/>
      </w:pPr>
      <w:r>
        <w:rPr>
          <w:b/>
        </w:rPr>
        <w:t xml:space="preserve">• </w:t>
      </w:r>
      <w:r>
        <w:t>High confidence in the ten-day determination, 14-day extension maximum, estimated availability notice, duty to assist, and written-denial contents.</w:t>
      </w:r>
    </w:p>
    <w:p>
      <w:pPr>
        <w:pStyle w:val="CompactList"/>
      </w:pPr>
      <w:r>
        <w:rPr>
          <w:b/>
        </w:rPr>
        <w:t xml:space="preserve">• </w:t>
      </w:r>
      <w:r>
        <w:t>Local numeric production targets, clarification treatment, and estimate/deposit workflows are jurisdiction policy, not statewide CPRA values.</w:t>
      </w:r>
    </w:p>
    <w:p>
      <w:pPr>
        <w:pStyle w:val="CompactList"/>
      </w:pPr>
      <w:r>
        <w:rPr>
          <w:b/>
        </w:rPr>
        <w:t xml:space="preserve">• </w:t>
      </w:r>
      <w:r>
        <w:t>The current statute includes newer unusual-circumstance provisions involving cyberattacks and declared emergencies; deployment should use the current code text.</w:t>
      </w:r>
    </w:p>
    <w:p>
      <w:pPr>
        <w:pStyle w:val="Heading1"/>
      </w:pPr>
      <w:r>
        <w:t>Primary authorities and official resources</w:t>
      </w:r>
    </w:p>
    <w:p>
      <w:pPr>
        <w:pStyle w:val="CompactList"/>
      </w:pPr>
      <w:r>
        <w:rPr>
          <w:b/>
        </w:rPr>
        <w:t xml:space="preserve">• California Government Code §7922.535: </w:t>
      </w:r>
      <w:hyperlink r:id="rId11">
        <w:r>
          <w:rPr>
            <w:color w:val="0563C1"/>
            <w:u w:val="single"/>
          </w:rPr>
          <w:t>https://leginfo.legislature.ca.gov/faces/codes_displaySection.xhtml?lawCode=GOV&amp;sectionNum=7922.535</w:t>
        </w:r>
      </w:hyperlink>
    </w:p>
    <w:p>
      <w:pPr>
        <w:pStyle w:val="CompactList"/>
      </w:pPr>
      <w:r>
        <w:rPr>
          <w:b/>
        </w:rPr>
        <w:t xml:space="preserve">• California Government Code §7922.600: </w:t>
      </w:r>
      <w:hyperlink r:id="rId12">
        <w:r>
          <w:rPr>
            <w:color w:val="0563C1"/>
            <w:u w:val="single"/>
          </w:rPr>
          <w:t>https://leginfo.legislature.ca.gov/faces/codes_displaySection.xhtml?lawCode=GOV&amp;sectionNum=7922.600</w:t>
        </w:r>
      </w:hyperlink>
    </w:p>
    <w:p>
      <w:pPr>
        <w:pStyle w:val="CompactList"/>
      </w:pPr>
      <w:r>
        <w:rPr>
          <w:b/>
        </w:rPr>
        <w:t xml:space="preserve">• California Public Records Act, current code text: </w:t>
      </w:r>
      <w:hyperlink r:id="rId13">
        <w:r>
          <w:rPr>
            <w:color w:val="0563C1"/>
            <w:u w:val="single"/>
          </w:rPr>
          <w:t>https://leginfo.legislature.ca.gov/faces/codes_displayText.xhtml?division=10.&amp;chapter=1.&amp;part=3.&amp;lawCode=GOV&amp;title=1.</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06 California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ginfo.legislature.ca.gov/faces/codes_displaySection.xhtml?lawCode=GOV&amp;sectionNum=7922.535" TargetMode="External"/><Relationship Id="rId12" Type="http://schemas.openxmlformats.org/officeDocument/2006/relationships/hyperlink" Target="https://leginfo.legislature.ca.gov/faces/codes_displaySection.xhtml?lawCode=GOV&amp;sectionNum=7922.600" TargetMode="External"/><Relationship Id="rId13" Type="http://schemas.openxmlformats.org/officeDocument/2006/relationships/hyperlink" Target="https://leginfo.legislature.ca.gov/faces/codes_displayText.xhtml?division=10.&amp;chapter=1.&amp;part=3.&amp;lawCode=GOV&amp;titl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