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New York</w:t>
        <w:br/>
      </w:r>
      <w:r>
        <w:rPr>
          <w:color w:val="17365D"/>
          <w:sz w:val="34"/>
        </w:rPr>
        <w:t>Initial Public-Records Processing Workflow</w:t>
        <w:br/>
        <w:t>and Software Configuration Analysis</w:t>
      </w:r>
    </w:p>
    <w:p>
      <w:pPr>
        <w:jc w:val="center"/>
      </w:pPr>
      <w:r>
        <w:rPr>
          <w:i/>
          <w:color w:val="5A5A5A"/>
          <w:sz w:val="18"/>
        </w:rPr>
        <w:t>Pilot State 07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New York Freedom of Information Law (FOIL), Public Officers Law article 6, applies to municipal agencies. The workflow assumes a written request received by the agency under its published rules.</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Within five business days the agency must grant access, deny in writing, or acknowledge in writing and provide an approximate date when the request will be granted or denied.</w:t>
      </w:r>
    </w:p>
    <w:p>
      <w:pPr>
        <w:pStyle w:val="CompactList"/>
      </w:pPr>
      <w:r>
        <w:rPr>
          <w:b/>
        </w:rPr>
        <w:t xml:space="preserve">• </w:t>
      </w:r>
      <w:r>
        <w:t>If the agency knows it cannot act within 20 business days of acknowledgment, it must give the reason and a specific date certain that is reasonable. If it misses a promised date, it must explain and provide a new reasonable date certain.</w:t>
      </w:r>
    </w:p>
    <w:p>
      <w:pPr>
        <w:pStyle w:val="CompactList"/>
      </w:pPr>
      <w:r>
        <w:rPr>
          <w:b/>
        </w:rPr>
        <w:t xml:space="preserve">• </w:t>
      </w:r>
      <w:r>
        <w:t>A request must reasonably describe the records. Agency rules and Committee on Open Government guidance support helping a requester clarify by explaining filing and retrieval systems when possible.</w:t>
      </w:r>
    </w:p>
    <w:p>
      <w:pPr>
        <w:pStyle w:val="CompactList"/>
      </w:pPr>
      <w:r>
        <w:rPr>
          <w:b/>
        </w:rPr>
        <w:t xml:space="preserve">• </w:t>
      </w:r>
      <w:r>
        <w:t>Written denial must provide appeal rights. The requester generally has 30 days to appeal, and the appeal officer must determine the appeal within 10 business days.</w:t>
      </w:r>
    </w:p>
    <w:p>
      <w:pPr>
        <w:pStyle w:val="CompactList"/>
      </w:pPr>
      <w:r>
        <w:rPr>
          <w:b/>
        </w:rPr>
        <w:t xml:space="preserve">• </w:t>
      </w:r>
      <w:r>
        <w:t>An estimated reproduction cost is required when more than two hours of employee preparation time is needed or an outside professional service will be retained.</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Apply the agency’s published rules for electronic, mail, or hand delivery and record the business-day receipt date.</w:t>
      </w:r>
    </w:p>
    <w:p>
      <w:pPr>
        <w:pStyle w:val="CompactList"/>
      </w:pPr>
      <w:r>
        <w:rPr>
          <w:b/>
        </w:rPr>
        <w:t xml:space="preserve">• </w:t>
      </w:r>
      <w:r>
        <w:t>Determine whether records are reasonably described, readily available, potentially exempt, and whether response is possible within five business days or requires acknowledgment.</w:t>
      </w:r>
    </w:p>
    <w:p>
      <w:pPr>
        <w:pStyle w:val="CompactList"/>
      </w:pPr>
      <w:r>
        <w:rPr>
          <w:b/>
        </w:rPr>
        <w:t xml:space="preserve">• </w:t>
      </w:r>
      <w:r>
        <w:t>If acknowledging, set an approximate grant/deny date and determine whether it falls within 20 business days; longer periods require reasons and a date certain.</w:t>
      </w:r>
    </w:p>
    <w:p>
      <w:pPr>
        <w:pStyle w:val="CompactList"/>
      </w:pPr>
      <w:r>
        <w:rPr>
          <w:b/>
        </w:rPr>
        <w:t xml:space="preserve">• </w:t>
      </w:r>
      <w:r>
        <w:t>Review fee implications early where electronic preparation may exceed two hours.</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Within 5 business days</w:t>
            </w:r>
          </w:p>
        </w:tc>
        <w:tc>
          <w:tcPr>
            <w:tcW w:type="dxa" w:w="4752"/>
            <w:tcMar>
              <w:top w:w="70" w:type="dxa"/>
              <w:start w:w="80" w:type="dxa"/>
              <w:bottom w:w="70" w:type="dxa"/>
              <w:end w:w="80" w:type="dxa"/>
            </w:tcMar>
            <w:vAlign w:val="top"/>
          </w:tcPr>
          <w:p>
            <w:pPr>
              <w:spacing w:after="0" w:line="240" w:lineRule="auto"/>
            </w:pPr>
            <w:r>
              <w:rPr>
                <w:rFonts w:ascii="Aptos" w:hAnsi="Aptos"/>
                <w:sz w:val="15"/>
              </w:rPr>
              <w:t>Grant, deny in writing, or acknowledge in writing with approximate grant/deny date.</w:t>
            </w:r>
          </w:p>
        </w:tc>
        <w:tc>
          <w:tcPr>
            <w:tcW w:type="dxa" w:w="1655"/>
            <w:tcMar>
              <w:top w:w="70" w:type="dxa"/>
              <w:start w:w="80" w:type="dxa"/>
              <w:bottom w:w="70" w:type="dxa"/>
              <w:end w:w="80" w:type="dxa"/>
            </w:tcMar>
            <w:vAlign w:val="top"/>
          </w:tcPr>
          <w:p>
            <w:pPr>
              <w:spacing w:after="0" w:line="240" w:lineRule="auto"/>
            </w:pPr>
            <w:r>
              <w:rPr>
                <w:rFonts w:ascii="Aptos" w:hAnsi="Aptos"/>
                <w:sz w:val="15"/>
              </w:rPr>
              <w:t>Initial timer satisfied.</w:t>
            </w:r>
          </w:p>
        </w:tc>
        <w:tc>
          <w:tcPr>
            <w:tcW w:type="dxa" w:w="1872"/>
            <w:tcMar>
              <w:top w:w="70" w:type="dxa"/>
              <w:start w:w="80" w:type="dxa"/>
              <w:bottom w:w="70" w:type="dxa"/>
              <w:end w:w="80" w:type="dxa"/>
            </w:tcMar>
            <w:vAlign w:val="top"/>
          </w:tcPr>
          <w:p>
            <w:pPr>
              <w:spacing w:after="0" w:line="240" w:lineRule="auto"/>
            </w:pPr>
            <w:r>
              <w:rPr>
                <w:rFonts w:ascii="Aptos" w:hAnsi="Aptos"/>
                <w:sz w:val="15"/>
              </w:rPr>
              <w:t>POL §89(3)(a)</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More than 20 business days</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explanation of inability and a specific reasonable date certain.</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Long-response commitment timer.</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POL §89(3)(a)</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Promised date cannot be met</w:t>
            </w:r>
          </w:p>
        </w:tc>
        <w:tc>
          <w:tcPr>
            <w:tcW w:type="dxa" w:w="4752"/>
            <w:tcMar>
              <w:top w:w="70" w:type="dxa"/>
              <w:start w:w="80" w:type="dxa"/>
              <w:bottom w:w="70" w:type="dxa"/>
              <w:end w:w="80" w:type="dxa"/>
            </w:tcMar>
            <w:vAlign w:val="top"/>
          </w:tcPr>
          <w:p>
            <w:pPr>
              <w:spacing w:after="0" w:line="240" w:lineRule="auto"/>
            </w:pPr>
            <w:r>
              <w:rPr>
                <w:rFonts w:ascii="Aptos" w:hAnsi="Aptos"/>
                <w:sz w:val="15"/>
              </w:rPr>
              <w:t>Written reason and new reasonable date certain.</w:t>
            </w:r>
          </w:p>
        </w:tc>
        <w:tc>
          <w:tcPr>
            <w:tcW w:type="dxa" w:w="1655"/>
            <w:tcMar>
              <w:top w:w="70" w:type="dxa"/>
              <w:start w:w="80" w:type="dxa"/>
              <w:bottom w:w="70" w:type="dxa"/>
              <w:end w:w="80" w:type="dxa"/>
            </w:tcMar>
            <w:vAlign w:val="top"/>
          </w:tcPr>
          <w:p>
            <w:pPr>
              <w:spacing w:after="0" w:line="240" w:lineRule="auto"/>
            </w:pPr>
            <w:r>
              <w:rPr>
                <w:rFonts w:ascii="Aptos" w:hAnsi="Aptos"/>
                <w:sz w:val="15"/>
              </w:rPr>
              <w:t>Replaces commitment date.</w:t>
            </w:r>
          </w:p>
        </w:tc>
        <w:tc>
          <w:tcPr>
            <w:tcW w:type="dxa" w:w="1872"/>
            <w:tcMar>
              <w:top w:w="70" w:type="dxa"/>
              <w:start w:w="80" w:type="dxa"/>
              <w:bottom w:w="70" w:type="dxa"/>
              <w:end w:w="80" w:type="dxa"/>
            </w:tcMar>
            <w:vAlign w:val="top"/>
          </w:tcPr>
          <w:p>
            <w:pPr>
              <w:spacing w:after="0" w:line="240" w:lineRule="auto"/>
            </w:pPr>
            <w:r>
              <w:rPr>
                <w:rFonts w:ascii="Aptos" w:hAnsi="Aptos"/>
                <w:sz w:val="15"/>
              </w:rPr>
              <w:t>POL §89(3)(a)</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Denial appeal</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Requester generally appeals within 30 days.</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Appeal subworkflow.</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POL §89(4)(a)</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Appeal decision</w:t>
            </w:r>
          </w:p>
        </w:tc>
        <w:tc>
          <w:tcPr>
            <w:tcW w:type="dxa" w:w="4752"/>
            <w:tcMar>
              <w:top w:w="70" w:type="dxa"/>
              <w:start w:w="80" w:type="dxa"/>
              <w:bottom w:w="70" w:type="dxa"/>
              <w:end w:w="80" w:type="dxa"/>
            </w:tcMar>
            <w:vAlign w:val="top"/>
          </w:tcPr>
          <w:p>
            <w:pPr>
              <w:spacing w:after="0" w:line="240" w:lineRule="auto"/>
            </w:pPr>
            <w:r>
              <w:rPr>
                <w:rFonts w:ascii="Aptos" w:hAnsi="Aptos"/>
                <w:sz w:val="15"/>
              </w:rPr>
              <w:t>Within 10 business days, fully explain denial in writing or provide access.</w:t>
            </w:r>
          </w:p>
        </w:tc>
        <w:tc>
          <w:tcPr>
            <w:tcW w:type="dxa" w:w="1655"/>
            <w:tcMar>
              <w:top w:w="70" w:type="dxa"/>
              <w:start w:w="80" w:type="dxa"/>
              <w:bottom w:w="70" w:type="dxa"/>
              <w:end w:w="80" w:type="dxa"/>
            </w:tcMar>
            <w:vAlign w:val="top"/>
          </w:tcPr>
          <w:p>
            <w:pPr>
              <w:spacing w:after="0" w:line="240" w:lineRule="auto"/>
            </w:pPr>
            <w:r>
              <w:rPr>
                <w:rFonts w:ascii="Aptos" w:hAnsi="Aptos"/>
                <w:sz w:val="15"/>
              </w:rPr>
              <w:t>Administrative appeal completed.</w:t>
            </w:r>
          </w:p>
        </w:tc>
        <w:tc>
          <w:tcPr>
            <w:tcW w:type="dxa" w:w="1872"/>
            <w:tcMar>
              <w:top w:w="70" w:type="dxa"/>
              <w:start w:w="80" w:type="dxa"/>
              <w:bottom w:w="70" w:type="dxa"/>
              <w:end w:w="80" w:type="dxa"/>
            </w:tcMar>
            <w:vAlign w:val="top"/>
          </w:tcPr>
          <w:p>
            <w:pPr>
              <w:spacing w:after="0" w:line="240" w:lineRule="auto"/>
            </w:pPr>
            <w:r>
              <w:rPr>
                <w:rFonts w:ascii="Aptos" w:hAnsi="Aptos"/>
                <w:sz w:val="15"/>
              </w:rPr>
              <w:t>POL §89(4)(a)</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Costly preparation</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Inform requester of estimated cost if &gt;2 employee hours or outside service.</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Payment/acceptance workflow.</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POL §87(1)(c)</w:t>
            </w:r>
          </w:p>
        </w:tc>
      </w:tr>
    </w:tbl>
    <w:p>
      <w:pPr>
        <w:pStyle w:val="Heading1"/>
      </w:pPr>
      <w:r>
        <w:t>3. Vague, unclear, or overly broad requests</w:t>
      </w:r>
    </w:p>
    <w:p>
      <w:pPr>
        <w:pStyle w:val="CompactList"/>
      </w:pPr>
      <w:r>
        <w:rPr>
          <w:b/>
        </w:rPr>
        <w:t xml:space="preserve">• </w:t>
      </w:r>
      <w:r>
        <w:t>FOIL requires a request to reasonably describe the records sought. An agency may deny a request that does not enable it to locate records with reasonable effort.</w:t>
      </w:r>
    </w:p>
    <w:p>
      <w:pPr>
        <w:pStyle w:val="CompactList"/>
      </w:pPr>
      <w:r>
        <w:rPr>
          <w:b/>
        </w:rPr>
        <w:t xml:space="preserve">• </w:t>
      </w:r>
      <w:r>
        <w:t>Agency regulations call for assistance where possible, including describing the filing, retrieval, or indexing system so the requester can reformulate the request.</w:t>
      </w:r>
    </w:p>
    <w:p>
      <w:pPr>
        <w:pStyle w:val="CompactList"/>
      </w:pPr>
      <w:r>
        <w:rPr>
          <w:b/>
        </w:rPr>
        <w:t xml:space="preserve">• </w:t>
      </w:r>
      <w:r>
        <w:t>FOIL does not provide a universal clarification-response period or express global tolling rule. The agency must still issue a valid five-business-day response.</w:t>
      </w:r>
    </w:p>
    <w:p>
      <w:pPr>
        <w:pStyle w:val="CompactList"/>
      </w:pPr>
      <w:r>
        <w:rPr>
          <w:b/>
        </w:rPr>
        <w:t xml:space="preserve">• </w:t>
      </w:r>
      <w:r>
        <w:t>A clarified or narrowed request should receive a documented receipt/commitment treatment under counsel-approved agency rules.</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Use “reasonably describes” as a human determination. The five-day response may be a clarification/insufficiency communication under agency rules, but do not create a statewide automatic pause. Configure nonresponse and amended-request treatment locally.</w:t>
            </w:r>
          </w:p>
        </w:tc>
      </w:tr>
    </w:tbl>
    <w:p>
      <w:pPr>
        <w:pStyle w:val="Heading1"/>
      </w:pPr>
      <w:r>
        <w:t>4. Denial, withholding, and partial production</w:t>
      </w:r>
    </w:p>
    <w:p>
      <w:pPr>
        <w:pStyle w:val="CompactList"/>
      </w:pPr>
      <w:r>
        <w:rPr>
          <w:b/>
        </w:rPr>
        <w:t xml:space="preserve">• </w:t>
      </w:r>
      <w:r>
        <w:t>Denial must be in writing and inform the requester of the right to appeal to the designated person or body.</w:t>
      </w:r>
    </w:p>
    <w:p>
      <w:pPr>
        <w:pStyle w:val="CompactList"/>
      </w:pPr>
      <w:r>
        <w:rPr>
          <w:b/>
        </w:rPr>
        <w:t xml:space="preserve">• </w:t>
      </w:r>
      <w:r>
        <w:t>Partial denials should identify withheld portions and applicable exemptions while producing available portions.</w:t>
      </w:r>
    </w:p>
    <w:p>
      <w:pPr>
        <w:pStyle w:val="CompactList"/>
      </w:pPr>
      <w:r>
        <w:rPr>
          <w:b/>
        </w:rPr>
        <w:t xml:space="preserve">• </w:t>
      </w:r>
      <w:r>
        <w:t>Failure to follow statutory response or promised-date requirements may be treated as constructive denial, allowing appeal.</w:t>
      </w:r>
    </w:p>
    <w:p>
      <w:pPr>
        <w:pStyle w:val="CompactList"/>
      </w:pPr>
      <w:r>
        <w:rPr>
          <w:b/>
        </w:rPr>
        <w:t xml:space="preserve">• </w:t>
      </w:r>
      <w:r>
        <w:t>The appeal decision must either provide access or fully explain the reasons for further denial in writing within ten business days.</w:t>
      </w:r>
    </w:p>
    <w:p>
      <w:pPr>
        <w:pStyle w:val="Heading1"/>
      </w:pPr>
      <w:r>
        <w:t>5. Request classification and processing tracks</w:t>
      </w:r>
    </w:p>
    <w:p>
      <w:pPr>
        <w:pStyle w:val="CompactList"/>
      </w:pPr>
      <w:r>
        <w:rPr>
          <w:b/>
        </w:rPr>
        <w:t xml:space="preserve">• </w:t>
      </w:r>
      <w:r>
        <w:t>No statewide “simple/complex” class changes the five-day initial response.</w:t>
      </w:r>
    </w:p>
    <w:p>
      <w:pPr>
        <w:pStyle w:val="CompactList"/>
      </w:pPr>
      <w:r>
        <w:rPr>
          <w:b/>
        </w:rPr>
        <w:t xml:space="preserve">• </w:t>
      </w:r>
      <w:r>
        <w:t>The meaningful timing tracks are: immediate grant/deny; acknowledgment with date within 20 business days; and acknowledgment requiring more than 20 business days with reasons/date certain.</w:t>
      </w:r>
    </w:p>
    <w:p>
      <w:pPr>
        <w:pStyle w:val="CompactList"/>
      </w:pPr>
      <w:r>
        <w:rPr>
          <w:b/>
        </w:rPr>
        <w:t xml:space="preserve">• </w:t>
      </w:r>
      <w:r>
        <w:t>Two-plus hours of preparation and outside professional service are statutory fee-estimate flags, not complexity labels.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Grant / deny within 5 days</w:t>
            </w:r>
          </w:p>
        </w:tc>
        <w:tc>
          <w:tcPr>
            <w:tcW w:type="dxa" w:w="1944"/>
            <w:tcMar>
              <w:top w:w="70" w:type="dxa"/>
              <w:start w:w="80" w:type="dxa"/>
              <w:bottom w:w="70" w:type="dxa"/>
              <w:end w:w="80" w:type="dxa"/>
            </w:tcMar>
            <w:vAlign w:val="top"/>
          </w:tcPr>
          <w:p>
            <w:pPr>
              <w:spacing w:after="0" w:line="240" w:lineRule="auto"/>
            </w:pPr>
            <w:r>
              <w:rPr>
                <w:rFonts w:ascii="Aptos" w:hAnsi="Aptos"/>
                <w:sz w:val="15"/>
              </w:rPr>
              <w:t>Legal response track</w:t>
            </w:r>
          </w:p>
        </w:tc>
        <w:tc>
          <w:tcPr>
            <w:tcW w:type="dxa" w:w="4752"/>
            <w:tcMar>
              <w:top w:w="70" w:type="dxa"/>
              <w:start w:w="80" w:type="dxa"/>
              <w:bottom w:w="70" w:type="dxa"/>
              <w:end w:w="80" w:type="dxa"/>
            </w:tcMar>
            <w:vAlign w:val="top"/>
          </w:tcPr>
          <w:p>
            <w:pPr>
              <w:spacing w:after="0" w:line="240" w:lineRule="auto"/>
            </w:pPr>
            <w:r>
              <w:rPr>
                <w:rFonts w:ascii="Aptos" w:hAnsi="Aptos"/>
                <w:sz w:val="15"/>
              </w:rPr>
              <w:t>Complete initial outcome.</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Acknowledgment ≤20 days</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timing track</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Approximate date for grant/deny.</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Acknowledgment &gt;20 days</w:t>
            </w:r>
          </w:p>
        </w:tc>
        <w:tc>
          <w:tcPr>
            <w:tcW w:type="dxa" w:w="1944"/>
            <w:tcMar>
              <w:top w:w="70" w:type="dxa"/>
              <w:start w:w="80" w:type="dxa"/>
              <w:bottom w:w="70" w:type="dxa"/>
              <w:end w:w="80" w:type="dxa"/>
            </w:tcMar>
            <w:vAlign w:val="top"/>
          </w:tcPr>
          <w:p>
            <w:pPr>
              <w:spacing w:after="0" w:line="240" w:lineRule="auto"/>
            </w:pPr>
            <w:r>
              <w:rPr>
                <w:rFonts w:ascii="Aptos" w:hAnsi="Aptos"/>
                <w:sz w:val="15"/>
              </w:rPr>
              <w:t>Legal timing track</w:t>
            </w:r>
          </w:p>
        </w:tc>
        <w:tc>
          <w:tcPr>
            <w:tcW w:type="dxa" w:w="4752"/>
            <w:tcMar>
              <w:top w:w="70" w:type="dxa"/>
              <w:start w:w="80" w:type="dxa"/>
              <w:bottom w:w="70" w:type="dxa"/>
              <w:end w:w="80" w:type="dxa"/>
            </w:tcMar>
            <w:vAlign w:val="top"/>
          </w:tcPr>
          <w:p>
            <w:pPr>
              <w:spacing w:after="0" w:line="240" w:lineRule="auto"/>
            </w:pPr>
            <w:r>
              <w:rPr>
                <w:rFonts w:ascii="Aptos" w:hAnsi="Aptos"/>
                <w:sz w:val="15"/>
              </w:rPr>
              <w:t>Reason + specific reasonable date certain.</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Reasonably describe issue</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sufficiency flag</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Assist/reformulate or deny with appeal rights.</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Preparation &gt;2 hours</w:t>
            </w:r>
          </w:p>
        </w:tc>
        <w:tc>
          <w:tcPr>
            <w:tcW w:type="dxa" w:w="1944"/>
            <w:tcMar>
              <w:top w:w="70" w:type="dxa"/>
              <w:start w:w="80" w:type="dxa"/>
              <w:bottom w:w="70" w:type="dxa"/>
              <w:end w:w="80" w:type="dxa"/>
            </w:tcMar>
            <w:vAlign w:val="top"/>
          </w:tcPr>
          <w:p>
            <w:pPr>
              <w:spacing w:after="0" w:line="240" w:lineRule="auto"/>
            </w:pPr>
            <w:r>
              <w:rPr>
                <w:rFonts w:ascii="Aptos" w:hAnsi="Aptos"/>
                <w:sz w:val="15"/>
              </w:rPr>
              <w:t>Statutory fee flag</w:t>
            </w:r>
          </w:p>
        </w:tc>
        <w:tc>
          <w:tcPr>
            <w:tcW w:type="dxa" w:w="4752"/>
            <w:tcMar>
              <w:top w:w="70" w:type="dxa"/>
              <w:start w:w="80" w:type="dxa"/>
              <w:bottom w:w="70" w:type="dxa"/>
              <w:end w:w="80" w:type="dxa"/>
            </w:tcMar>
            <w:vAlign w:val="top"/>
          </w:tcPr>
          <w:p>
            <w:pPr>
              <w:spacing w:after="0" w:line="240" w:lineRule="auto"/>
            </w:pPr>
            <w:r>
              <w:rPr>
                <w:rFonts w:ascii="Aptos" w:hAnsi="Aptos"/>
                <w:sz w:val="15"/>
              </w:rPr>
              <w:t>Estimated actual cost; potential prepayment.</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Simple / complex</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Internal assignment only.</w:t>
            </w:r>
          </w:p>
        </w:tc>
      </w:tr>
    </w:tbl>
    <w:p>
      <w:pPr>
        <w:pStyle w:val="Heading1"/>
      </w:pPr>
      <w:r>
        <w:t>6. Fees, estimates, deposits, and payment timing</w:t>
      </w:r>
    </w:p>
    <w:p>
      <w:pPr>
        <w:pStyle w:val="CompactList"/>
      </w:pPr>
      <w:r>
        <w:rPr>
          <w:b/>
        </w:rPr>
        <w:t xml:space="preserve">• </w:t>
      </w:r>
      <w:r>
        <w:t>Unless another statute sets a different fee, an agency may charge up to 25 cents per photocopy not larger than 9 by 14 inches, or the actual cost of reproducing other records.</w:t>
      </w:r>
    </w:p>
    <w:p>
      <w:pPr>
        <w:pStyle w:val="CompactList"/>
      </w:pPr>
      <w:r>
        <w:rPr>
          <w:b/>
        </w:rPr>
        <w:t xml:space="preserve">• </w:t>
      </w:r>
      <w:r>
        <w:t>Actual cost may include storage media, the hourly salary of the lowest-paid employee capable of preparing the copy when at least two hours are needed, and an outside professional service when agency IT is inadequate, subject to statutory limits.</w:t>
      </w:r>
    </w:p>
    <w:p>
      <w:pPr>
        <w:pStyle w:val="CompactList"/>
      </w:pPr>
      <w:r>
        <w:rPr>
          <w:b/>
        </w:rPr>
        <w:t xml:space="preserve">• </w:t>
      </w:r>
      <w:r>
        <w:t>The requester must be informed of the estimated cost when more than two employee hours are needed or an outside service will be used.</w:t>
      </w:r>
    </w:p>
    <w:p>
      <w:pPr>
        <w:pStyle w:val="CompactList"/>
      </w:pPr>
      <w:r>
        <w:rPr>
          <w:b/>
        </w:rPr>
        <w:t xml:space="preserve">• </w:t>
      </w:r>
      <w:r>
        <w:t>Preparing a copy does not include search time or administrative costs. Prepayment practices should be implemented through the agency’s rules and estimate communication.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Paper copy</w:t>
            </w:r>
          </w:p>
        </w:tc>
        <w:tc>
          <w:tcPr>
            <w:tcW w:type="dxa" w:w="4536"/>
            <w:tcMar>
              <w:top w:w="70" w:type="dxa"/>
              <w:start w:w="80" w:type="dxa"/>
              <w:bottom w:w="70" w:type="dxa"/>
              <w:end w:w="80" w:type="dxa"/>
            </w:tcMar>
            <w:vAlign w:val="top"/>
          </w:tcPr>
          <w:p>
            <w:pPr>
              <w:spacing w:after="0" w:line="240" w:lineRule="auto"/>
            </w:pPr>
            <w:r>
              <w:rPr>
                <w:rFonts w:ascii="Aptos" w:hAnsi="Aptos"/>
                <w:sz w:val="15"/>
              </w:rPr>
              <w:t>Up to $0.25 per page ≤9x14 unless other statute.</w:t>
            </w:r>
          </w:p>
        </w:tc>
        <w:tc>
          <w:tcPr>
            <w:tcW w:type="dxa" w:w="2736"/>
            <w:tcMar>
              <w:top w:w="70" w:type="dxa"/>
              <w:start w:w="80" w:type="dxa"/>
              <w:bottom w:w="70" w:type="dxa"/>
              <w:end w:w="80" w:type="dxa"/>
            </w:tcMar>
            <w:vAlign w:val="top"/>
          </w:tcPr>
          <w:p>
            <w:pPr>
              <w:spacing w:after="0" w:line="240" w:lineRule="auto"/>
            </w:pPr>
            <w:r>
              <w:rPr>
                <w:rFonts w:ascii="Aptos" w:hAnsi="Aptos"/>
                <w:sz w:val="15"/>
              </w:rPr>
              <w:t>Current adopted fee and waiver.</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Other reproduction</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Actual statutory cost components.</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Media cost, eligible employee rate, vendor process.</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Estimate</w:t>
            </w:r>
          </w:p>
        </w:tc>
        <w:tc>
          <w:tcPr>
            <w:tcW w:type="dxa" w:w="4536"/>
            <w:tcMar>
              <w:top w:w="70" w:type="dxa"/>
              <w:start w:w="80" w:type="dxa"/>
              <w:bottom w:w="70" w:type="dxa"/>
              <w:end w:w="80" w:type="dxa"/>
            </w:tcMar>
            <w:vAlign w:val="top"/>
          </w:tcPr>
          <w:p>
            <w:pPr>
              <w:spacing w:after="0" w:line="240" w:lineRule="auto"/>
            </w:pPr>
            <w:r>
              <w:rPr>
                <w:rFonts w:ascii="Aptos" w:hAnsi="Aptos"/>
                <w:sz w:val="15"/>
              </w:rPr>
              <w:t>Required if &gt;2 employee hours or outside service.</w:t>
            </w:r>
          </w:p>
        </w:tc>
        <w:tc>
          <w:tcPr>
            <w:tcW w:type="dxa" w:w="2736"/>
            <w:tcMar>
              <w:top w:w="70" w:type="dxa"/>
              <w:start w:w="80" w:type="dxa"/>
              <w:bottom w:w="70" w:type="dxa"/>
              <w:end w:w="80" w:type="dxa"/>
            </w:tcMar>
            <w:vAlign w:val="top"/>
          </w:tcPr>
          <w:p>
            <w:pPr>
              <w:spacing w:after="0" w:line="240" w:lineRule="auto"/>
            </w:pPr>
            <w:r>
              <w:rPr>
                <w:rFonts w:ascii="Aptos" w:hAnsi="Aptos"/>
                <w:sz w:val="15"/>
              </w:rPr>
              <w:t>Quote format, acceptance and validity.</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Prepayment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Permissible under agency rules/practice.</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Threshold, due date, refund/reconciliation.</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Search/admin time</w:t>
            </w:r>
          </w:p>
        </w:tc>
        <w:tc>
          <w:tcPr>
            <w:tcW w:type="dxa" w:w="4536"/>
            <w:tcMar>
              <w:top w:w="70" w:type="dxa"/>
              <w:start w:w="80" w:type="dxa"/>
              <w:bottom w:w="70" w:type="dxa"/>
              <w:end w:w="80" w:type="dxa"/>
            </w:tcMar>
            <w:vAlign w:val="top"/>
          </w:tcPr>
          <w:p>
            <w:pPr>
              <w:spacing w:after="0" w:line="240" w:lineRule="auto"/>
            </w:pPr>
            <w:r>
              <w:rPr>
                <w:rFonts w:ascii="Aptos" w:hAnsi="Aptos"/>
                <w:sz w:val="15"/>
              </w:rPr>
              <w:t>Not included in preparation charge.</w:t>
            </w:r>
          </w:p>
        </w:tc>
        <w:tc>
          <w:tcPr>
            <w:tcW w:type="dxa" w:w="2736"/>
            <w:tcMar>
              <w:top w:w="70" w:type="dxa"/>
              <w:start w:w="80" w:type="dxa"/>
              <w:bottom w:w="70" w:type="dxa"/>
              <w:end w:w="80" w:type="dxa"/>
            </w:tcMar>
            <w:vAlign w:val="top"/>
          </w:tcPr>
          <w:p>
            <w:pPr>
              <w:spacing w:after="0" w:line="240" w:lineRule="auto"/>
            </w:pPr>
            <w:r>
              <w:rPr>
                <w:rFonts w:ascii="Aptos" w:hAnsi="Aptos"/>
                <w:sz w:val="15"/>
              </w:rPr>
              <w:t>Disable as chargeable component.</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Written request received</w:t>
            </w:r>
          </w:p>
        </w:tc>
        <w:tc>
          <w:tcPr>
            <w:tcW w:type="dxa" w:w="3168"/>
            <w:tcMar>
              <w:top w:w="70" w:type="dxa"/>
              <w:start w:w="80" w:type="dxa"/>
              <w:bottom w:w="70" w:type="dxa"/>
              <w:end w:w="80" w:type="dxa"/>
            </w:tcMar>
            <w:vAlign w:val="top"/>
          </w:tcPr>
          <w:p>
            <w:pPr>
              <w:spacing w:after="0" w:line="240" w:lineRule="auto"/>
            </w:pPr>
            <w:r>
              <w:rPr>
                <w:rFonts w:ascii="Aptos" w:hAnsi="Aptos"/>
                <w:sz w:val="14"/>
              </w:rPr>
              <w:t>Calculate five business days.</w:t>
            </w:r>
          </w:p>
        </w:tc>
        <w:tc>
          <w:tcPr>
            <w:tcW w:type="dxa" w:w="3024"/>
            <w:tcMar>
              <w:top w:w="70" w:type="dxa"/>
              <w:start w:w="80" w:type="dxa"/>
              <w:bottom w:w="70" w:type="dxa"/>
              <w:end w:w="80" w:type="dxa"/>
            </w:tcMar>
            <w:vAlign w:val="top"/>
          </w:tcPr>
          <w:p>
            <w:pPr>
              <w:spacing w:after="0" w:line="240" w:lineRule="auto"/>
            </w:pPr>
            <w:r>
              <w:rPr>
                <w:rFonts w:ascii="Aptos" w:hAnsi="Aptos"/>
                <w:sz w:val="14"/>
              </w:rPr>
              <w:t>Grant, deny, or acknowledge by day 5.</w:t>
            </w:r>
          </w:p>
        </w:tc>
        <w:tc>
          <w:tcPr>
            <w:tcW w:type="dxa" w:w="2232"/>
            <w:tcMar>
              <w:top w:w="70" w:type="dxa"/>
              <w:start w:w="80" w:type="dxa"/>
              <w:bottom w:w="70" w:type="dxa"/>
              <w:end w:w="80" w:type="dxa"/>
            </w:tcMar>
            <w:vAlign w:val="top"/>
          </w:tcPr>
          <w:p>
            <w:pPr>
              <w:spacing w:after="0" w:line="240" w:lineRule="auto"/>
            </w:pPr>
            <w:r>
              <w:rPr>
                <w:rFonts w:ascii="Aptos" w:hAnsi="Aptos"/>
                <w:sz w:val="14"/>
              </w:rPr>
              <w:t>Hard initial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More time needed ≤20 days</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Set approximate date and acknowledge.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Written acknowledgment.</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Commitment timer.</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Need &gt;20 days</w:t>
            </w:r>
          </w:p>
        </w:tc>
        <w:tc>
          <w:tcPr>
            <w:tcW w:type="dxa" w:w="3168"/>
            <w:tcMar>
              <w:top w:w="70" w:type="dxa"/>
              <w:start w:w="80" w:type="dxa"/>
              <w:bottom w:w="70" w:type="dxa"/>
              <w:end w:w="80" w:type="dxa"/>
            </w:tcMar>
            <w:vAlign w:val="top"/>
          </w:tcPr>
          <w:p>
            <w:pPr>
              <w:spacing w:after="0" w:line="240" w:lineRule="auto"/>
            </w:pPr>
            <w:r>
              <w:rPr>
                <w:rFonts w:ascii="Aptos" w:hAnsi="Aptos"/>
                <w:sz w:val="14"/>
              </w:rPr>
              <w:t>Record circumstances; set specific reasonable date certain.</w:t>
            </w:r>
          </w:p>
        </w:tc>
        <w:tc>
          <w:tcPr>
            <w:tcW w:type="dxa" w:w="3024"/>
            <w:tcMar>
              <w:top w:w="70" w:type="dxa"/>
              <w:start w:w="80" w:type="dxa"/>
              <w:bottom w:w="70" w:type="dxa"/>
              <w:end w:w="80" w:type="dxa"/>
            </w:tcMar>
            <w:vAlign w:val="top"/>
          </w:tcPr>
          <w:p>
            <w:pPr>
              <w:spacing w:after="0" w:line="240" w:lineRule="auto"/>
            </w:pPr>
            <w:r>
              <w:rPr>
                <w:rFonts w:ascii="Aptos" w:hAnsi="Aptos"/>
                <w:sz w:val="14"/>
              </w:rPr>
              <w:t>Reason + date certain.</w:t>
            </w:r>
          </w:p>
        </w:tc>
        <w:tc>
          <w:tcPr>
            <w:tcW w:type="dxa" w:w="2232"/>
            <w:tcMar>
              <w:top w:w="70" w:type="dxa"/>
              <w:start w:w="80" w:type="dxa"/>
              <w:bottom w:w="70" w:type="dxa"/>
              <w:end w:w="80" w:type="dxa"/>
            </w:tcMar>
            <w:vAlign w:val="top"/>
          </w:tcPr>
          <w:p>
            <w:pPr>
              <w:spacing w:after="0" w:line="240" w:lineRule="auto"/>
            </w:pPr>
            <w:r>
              <w:rPr>
                <w:rFonts w:ascii="Aptos" w:hAnsi="Aptos"/>
                <w:sz w:val="14"/>
              </w:rPr>
              <w:t>Qualitative reasonableness.</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Promised date missed</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Require explanation and new date certain.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Written update before/at missed date.</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Replace timer.</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Not reasonably described</w:t>
            </w:r>
          </w:p>
        </w:tc>
        <w:tc>
          <w:tcPr>
            <w:tcW w:type="dxa" w:w="3168"/>
            <w:tcMar>
              <w:top w:w="70" w:type="dxa"/>
              <w:start w:w="80" w:type="dxa"/>
              <w:bottom w:w="70" w:type="dxa"/>
              <w:end w:w="80" w:type="dxa"/>
            </w:tcMar>
            <w:vAlign w:val="top"/>
          </w:tcPr>
          <w:p>
            <w:pPr>
              <w:spacing w:after="0" w:line="240" w:lineRule="auto"/>
            </w:pPr>
            <w:r>
              <w:rPr>
                <w:rFonts w:ascii="Aptos" w:hAnsi="Aptos"/>
                <w:sz w:val="14"/>
              </w:rPr>
              <w:t>Assist with filing-system information or issue denial.</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response with appeal rights if denied.</w:t>
            </w:r>
          </w:p>
        </w:tc>
        <w:tc>
          <w:tcPr>
            <w:tcW w:type="dxa" w:w="2232"/>
            <w:tcMar>
              <w:top w:w="70" w:type="dxa"/>
              <w:start w:w="80" w:type="dxa"/>
              <w:bottom w:w="70" w:type="dxa"/>
              <w:end w:w="80" w:type="dxa"/>
            </w:tcMar>
            <w:vAlign w:val="top"/>
          </w:tcPr>
          <w:p>
            <w:pPr>
              <w:spacing w:after="0" w:line="240" w:lineRule="auto"/>
            </w:pPr>
            <w:r>
              <w:rPr>
                <w:rFonts w:ascii="Aptos" w:hAnsi="Aptos"/>
                <w:sz w:val="14"/>
              </w:rPr>
              <w:t>No default toll.</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Exemption applies</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Redact/segregate and prepare denial explanation.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Written denial + appeal contact.</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30-day requester appeal.</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Appeal received</w:t>
            </w:r>
          </w:p>
        </w:tc>
        <w:tc>
          <w:tcPr>
            <w:tcW w:type="dxa" w:w="3168"/>
            <w:tcMar>
              <w:top w:w="70" w:type="dxa"/>
              <w:start w:w="80" w:type="dxa"/>
              <w:bottom w:w="70" w:type="dxa"/>
              <w:end w:w="80" w:type="dxa"/>
            </w:tcMar>
            <w:vAlign w:val="top"/>
          </w:tcPr>
          <w:p>
            <w:pPr>
              <w:spacing w:after="0" w:line="240" w:lineRule="auto"/>
            </w:pPr>
            <w:r>
              <w:rPr>
                <w:rFonts w:ascii="Aptos" w:hAnsi="Aptos"/>
                <w:sz w:val="14"/>
              </w:rPr>
              <w:t>Route to appeal officer independent of initial decision.</w:t>
            </w:r>
          </w:p>
        </w:tc>
        <w:tc>
          <w:tcPr>
            <w:tcW w:type="dxa" w:w="3024"/>
            <w:tcMar>
              <w:top w:w="70" w:type="dxa"/>
              <w:start w:w="80" w:type="dxa"/>
              <w:bottom w:w="70" w:type="dxa"/>
              <w:end w:w="80" w:type="dxa"/>
            </w:tcMar>
            <w:vAlign w:val="top"/>
          </w:tcPr>
          <w:p>
            <w:pPr>
              <w:spacing w:after="0" w:line="240" w:lineRule="auto"/>
            </w:pPr>
            <w:r>
              <w:rPr>
                <w:rFonts w:ascii="Aptos" w:hAnsi="Aptos"/>
                <w:sz w:val="14"/>
              </w:rPr>
              <w:t>Decision/access within 10 business days.</w:t>
            </w:r>
          </w:p>
        </w:tc>
        <w:tc>
          <w:tcPr>
            <w:tcW w:type="dxa" w:w="2232"/>
            <w:tcMar>
              <w:top w:w="70" w:type="dxa"/>
              <w:start w:w="80" w:type="dxa"/>
              <w:bottom w:w="70" w:type="dxa"/>
              <w:end w:w="80" w:type="dxa"/>
            </w:tcMar>
            <w:vAlign w:val="top"/>
          </w:tcPr>
          <w:p>
            <w:pPr>
              <w:spacing w:after="0" w:line="240" w:lineRule="auto"/>
            </w:pPr>
            <w:r>
              <w:rPr>
                <w:rFonts w:ascii="Aptos" w:hAnsi="Aptos"/>
                <w:sz w:val="14"/>
              </w:rPr>
              <w:t>Hard appeal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Preparation cost trigger</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Calculate actual cost and issue estimate.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Estimate before costly preparation.</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Payment/acceptance under local rules.</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Business-day receipt</w:t>
            </w:r>
          </w:p>
        </w:tc>
        <w:tc>
          <w:tcPr>
            <w:tcW w:type="dxa" w:w="3240"/>
            <w:tcMar>
              <w:top w:w="70" w:type="dxa"/>
              <w:start w:w="80" w:type="dxa"/>
              <w:bottom w:w="70" w:type="dxa"/>
              <w:end w:w="80" w:type="dxa"/>
            </w:tcMar>
            <w:vAlign w:val="top"/>
          </w:tcPr>
          <w:p>
            <w:pPr>
              <w:spacing w:after="0" w:line="240" w:lineRule="auto"/>
            </w:pPr>
            <w:r>
              <w:rPr>
                <w:rFonts w:ascii="Aptos" w:hAnsi="Aptos"/>
                <w:sz w:val="15"/>
              </w:rPr>
              <w:t>Five business days.</w:t>
            </w:r>
          </w:p>
        </w:tc>
        <w:tc>
          <w:tcPr>
            <w:tcW w:type="dxa" w:w="4248"/>
            <w:tcMar>
              <w:top w:w="70" w:type="dxa"/>
              <w:start w:w="80" w:type="dxa"/>
              <w:bottom w:w="70" w:type="dxa"/>
              <w:end w:w="80" w:type="dxa"/>
            </w:tcMar>
            <w:vAlign w:val="top"/>
          </w:tcPr>
          <w:p>
            <w:pPr>
              <w:spacing w:after="0" w:line="240" w:lineRule="auto"/>
            </w:pPr>
            <w:r>
              <w:rPr>
                <w:rFonts w:ascii="Aptos" w:hAnsi="Aptos"/>
                <w:sz w:val="15"/>
              </w:rPr>
              <w:t>Office hours, email receipt rule, holidays.</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≤20 / &gt;20-day track</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State timing distinction.</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Estimate method and approver for date certain.</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Reasonably describe checklist</w:t>
            </w:r>
          </w:p>
        </w:tc>
        <w:tc>
          <w:tcPr>
            <w:tcW w:type="dxa" w:w="3240"/>
            <w:tcMar>
              <w:top w:w="70" w:type="dxa"/>
              <w:start w:w="80" w:type="dxa"/>
              <w:bottom w:w="70" w:type="dxa"/>
              <w:end w:w="80" w:type="dxa"/>
            </w:tcMar>
            <w:vAlign w:val="top"/>
          </w:tcPr>
          <w:p>
            <w:pPr>
              <w:spacing w:after="0" w:line="240" w:lineRule="auto"/>
            </w:pPr>
            <w:r>
              <w:rPr>
                <w:rFonts w:ascii="Aptos" w:hAnsi="Aptos"/>
                <w:sz w:val="15"/>
              </w:rPr>
              <w:t>Qualitative statutory standard.</w:t>
            </w:r>
          </w:p>
        </w:tc>
        <w:tc>
          <w:tcPr>
            <w:tcW w:type="dxa" w:w="4248"/>
            <w:tcMar>
              <w:top w:w="70" w:type="dxa"/>
              <w:start w:w="80" w:type="dxa"/>
              <w:bottom w:w="70" w:type="dxa"/>
              <w:end w:w="80" w:type="dxa"/>
            </w:tcMar>
            <w:vAlign w:val="top"/>
          </w:tcPr>
          <w:p>
            <w:pPr>
              <w:spacing w:after="0" w:line="240" w:lineRule="auto"/>
            </w:pPr>
            <w:r>
              <w:rPr>
                <w:rFonts w:ascii="Aptos" w:hAnsi="Aptos"/>
                <w:sz w:val="15"/>
              </w:rPr>
              <w:t>Filing-system assistance and legal review criteria.</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Fee rates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$0.25 paper cap; actual-cost rules.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Lowest-paid qualified employee rate, media/vendor costs.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Estimate/prepayment</w:t>
            </w:r>
          </w:p>
        </w:tc>
        <w:tc>
          <w:tcPr>
            <w:tcW w:type="dxa" w:w="3240"/>
            <w:tcMar>
              <w:top w:w="70" w:type="dxa"/>
              <w:start w:w="80" w:type="dxa"/>
              <w:bottom w:w="70" w:type="dxa"/>
              <w:end w:w="80" w:type="dxa"/>
            </w:tcMar>
            <w:vAlign w:val="top"/>
          </w:tcPr>
          <w:p>
            <w:pPr>
              <w:spacing w:after="0" w:line="240" w:lineRule="auto"/>
            </w:pPr>
            <w:r>
              <w:rPr>
                <w:rFonts w:ascii="Aptos" w:hAnsi="Aptos"/>
                <w:sz w:val="15"/>
              </w:rPr>
              <w:t>Estimate trigger supplied; prepayment workflow local.</w:t>
            </w:r>
          </w:p>
        </w:tc>
        <w:tc>
          <w:tcPr>
            <w:tcW w:type="dxa" w:w="4248"/>
            <w:tcMar>
              <w:top w:w="70" w:type="dxa"/>
              <w:start w:w="80" w:type="dxa"/>
              <w:bottom w:w="70" w:type="dxa"/>
              <w:end w:w="80" w:type="dxa"/>
            </w:tcMar>
            <w:vAlign w:val="top"/>
          </w:tcPr>
          <w:p>
            <w:pPr>
              <w:spacing w:after="0" w:line="240" w:lineRule="auto"/>
            </w:pPr>
            <w:r>
              <w:rPr>
                <w:rFonts w:ascii="Aptos" w:hAnsi="Aptos"/>
                <w:sz w:val="15"/>
              </w:rPr>
              <w:t>Threshold, due date, acceptance, reconciliation.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Appeal officer</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10-business-day decision.</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Designated person/body and submission channel.</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Operational classes</w:t>
            </w:r>
          </w:p>
        </w:tc>
        <w:tc>
          <w:tcPr>
            <w:tcW w:type="dxa" w:w="3240"/>
            <w:tcMar>
              <w:top w:w="70" w:type="dxa"/>
              <w:start w:w="80" w:type="dxa"/>
              <w:bottom w:w="70" w:type="dxa"/>
              <w:end w:w="80" w:type="dxa"/>
            </w:tcMar>
            <w:vAlign w:val="top"/>
          </w:tcPr>
          <w:p>
            <w:pPr>
              <w:spacing w:after="0" w:line="240" w:lineRule="auto"/>
            </w:pPr>
            <w:r>
              <w:rPr>
                <w:rFonts w:ascii="Aptos" w:hAnsi="Aptos"/>
                <w:sz w:val="15"/>
              </w:rPr>
              <w:t>No legal simple/complex class.</w:t>
            </w:r>
          </w:p>
        </w:tc>
        <w:tc>
          <w:tcPr>
            <w:tcW w:type="dxa" w:w="4248"/>
            <w:tcMar>
              <w:top w:w="70" w:type="dxa"/>
              <w:start w:w="80" w:type="dxa"/>
              <w:bottom w:w="70" w:type="dxa"/>
              <w:end w:w="80" w:type="dxa"/>
            </w:tcMar>
            <w:vAlign w:val="top"/>
          </w:tcPr>
          <w:p>
            <w:pPr>
              <w:spacing w:after="0" w:line="240" w:lineRule="auto"/>
            </w:pPr>
            <w:r>
              <w:rPr>
                <w:rFonts w:ascii="Aptos" w:hAnsi="Aptos"/>
                <w:sz w:val="15"/>
              </w:rPr>
              <w:t>Internal labels and targets.</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Commitment-date updates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Reason/new date required if missed.</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Reminder cadence and escalation.</w:t>
            </w:r>
          </w:p>
        </w:tc>
      </w:tr>
    </w:tbl>
    <w:p>
      <w:pPr>
        <w:pStyle w:val="Heading1"/>
      </w:pPr>
      <w:r>
        <w:t>9. Suggested workflow states for this jurisdiction</w:t>
      </w:r>
    </w:p>
    <w:p>
      <w:pPr>
        <w:spacing w:after="40"/>
      </w:pPr>
      <w:r>
        <w:rPr>
          <w:b/>
          <w:sz w:val="17"/>
        </w:rPr>
        <w:t>Received</w:t>
      </w:r>
      <w:r>
        <w:t xml:space="preserve">  →  </w:t>
      </w:r>
      <w:r>
        <w:rPr>
          <w:b w:val="0"/>
          <w:sz w:val="17"/>
        </w:rPr>
        <w:t>Five-Day Response</w:t>
      </w:r>
      <w:r>
        <w:t xml:space="preserve">  →  </w:t>
      </w:r>
      <w:r>
        <w:rPr>
          <w:b w:val="0"/>
          <w:sz w:val="17"/>
        </w:rPr>
        <w:t>Acknowledged with Commitment / Grant / Denial</w:t>
      </w:r>
      <w:r>
        <w:t xml:space="preserve">  →  </w:t>
      </w:r>
      <w:r>
        <w:rPr>
          <w:b w:val="0"/>
          <w:sz w:val="17"/>
        </w:rPr>
        <w:t>Clarification or Search</w:t>
      </w:r>
      <w:r>
        <w:t xml:space="preserve">  →  </w:t>
      </w:r>
      <w:r>
        <w:rPr>
          <w:b w:val="0"/>
          <w:sz w:val="17"/>
        </w:rPr>
        <w:t>Fee Estimate Pending</w:t>
      </w:r>
      <w:r>
        <w:t xml:space="preserve">  →  </w:t>
      </w:r>
      <w:r>
        <w:rPr>
          <w:b w:val="0"/>
          <w:sz w:val="17"/>
        </w:rPr>
        <w:t>Production</w:t>
      </w:r>
      <w:r>
        <w:t xml:space="preserve">  →  </w:t>
      </w:r>
      <w:r>
        <w:rPr>
          <w:b w:val="0"/>
          <w:sz w:val="17"/>
        </w:rPr>
        <w:t>Denial Appeal</w:t>
      </w:r>
      <w:r>
        <w:t xml:space="preserve">  →  </w:t>
      </w:r>
      <w:r>
        <w:rPr>
          <w:b w:val="0"/>
          <w:sz w:val="17"/>
        </w:rPr>
        <w:t>Delivered / 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five-, twenty-, thirty-, and ten-business-day timers, commitment-date replacement, cost triggers, and appeal routing. Humans decide reasonable description, exemption application, and reasonableness of longer response dates.</w:t>
            </w:r>
          </w:p>
        </w:tc>
      </w:tr>
    </w:tbl>
    <w:p>
      <w:pPr>
        <w:pStyle w:val="Heading1"/>
      </w:pPr>
      <w:r>
        <w:t>10. Confidence and unresolved local-policy questions</w:t>
      </w:r>
    </w:p>
    <w:p>
      <w:pPr>
        <w:pStyle w:val="CompactList"/>
      </w:pPr>
      <w:r>
        <w:rPr>
          <w:b/>
        </w:rPr>
        <w:t xml:space="preserve">• </w:t>
      </w:r>
      <w:r>
        <w:t>High confidence in the five-day response alternatives, &gt;20-day explanation/date-certain rule, appeal periods, and two-hour estimate trigger.</w:t>
      </w:r>
    </w:p>
    <w:p>
      <w:pPr>
        <w:pStyle w:val="CompactList"/>
      </w:pPr>
      <w:r>
        <w:rPr>
          <w:b/>
        </w:rPr>
        <w:t xml:space="preserve">• </w:t>
      </w:r>
      <w:r>
        <w:t>Agency rules govern receipt details, prepayment, and clarification handling; these require municipal configuration.</w:t>
      </w:r>
    </w:p>
    <w:p>
      <w:pPr>
        <w:pStyle w:val="CompactList"/>
      </w:pPr>
      <w:r>
        <w:rPr>
          <w:b/>
        </w:rPr>
        <w:t xml:space="preserve">• </w:t>
      </w:r>
      <w:r>
        <w:t>Use current Public Officers Law text rather than an individual agency webpage where a local fee differs from the statewide statutory maximum.</w:t>
      </w:r>
    </w:p>
    <w:p>
      <w:pPr>
        <w:pStyle w:val="Heading1"/>
      </w:pPr>
      <w:r>
        <w:t>Primary authorities and official resources</w:t>
      </w:r>
    </w:p>
    <w:p>
      <w:pPr>
        <w:pStyle w:val="CompactList"/>
      </w:pPr>
      <w:r>
        <w:rPr>
          <w:b/>
        </w:rPr>
        <w:t xml:space="preserve">• New York Public Officers Law, article 6 (FOIL): </w:t>
      </w:r>
      <w:hyperlink r:id="rId11">
        <w:r>
          <w:rPr>
            <w:color w:val="0563C1"/>
            <w:u w:val="single"/>
          </w:rPr>
          <w:t>https://dos.ny.gov/coog/foil2.html</w:t>
        </w:r>
      </w:hyperlink>
    </w:p>
    <w:p>
      <w:pPr>
        <w:pStyle w:val="CompactList"/>
      </w:pPr>
      <w:r>
        <w:rPr>
          <w:b/>
        </w:rPr>
        <w:t xml:space="preserve">• New York Committee on Open Government, FOIL regulations: </w:t>
      </w:r>
      <w:hyperlink r:id="rId12">
        <w:r>
          <w:rPr>
            <w:color w:val="0563C1"/>
            <w:u w:val="single"/>
          </w:rPr>
          <w:t>https://dos.ny.gov/freedom-information-law-foil-regulations</w:t>
        </w:r>
      </w:hyperlink>
    </w:p>
    <w:p>
      <w:pPr>
        <w:pStyle w:val="CompactList"/>
      </w:pPr>
      <w:r>
        <w:rPr>
          <w:b/>
        </w:rPr>
        <w:t xml:space="preserve">• New York Committee on Open Government, FOIL guidance: </w:t>
      </w:r>
      <w:hyperlink r:id="rId13">
        <w:r>
          <w:rPr>
            <w:color w:val="0563C1"/>
            <w:u w:val="single"/>
          </w:rPr>
          <w:t>https://dos.ny.gov/freedom-information-law-foil</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07 New York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s.ny.gov/coog/foil2.html" TargetMode="External"/><Relationship Id="rId12" Type="http://schemas.openxmlformats.org/officeDocument/2006/relationships/hyperlink" Target="https://dos.ny.gov/freedom-information-law-foil-regulations" TargetMode="External"/><Relationship Id="rId13" Type="http://schemas.openxmlformats.org/officeDocument/2006/relationships/hyperlink" Target="https://dos.ny.gov/freedom-information-law-fo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