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2"/>
        </w:rPr>
        <w:t>Tennessee</w:t>
        <w:br/>
      </w:r>
      <w:r>
        <w:rPr>
          <w:color w:val="17365D"/>
          <w:sz w:val="34"/>
        </w:rPr>
        <w:t>Initial Public-Records Processing Workflow</w:t>
        <w:br/>
        <w:t>and Software Configuration Analysis</w:t>
      </w:r>
    </w:p>
    <w:p>
      <w:pPr>
        <w:jc w:val="center"/>
      </w:pPr>
      <w:r>
        <w:rPr>
          <w:i/>
          <w:color w:val="5A5A5A"/>
          <w:sz w:val="18"/>
        </w:rPr>
        <w:t>Pilot State 08 of 10 | City / municipal applicability | Research accessed July 22, 2026</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Scope: </w:t>
            </w:r>
            <w:r>
              <w:t>The Tennessee Public Records Act (TPRA), Tenn. Code Ann. title 10, chapter 7, part 5, applies to municipal entities. Access is generally for Tennessee citizens. The state requires each governmental entity to adopt a written public-records policy.</w:t>
            </w:r>
          </w:p>
        </w:tc>
      </w:tr>
    </w:tbl>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Method: </w:t>
            </w:r>
            <w:r>
              <w:t>The same fixed method is used for all ten states. Each rule is separated into trigger, condition, action, communication, deadline, clock effect, and configuration source. A qualitative term such as 'prompt' or 'reasonable' is preserved as law and paired with a local-policy configuration field; no numeric value is invented.</w:t>
            </w:r>
          </w:p>
        </w:tc>
      </w:tr>
    </w:tbl>
    <w:p>
      <w:pPr>
        <w:pStyle w:val="Heading1"/>
      </w:pPr>
      <w:r>
        <w:t>Executive conclusions</w:t>
      </w:r>
    </w:p>
    <w:p>
      <w:pPr>
        <w:pStyle w:val="CompactList"/>
      </w:pPr>
      <w:r>
        <w:rPr>
          <w:b/>
        </w:rPr>
        <w:t xml:space="preserve">• </w:t>
      </w:r>
      <w:r>
        <w:t>Records must be made promptly available. If prompt production is not practicable, within seven business days the custodian must produce, deny in writing with the basis, or give a written explanation of the time reasonably necessary.</w:t>
      </w:r>
    </w:p>
    <w:p>
      <w:pPr>
        <w:pStyle w:val="CompactList"/>
      </w:pPr>
      <w:r>
        <w:rPr>
          <w:b/>
        </w:rPr>
        <w:t xml:space="preserve">• </w:t>
      </w:r>
      <w:r>
        <w:t>The seven-day period is not a routine waiting period; “promptly” remains the governing first standard.</w:t>
      </w:r>
    </w:p>
    <w:p>
      <w:pPr>
        <w:pStyle w:val="CompactList"/>
      </w:pPr>
      <w:r>
        <w:rPr>
          <w:b/>
        </w:rPr>
        <w:t xml:space="preserve">• </w:t>
      </w:r>
      <w:r>
        <w:t>Inspection requests generally may not be required to be written and are not ordinarily chargeable. A written request or agency form may be required for copies under the adopted policy.</w:t>
      </w:r>
    </w:p>
    <w:p>
      <w:pPr>
        <w:pStyle w:val="CompactList"/>
      </w:pPr>
      <w:r>
        <w:rPr>
          <w:b/>
        </w:rPr>
        <w:t xml:space="preserve">• </w:t>
      </w:r>
      <w:r>
        <w:t>Every covered governmental entity must maintain a public-records policy defining request process/forms, response process, fees, and coordinator contact. This makes local-policy configuration an explicit component of Tennessee implementation.</w:t>
      </w:r>
    </w:p>
    <w:p>
      <w:pPr>
        <w:pStyle w:val="CompactList"/>
      </w:pPr>
      <w:r>
        <w:rPr>
          <w:b/>
        </w:rPr>
        <w:t xml:space="preserve">• </w:t>
      </w:r>
      <w:r>
        <w:t>Before charging for copies, the custodian must provide an estimate of reasonable charges. The OORC Schedule of Reasonable Charges provides copy rates and generally allows labor only after the first hour.</w:t>
      </w:r>
    </w:p>
    <w:p>
      <w:pPr>
        <w:pStyle w:val="Heading2"/>
      </w:pPr>
      <w:r>
        <w:t>Configuration-source legend</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088"/>
            <w:shd w:fill="17365D"/>
            <w:tcMar>
              <w:top w:w="70" w:type="dxa"/>
              <w:start w:w="80" w:type="dxa"/>
              <w:bottom w:w="70" w:type="dxa"/>
              <w:end w:w="80" w:type="dxa"/>
            </w:tcMar>
          </w:tcPr>
          <w:p>
            <w:pPr>
              <w:spacing w:after="0"/>
              <w:jc w:val="left"/>
            </w:pPr>
            <w:r>
              <w:rPr>
                <w:b/>
                <w:color w:val="FFFFFF"/>
                <w:sz w:val="16"/>
              </w:rPr>
              <w:t>Source type</w:t>
            </w:r>
          </w:p>
        </w:tc>
        <w:tc>
          <w:tcPr>
            <w:tcW w:type="dxa" w:w="8063"/>
            <w:shd w:fill="17365D"/>
            <w:tcMar>
              <w:top w:w="70" w:type="dxa"/>
              <w:start w:w="80" w:type="dxa"/>
              <w:bottom w:w="70" w:type="dxa"/>
              <w:end w:w="80" w:type="dxa"/>
            </w:tcMar>
          </w:tcPr>
          <w:p>
            <w:pPr>
              <w:spacing w:after="0"/>
              <w:jc w:val="left"/>
            </w:pPr>
            <w:r>
              <w:rPr>
                <w:b/>
                <w:color w:val="FFFFFF"/>
                <w:sz w:val="16"/>
              </w:rPr>
              <w:t>Meaning</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Statutory / statewide</w:t>
            </w:r>
          </w:p>
        </w:tc>
        <w:tc>
          <w:tcPr>
            <w:tcW w:type="dxa" w:w="8063"/>
            <w:tcMar>
              <w:top w:w="70" w:type="dxa"/>
              <w:start w:w="80" w:type="dxa"/>
              <w:bottom w:w="70" w:type="dxa"/>
              <w:end w:w="80" w:type="dxa"/>
            </w:tcMar>
            <w:vAlign w:val="top"/>
          </w:tcPr>
          <w:p>
            <w:pPr>
              <w:spacing w:after="0" w:line="240" w:lineRule="auto"/>
            </w:pPr>
            <w:r>
              <w:rPr>
                <w:rFonts w:ascii="Aptos" w:hAnsi="Aptos"/>
                <w:sz w:val="16"/>
              </w:rPr>
              <w:t>A value or rule supplied by binding statewide law or generally applicable regulation.</w:t>
            </w:r>
          </w:p>
        </w:tc>
      </w:tr>
      <w:tr>
        <w:trPr>
          <w:cantSplit/>
        </w:trPr>
        <w:tc>
          <w:tcPr>
            <w:tcW w:type="dxa" w:w="2088"/>
            <w:shd w:fill="FAFCFE"/>
            <w:tcMar>
              <w:top w:w="70" w:type="dxa"/>
              <w:start w:w="80" w:type="dxa"/>
              <w:bottom w:w="70" w:type="dxa"/>
              <w:end w:w="80" w:type="dxa"/>
            </w:tcMar>
            <w:vAlign w:val="top"/>
          </w:tcPr>
          <w:p>
            <w:pPr>
              <w:spacing w:after="0" w:line="240" w:lineRule="auto"/>
            </w:pPr>
            <w:r>
              <w:rPr>
                <w:rFonts w:ascii="Aptos" w:hAnsi="Aptos"/>
                <w:sz w:val="16"/>
              </w:rPr>
              <w:t>Jurisdiction policy</w:t>
            </w:r>
          </w:p>
        </w:tc>
        <w:tc>
          <w:tcPr>
            <w:tcW w:type="dxa" w:w="8063"/>
            <w:shd w:fill="FAFCFE"/>
            <w:tcMar>
              <w:top w:w="70" w:type="dxa"/>
              <w:start w:w="80" w:type="dxa"/>
              <w:bottom w:w="70" w:type="dxa"/>
              <w:end w:w="80" w:type="dxa"/>
            </w:tcMar>
            <w:vAlign w:val="top"/>
          </w:tcPr>
          <w:p>
            <w:pPr>
              <w:spacing w:after="0" w:line="240" w:lineRule="auto"/>
            </w:pPr>
            <w:r>
              <w:rPr>
                <w:rFonts w:ascii="Aptos" w:hAnsi="Aptos"/>
                <w:sz w:val="16"/>
              </w:rPr>
              <w:t>The state leaves a number, standard, workflow choice, rate, or notice practice to the city.</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Operational</w:t>
            </w:r>
          </w:p>
        </w:tc>
        <w:tc>
          <w:tcPr>
            <w:tcW w:type="dxa" w:w="8063"/>
            <w:tcMar>
              <w:top w:w="70" w:type="dxa"/>
              <w:start w:w="80" w:type="dxa"/>
              <w:bottom w:w="70" w:type="dxa"/>
              <w:end w:w="80" w:type="dxa"/>
            </w:tcMar>
            <w:vAlign w:val="top"/>
          </w:tcPr>
          <w:p>
            <w:pPr>
              <w:spacing w:after="0" w:line="240" w:lineRule="auto"/>
            </w:pPr>
            <w:r>
              <w:rPr>
                <w:rFonts w:ascii="Aptos" w:hAnsi="Aptos"/>
                <w:sz w:val="16"/>
              </w:rPr>
              <w:t>A workload-management choice that does not itself alter legal rights or deadlines.</w:t>
            </w:r>
          </w:p>
        </w:tc>
      </w:tr>
    </w:tbl>
    <w:p>
      <w:pPr>
        <w:pStyle w:val="Heading1"/>
      </w:pPr>
      <w:r>
        <w:t>1. Intake and initial legal review</w:t>
      </w:r>
    </w:p>
    <w:p>
      <w:pPr>
        <w:pStyle w:val="CompactList"/>
      </w:pPr>
      <w:r>
        <w:rPr>
          <w:b/>
        </w:rPr>
        <w:t xml:space="preserve">• </w:t>
      </w:r>
      <w:r>
        <w:t>Confirm citizenship eligibility to the extent authorized by current law and the city’s policy; capture any identification requirement without collecting unnecessary data.</w:t>
      </w:r>
    </w:p>
    <w:p>
      <w:pPr>
        <w:pStyle w:val="CompactList"/>
      </w:pPr>
      <w:r>
        <w:rPr>
          <w:b/>
        </w:rPr>
        <w:t xml:space="preserve">• </w:t>
      </w:r>
      <w:r>
        <w:t>Distinguish inspection from copies because writing, forms, and charges differ.</w:t>
      </w:r>
    </w:p>
    <w:p>
      <w:pPr>
        <w:pStyle w:val="CompactList"/>
      </w:pPr>
      <w:r>
        <w:rPr>
          <w:b/>
        </w:rPr>
        <w:t xml:space="preserve">• </w:t>
      </w:r>
      <w:r>
        <w:t>Route the request through the Public Records Request Coordinator to the appropriate custodian as required by local policy.</w:t>
      </w:r>
    </w:p>
    <w:p>
      <w:pPr>
        <w:pStyle w:val="CompactList"/>
      </w:pPr>
      <w:r>
        <w:rPr>
          <w:b/>
        </w:rPr>
        <w:t xml:space="preserve">• </w:t>
      </w:r>
      <w:r>
        <w:t>Determine whether prompt access is practicable; if not, select one of the three seven-business-day responses.</w:t>
      </w:r>
    </w:p>
    <w:p>
      <w:pPr>
        <w:pStyle w:val="Heading1"/>
      </w:pPr>
      <w:r>
        <w:t>2. Deadline and required-communication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872"/>
            <w:shd w:fill="17365D"/>
            <w:tcMar>
              <w:top w:w="70" w:type="dxa"/>
              <w:start w:w="80" w:type="dxa"/>
              <w:bottom w:w="70" w:type="dxa"/>
              <w:end w:w="80" w:type="dxa"/>
            </w:tcMar>
          </w:tcPr>
          <w:p>
            <w:pPr>
              <w:spacing w:after="0"/>
              <w:jc w:val="left"/>
            </w:pPr>
            <w:r>
              <w:rPr>
                <w:b/>
                <w:color w:val="FFFFFF"/>
                <w:sz w:val="15"/>
              </w:rPr>
              <w:t>Trigger / deadline</w:t>
            </w:r>
          </w:p>
        </w:tc>
        <w:tc>
          <w:tcPr>
            <w:tcW w:type="dxa" w:w="4752"/>
            <w:shd w:fill="17365D"/>
            <w:tcMar>
              <w:top w:w="70" w:type="dxa"/>
              <w:start w:w="80" w:type="dxa"/>
              <w:bottom w:w="70" w:type="dxa"/>
              <w:end w:w="80" w:type="dxa"/>
            </w:tcMar>
          </w:tcPr>
          <w:p>
            <w:pPr>
              <w:spacing w:after="0"/>
              <w:jc w:val="left"/>
            </w:pPr>
            <w:r>
              <w:rPr>
                <w:b/>
                <w:color w:val="FFFFFF"/>
                <w:sz w:val="15"/>
              </w:rPr>
              <w:t>Required outcome or communication</w:t>
            </w:r>
          </w:p>
        </w:tc>
        <w:tc>
          <w:tcPr>
            <w:tcW w:type="dxa" w:w="1655"/>
            <w:shd w:fill="17365D"/>
            <w:tcMar>
              <w:top w:w="70" w:type="dxa"/>
              <w:start w:w="80" w:type="dxa"/>
              <w:bottom w:w="70" w:type="dxa"/>
              <w:end w:w="80" w:type="dxa"/>
            </w:tcMar>
          </w:tcPr>
          <w:p>
            <w:pPr>
              <w:spacing w:after="0"/>
              <w:jc w:val="left"/>
            </w:pPr>
            <w:r>
              <w:rPr>
                <w:b/>
                <w:color w:val="FFFFFF"/>
                <w:sz w:val="15"/>
              </w:rPr>
              <w:t>Clock effect</w:t>
            </w:r>
          </w:p>
        </w:tc>
        <w:tc>
          <w:tcPr>
            <w:tcW w:type="dxa" w:w="1872"/>
            <w:shd w:fill="17365D"/>
            <w:tcMar>
              <w:top w:w="70" w:type="dxa"/>
              <w:start w:w="80" w:type="dxa"/>
              <w:bottom w:w="70" w:type="dxa"/>
              <w:end w:w="80" w:type="dxa"/>
            </w:tcMar>
          </w:tcPr>
          <w:p>
            <w:pPr>
              <w:spacing w:after="0"/>
              <w:jc w:val="left"/>
            </w:pPr>
            <w:r>
              <w:rPr>
                <w:b/>
                <w:color w:val="FFFFFF"/>
                <w:sz w:val="15"/>
              </w:rPr>
              <w:t>Source</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Promptly</w:t>
            </w:r>
          </w:p>
        </w:tc>
        <w:tc>
          <w:tcPr>
            <w:tcW w:type="dxa" w:w="4752"/>
            <w:tcMar>
              <w:top w:w="70" w:type="dxa"/>
              <w:start w:w="80" w:type="dxa"/>
              <w:bottom w:w="70" w:type="dxa"/>
              <w:end w:w="80" w:type="dxa"/>
            </w:tcMar>
            <w:vAlign w:val="top"/>
          </w:tcPr>
          <w:p>
            <w:pPr>
              <w:spacing w:after="0" w:line="240" w:lineRule="auto"/>
            </w:pPr>
            <w:r>
              <w:rPr>
                <w:rFonts w:ascii="Aptos" w:hAnsi="Aptos"/>
                <w:sz w:val="15"/>
              </w:rPr>
              <w:t>Make records available as soon as practicable.</w:t>
            </w:r>
          </w:p>
        </w:tc>
        <w:tc>
          <w:tcPr>
            <w:tcW w:type="dxa" w:w="1655"/>
            <w:tcMar>
              <w:top w:w="70" w:type="dxa"/>
              <w:start w:w="80" w:type="dxa"/>
              <w:bottom w:w="70" w:type="dxa"/>
              <w:end w:w="80" w:type="dxa"/>
            </w:tcMar>
            <w:vAlign w:val="top"/>
          </w:tcPr>
          <w:p>
            <w:pPr>
              <w:spacing w:after="0" w:line="240" w:lineRule="auto"/>
            </w:pPr>
            <w:r>
              <w:rPr>
                <w:rFonts w:ascii="Aptos" w:hAnsi="Aptos"/>
                <w:sz w:val="15"/>
              </w:rPr>
              <w:t>Qualitative active timer.</w:t>
            </w:r>
          </w:p>
        </w:tc>
        <w:tc>
          <w:tcPr>
            <w:tcW w:type="dxa" w:w="1872"/>
            <w:tcMar>
              <w:top w:w="70" w:type="dxa"/>
              <w:start w:w="80" w:type="dxa"/>
              <w:bottom w:w="70" w:type="dxa"/>
              <w:end w:w="80" w:type="dxa"/>
            </w:tcMar>
            <w:vAlign w:val="top"/>
          </w:tcPr>
          <w:p>
            <w:pPr>
              <w:spacing w:after="0" w:line="240" w:lineRule="auto"/>
            </w:pPr>
            <w:r>
              <w:rPr>
                <w:rFonts w:ascii="Aptos" w:hAnsi="Aptos"/>
                <w:sz w:val="15"/>
              </w:rPr>
              <w:t>Tenn. Code Ann. §10-7-503</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Within 7 business days if not prompt</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Produce; deny in writing with basis; or give written explanation of time reasonably necessary.</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Initial statutory response satisfied.</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§10-7-503</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Charge for copies</w:t>
            </w:r>
          </w:p>
        </w:tc>
        <w:tc>
          <w:tcPr>
            <w:tcW w:type="dxa" w:w="4752"/>
            <w:tcMar>
              <w:top w:w="70" w:type="dxa"/>
              <w:start w:w="80" w:type="dxa"/>
              <w:bottom w:w="70" w:type="dxa"/>
              <w:end w:w="80" w:type="dxa"/>
            </w:tcMar>
            <w:vAlign w:val="top"/>
          </w:tcPr>
          <w:p>
            <w:pPr>
              <w:spacing w:after="0" w:line="240" w:lineRule="auto"/>
            </w:pPr>
            <w:r>
              <w:rPr>
                <w:rFonts w:ascii="Aptos" w:hAnsi="Aptos"/>
                <w:sz w:val="15"/>
              </w:rPr>
              <w:t>Provide requester an estimate of reasonable charges before assessing costs.</w:t>
            </w:r>
          </w:p>
        </w:tc>
        <w:tc>
          <w:tcPr>
            <w:tcW w:type="dxa" w:w="1655"/>
            <w:tcMar>
              <w:top w:w="70" w:type="dxa"/>
              <w:start w:w="80" w:type="dxa"/>
              <w:bottom w:w="70" w:type="dxa"/>
              <w:end w:w="80" w:type="dxa"/>
            </w:tcMar>
            <w:vAlign w:val="top"/>
          </w:tcPr>
          <w:p>
            <w:pPr>
              <w:spacing w:after="0" w:line="240" w:lineRule="auto"/>
            </w:pPr>
            <w:r>
              <w:rPr>
                <w:rFonts w:ascii="Aptos" w:hAnsi="Aptos"/>
                <w:sz w:val="15"/>
              </w:rPr>
              <w:t>Estimate/acceptance/payment workflow.</w:t>
            </w:r>
          </w:p>
        </w:tc>
        <w:tc>
          <w:tcPr>
            <w:tcW w:type="dxa" w:w="1872"/>
            <w:tcMar>
              <w:top w:w="70" w:type="dxa"/>
              <w:start w:w="80" w:type="dxa"/>
              <w:bottom w:w="70" w:type="dxa"/>
              <w:end w:w="80" w:type="dxa"/>
            </w:tcMar>
            <w:vAlign w:val="top"/>
          </w:tcPr>
          <w:p>
            <w:pPr>
              <w:spacing w:after="0" w:line="240" w:lineRule="auto"/>
            </w:pPr>
            <w:r>
              <w:rPr>
                <w:rFonts w:ascii="Aptos" w:hAnsi="Aptos"/>
                <w:sz w:val="15"/>
              </w:rPr>
              <w:t>OORC Schedule / TPRA</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Records ready</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Arrange inspection or copy delivery under the adopted policy.</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Local claim/payment notices.</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Entity policy</w:t>
            </w:r>
          </w:p>
        </w:tc>
      </w:tr>
    </w:tbl>
    <w:p>
      <w:pPr>
        <w:pStyle w:val="Heading1"/>
      </w:pPr>
      <w:r>
        <w:t>3. Vague, unclear, or overly broad requests</w:t>
      </w:r>
    </w:p>
    <w:p>
      <w:pPr>
        <w:pStyle w:val="CompactList"/>
      </w:pPr>
      <w:r>
        <w:rPr>
          <w:b/>
        </w:rPr>
        <w:t xml:space="preserve">• </w:t>
      </w:r>
      <w:r>
        <w:t>Tennessee does not provide a universal statutory clarification toll or requester-response period.</w:t>
      </w:r>
    </w:p>
    <w:p>
      <w:pPr>
        <w:pStyle w:val="CompactList"/>
      </w:pPr>
      <w:r>
        <w:rPr>
          <w:b/>
        </w:rPr>
        <w:t xml:space="preserve">• </w:t>
      </w:r>
      <w:r>
        <w:t>The city’s mandatory written policy should define how unclear requests are routed, how the coordinator assists the requester, and when a request may be administratively closed for nonresponse.</w:t>
      </w:r>
    </w:p>
    <w:p>
      <w:pPr>
        <w:pStyle w:val="CompactList"/>
      </w:pPr>
      <w:r>
        <w:rPr>
          <w:b/>
        </w:rPr>
        <w:t xml:space="preserve">• </w:t>
      </w:r>
      <w:r>
        <w:t>An unclear request does not eliminate the obligation to respond promptly or within seven business days when prompt response is not practicable. The city should communicate the ambiguity and the time reasonably necessary or denial basis as appropriate.</w:t>
      </w:r>
    </w:p>
    <w:p>
      <w:pPr>
        <w:pStyle w:val="CompactList"/>
      </w:pPr>
      <w:r>
        <w:rPr>
          <w:b/>
        </w:rPr>
        <w:t xml:space="preserve">• </w:t>
      </w:r>
      <w:r>
        <w:t>The Act does not require creation of a new record or compilation of information not maintained.</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Engine treatment: </w:t>
            </w:r>
            <w:r>
              <w:t>Load clarification steps, requester response period, and closure rules from the city’s adopted policy. Keep the statewide prompt/seven-day response obligation separate and do not infer tolling without policy/legal authority.</w:t>
            </w:r>
          </w:p>
        </w:tc>
      </w:tr>
    </w:tbl>
    <w:p>
      <w:pPr>
        <w:pStyle w:val="Heading1"/>
      </w:pPr>
      <w:r>
        <w:t>4. Denial, withholding, and partial production</w:t>
      </w:r>
    </w:p>
    <w:p>
      <w:pPr>
        <w:pStyle w:val="CompactList"/>
      </w:pPr>
      <w:r>
        <w:rPr>
          <w:b/>
        </w:rPr>
        <w:t xml:space="preserve">• </w:t>
      </w:r>
      <w:r>
        <w:t>If access is denied, the denial must be in writing and provide the basis for denial within the applicable prompt/seven-day framework.</w:t>
      </w:r>
    </w:p>
    <w:p>
      <w:pPr>
        <w:pStyle w:val="CompactList"/>
      </w:pPr>
      <w:r>
        <w:rPr>
          <w:b/>
        </w:rPr>
        <w:t xml:space="preserve">• </w:t>
      </w:r>
      <w:r>
        <w:t>Confidential portions should be redacted and accessible portions made available, with redaction costs handled under the current Schedule and policy.</w:t>
      </w:r>
    </w:p>
    <w:p>
      <w:pPr>
        <w:pStyle w:val="CompactList"/>
      </w:pPr>
      <w:r>
        <w:rPr>
          <w:b/>
        </w:rPr>
        <w:t xml:space="preserve">• </w:t>
      </w:r>
      <w:r>
        <w:t>Tennessee primarily uses court enforcement; the Office of Open Records Counsel provides assistance and informal dispute resolution rather than a mandatory adjudicative appeal for all city requests.</w:t>
      </w:r>
    </w:p>
    <w:p>
      <w:pPr>
        <w:pStyle w:val="CompactList"/>
      </w:pPr>
      <w:r>
        <w:rPr>
          <w:b/>
        </w:rPr>
        <w:t xml:space="preserve">• </w:t>
      </w:r>
      <w:r>
        <w:t>Preserve citizenship verification, search, response, and exemption rationale in the audit record.</w:t>
      </w:r>
    </w:p>
    <w:p>
      <w:pPr>
        <w:pStyle w:val="Heading1"/>
      </w:pPr>
      <w:r>
        <w:t>5. Request classification and processing tracks</w:t>
      </w:r>
    </w:p>
    <w:p>
      <w:pPr>
        <w:pStyle w:val="CompactList"/>
      </w:pPr>
      <w:r>
        <w:rPr>
          <w:b/>
        </w:rPr>
        <w:t xml:space="preserve">• </w:t>
      </w:r>
      <w:r>
        <w:t>No statewide simple/complex classifications change the prompt/seven-day rule.</w:t>
      </w:r>
    </w:p>
    <w:p>
      <w:pPr>
        <w:pStyle w:val="CompactList"/>
      </w:pPr>
      <w:r>
        <w:rPr>
          <w:b/>
        </w:rPr>
        <w:t xml:space="preserve">• </w:t>
      </w:r>
      <w:r>
        <w:t>Legally relevant modes are inspection versus copies; prompt production versus delayed written response; denial; redaction; and fee estimate/prepayment.</w:t>
      </w:r>
    </w:p>
    <w:p>
      <w:pPr>
        <w:pStyle w:val="CompactList"/>
      </w:pPr>
      <w:r>
        <w:rPr>
          <w:b/>
        </w:rPr>
        <w:t xml:space="preserve">• </w:t>
      </w:r>
      <w:r>
        <w:t>The city’s adopted policy may add operational categories, forms, coordinator routing, and segmented production procedures.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24"/>
            <w:shd w:fill="17365D"/>
            <w:tcMar>
              <w:top w:w="70" w:type="dxa"/>
              <w:start w:w="80" w:type="dxa"/>
              <w:bottom w:w="70" w:type="dxa"/>
              <w:end w:w="80" w:type="dxa"/>
            </w:tcMar>
          </w:tcPr>
          <w:p>
            <w:pPr>
              <w:spacing w:after="0"/>
              <w:jc w:val="left"/>
            </w:pPr>
            <w:r>
              <w:rPr>
                <w:b/>
                <w:color w:val="FFFFFF"/>
                <w:sz w:val="15"/>
              </w:rPr>
              <w:t>Classification / flag</w:t>
            </w:r>
          </w:p>
        </w:tc>
        <w:tc>
          <w:tcPr>
            <w:tcW w:type="dxa" w:w="1944"/>
            <w:shd w:fill="17365D"/>
            <w:tcMar>
              <w:top w:w="70" w:type="dxa"/>
              <w:start w:w="80" w:type="dxa"/>
              <w:bottom w:w="70" w:type="dxa"/>
              <w:end w:w="80" w:type="dxa"/>
            </w:tcMar>
          </w:tcPr>
          <w:p>
            <w:pPr>
              <w:spacing w:after="0"/>
              <w:jc w:val="left"/>
            </w:pPr>
            <w:r>
              <w:rPr>
                <w:b/>
                <w:color w:val="FFFFFF"/>
                <w:sz w:val="15"/>
              </w:rPr>
              <w:t>Legal or operational?</w:t>
            </w:r>
          </w:p>
        </w:tc>
        <w:tc>
          <w:tcPr>
            <w:tcW w:type="dxa" w:w="4752"/>
            <w:shd w:fill="17365D"/>
            <w:tcMar>
              <w:top w:w="70" w:type="dxa"/>
              <w:start w:w="80" w:type="dxa"/>
              <w:bottom w:w="70" w:type="dxa"/>
              <w:end w:w="80" w:type="dxa"/>
            </w:tcMar>
          </w:tcPr>
          <w:p>
            <w:pPr>
              <w:spacing w:after="0"/>
              <w:jc w:val="left"/>
            </w:pPr>
            <w:r>
              <w:rPr>
                <w:b/>
                <w:color w:val="FFFFFF"/>
                <w:sz w:val="15"/>
              </w:rPr>
              <w:t>Workflow consequence</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Inspection</w:t>
            </w:r>
          </w:p>
        </w:tc>
        <w:tc>
          <w:tcPr>
            <w:tcW w:type="dxa" w:w="1944"/>
            <w:tcMar>
              <w:top w:w="70" w:type="dxa"/>
              <w:start w:w="80" w:type="dxa"/>
              <w:bottom w:w="70" w:type="dxa"/>
              <w:end w:w="80" w:type="dxa"/>
            </w:tcMar>
            <w:vAlign w:val="top"/>
          </w:tcPr>
          <w:p>
            <w:pPr>
              <w:spacing w:after="0" w:line="240" w:lineRule="auto"/>
            </w:pPr>
            <w:r>
              <w:rPr>
                <w:rFonts w:ascii="Aptos" w:hAnsi="Aptos"/>
                <w:sz w:val="15"/>
              </w:rPr>
              <w:t>Legal access mode</w:t>
            </w:r>
          </w:p>
        </w:tc>
        <w:tc>
          <w:tcPr>
            <w:tcW w:type="dxa" w:w="4752"/>
            <w:tcMar>
              <w:top w:w="70" w:type="dxa"/>
              <w:start w:w="80" w:type="dxa"/>
              <w:bottom w:w="70" w:type="dxa"/>
              <w:end w:w="80" w:type="dxa"/>
            </w:tcMar>
            <w:vAlign w:val="top"/>
          </w:tcPr>
          <w:p>
            <w:pPr>
              <w:spacing w:after="0" w:line="240" w:lineRule="auto"/>
            </w:pPr>
            <w:r>
              <w:rPr>
                <w:rFonts w:ascii="Aptos" w:hAnsi="Aptos"/>
                <w:sz w:val="15"/>
              </w:rPr>
              <w:t>No writing requirement generally; no ordinary charge.</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Copies</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Legal access mode</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Written request/form may be required; estimate and charges may apply.</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Prompt production</w:t>
            </w:r>
          </w:p>
        </w:tc>
        <w:tc>
          <w:tcPr>
            <w:tcW w:type="dxa" w:w="1944"/>
            <w:tcMar>
              <w:top w:w="70" w:type="dxa"/>
              <w:start w:w="80" w:type="dxa"/>
              <w:bottom w:w="70" w:type="dxa"/>
              <w:end w:w="80" w:type="dxa"/>
            </w:tcMar>
            <w:vAlign w:val="top"/>
          </w:tcPr>
          <w:p>
            <w:pPr>
              <w:spacing w:after="0" w:line="240" w:lineRule="auto"/>
            </w:pPr>
            <w:r>
              <w:rPr>
                <w:rFonts w:ascii="Aptos" w:hAnsi="Aptos"/>
                <w:sz w:val="15"/>
              </w:rPr>
              <w:t>Legal timing mode</w:t>
            </w:r>
          </w:p>
        </w:tc>
        <w:tc>
          <w:tcPr>
            <w:tcW w:type="dxa" w:w="4752"/>
            <w:tcMar>
              <w:top w:w="70" w:type="dxa"/>
              <w:start w:w="80" w:type="dxa"/>
              <w:bottom w:w="70" w:type="dxa"/>
              <w:end w:w="80" w:type="dxa"/>
            </w:tcMar>
            <w:vAlign w:val="top"/>
          </w:tcPr>
          <w:p>
            <w:pPr>
              <w:spacing w:after="0" w:line="240" w:lineRule="auto"/>
            </w:pPr>
            <w:r>
              <w:rPr>
                <w:rFonts w:ascii="Aptos" w:hAnsi="Aptos"/>
                <w:sz w:val="15"/>
              </w:rPr>
              <w:t>Provide immediately/as practicable.</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Delayed response</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Legal timing mode</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Within 7 business days explain reasonable time needed.</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Simple / complex / segmented</w:t>
            </w:r>
          </w:p>
        </w:tc>
        <w:tc>
          <w:tcPr>
            <w:tcW w:type="dxa" w:w="1944"/>
            <w:tcMar>
              <w:top w:w="70" w:type="dxa"/>
              <w:start w:w="80" w:type="dxa"/>
              <w:bottom w:w="70" w:type="dxa"/>
              <w:end w:w="80" w:type="dxa"/>
            </w:tcMar>
            <w:vAlign w:val="top"/>
          </w:tcPr>
          <w:p>
            <w:pPr>
              <w:spacing w:after="0" w:line="240" w:lineRule="auto"/>
            </w:pPr>
            <w:r>
              <w:rPr>
                <w:rFonts w:ascii="Aptos" w:hAnsi="Aptos"/>
                <w:sz w:val="15"/>
              </w:rPr>
              <w:t>Operational/local policy</w:t>
            </w:r>
          </w:p>
        </w:tc>
        <w:tc>
          <w:tcPr>
            <w:tcW w:type="dxa" w:w="4752"/>
            <w:tcMar>
              <w:top w:w="70" w:type="dxa"/>
              <w:start w:w="80" w:type="dxa"/>
              <w:bottom w:w="70" w:type="dxa"/>
              <w:end w:w="80" w:type="dxa"/>
            </w:tcMar>
            <w:vAlign w:val="top"/>
          </w:tcPr>
          <w:p>
            <w:pPr>
              <w:spacing w:after="0" w:line="240" w:lineRule="auto"/>
            </w:pPr>
            <w:r>
              <w:rPr>
                <w:rFonts w:ascii="Aptos" w:hAnsi="Aptos"/>
                <w:sz w:val="15"/>
              </w:rPr>
              <w:t>Assignment and production scheduling; no new state deadline.</w:t>
            </w:r>
          </w:p>
        </w:tc>
      </w:tr>
    </w:tbl>
    <w:p>
      <w:pPr>
        <w:pStyle w:val="Heading1"/>
      </w:pPr>
      <w:r>
        <w:t>6. Fees, estimates, deposits, and payment timing</w:t>
      </w:r>
    </w:p>
    <w:p>
      <w:pPr>
        <w:pStyle w:val="CompactList"/>
      </w:pPr>
      <w:r>
        <w:rPr>
          <w:b/>
        </w:rPr>
        <w:t xml:space="preserve">• </w:t>
      </w:r>
      <w:r>
        <w:t>No charge is ordinarily assessed merely to inspect records unless another law authorizes it.</w:t>
      </w:r>
    </w:p>
    <w:p>
      <w:pPr>
        <w:pStyle w:val="CompactList"/>
      </w:pPr>
      <w:r>
        <w:rPr>
          <w:b/>
        </w:rPr>
        <w:t xml:space="preserve">• </w:t>
      </w:r>
      <w:r>
        <w:t>Before charging for copies, the custodian must provide an estimate of reasonable charges.</w:t>
      </w:r>
    </w:p>
    <w:p>
      <w:pPr>
        <w:pStyle w:val="CompactList"/>
      </w:pPr>
      <w:r>
        <w:rPr>
          <w:b/>
        </w:rPr>
        <w:t xml:space="preserve">• </w:t>
      </w:r>
      <w:r>
        <w:t>The OORC Schedule permits standard copy charges and generally allows labor charges only for time exceeding the first hour reasonably necessary to produce the records, using the lowest practicable wage of qualified employees.</w:t>
      </w:r>
    </w:p>
    <w:p>
      <w:pPr>
        <w:pStyle w:val="CompactList"/>
      </w:pPr>
      <w:r>
        <w:rPr>
          <w:b/>
        </w:rPr>
        <w:t xml:space="preserve">• </w:t>
      </w:r>
      <w:r>
        <w:t>Prepayment may be required under the governmental entity’s adopted public-records policy. The policy must state fees and processing rules.</w:t>
      </w:r>
    </w:p>
    <w:p>
      <w:pPr>
        <w:pStyle w:val="CompactList"/>
      </w:pPr>
      <w:r>
        <w:rPr>
          <w:b/>
        </w:rPr>
        <w:t xml:space="preserve">• </w:t>
      </w:r>
      <w:r>
        <w:t>Actual-cost alternatives may be adopted where authorized and documented; rates should be updated from the current OORC Schedule.</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448"/>
            <w:shd w:fill="17365D"/>
            <w:tcMar>
              <w:top w:w="70" w:type="dxa"/>
              <w:start w:w="80" w:type="dxa"/>
              <w:bottom w:w="70" w:type="dxa"/>
              <w:end w:w="80" w:type="dxa"/>
            </w:tcMar>
          </w:tcPr>
          <w:p>
            <w:pPr>
              <w:spacing w:after="0"/>
              <w:jc w:val="left"/>
            </w:pPr>
            <w:r>
              <w:rPr>
                <w:b/>
                <w:color w:val="FFFFFF"/>
                <w:sz w:val="15"/>
              </w:rPr>
              <w:t>Fee event</w:t>
            </w:r>
          </w:p>
        </w:tc>
        <w:tc>
          <w:tcPr>
            <w:tcW w:type="dxa" w:w="4536"/>
            <w:shd w:fill="17365D"/>
            <w:tcMar>
              <w:top w:w="70" w:type="dxa"/>
              <w:start w:w="80" w:type="dxa"/>
              <w:bottom w:w="70" w:type="dxa"/>
              <w:end w:w="80" w:type="dxa"/>
            </w:tcMar>
          </w:tcPr>
          <w:p>
            <w:pPr>
              <w:spacing w:after="0"/>
              <w:jc w:val="left"/>
            </w:pPr>
            <w:r>
              <w:rPr>
                <w:b/>
                <w:color w:val="FFFFFF"/>
                <w:sz w:val="15"/>
              </w:rPr>
              <w:t>Statewide rule</w:t>
            </w:r>
          </w:p>
        </w:tc>
        <w:tc>
          <w:tcPr>
            <w:tcW w:type="dxa" w:w="2736"/>
            <w:shd w:fill="17365D"/>
            <w:tcMar>
              <w:top w:w="70" w:type="dxa"/>
              <w:start w:w="80" w:type="dxa"/>
              <w:bottom w:w="70" w:type="dxa"/>
              <w:end w:w="80" w:type="dxa"/>
            </w:tcMar>
          </w:tcPr>
          <w:p>
            <w:pPr>
              <w:spacing w:after="0"/>
              <w:jc w:val="left"/>
            </w:pPr>
            <w:r>
              <w:rPr>
                <w:b/>
                <w:color w:val="FFFFFF"/>
                <w:sz w:val="15"/>
              </w:rPr>
              <w:t>Configurable city value</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Inspection</w:t>
            </w:r>
          </w:p>
        </w:tc>
        <w:tc>
          <w:tcPr>
            <w:tcW w:type="dxa" w:w="4536"/>
            <w:tcMar>
              <w:top w:w="70" w:type="dxa"/>
              <w:start w:w="80" w:type="dxa"/>
              <w:bottom w:w="70" w:type="dxa"/>
              <w:end w:w="80" w:type="dxa"/>
            </w:tcMar>
            <w:vAlign w:val="top"/>
          </w:tcPr>
          <w:p>
            <w:pPr>
              <w:spacing w:after="0" w:line="240" w:lineRule="auto"/>
            </w:pPr>
            <w:r>
              <w:rPr>
                <w:rFonts w:ascii="Aptos" w:hAnsi="Aptos"/>
                <w:sz w:val="15"/>
              </w:rPr>
              <w:t>Generally no charge.</w:t>
            </w:r>
          </w:p>
        </w:tc>
        <w:tc>
          <w:tcPr>
            <w:tcW w:type="dxa" w:w="2736"/>
            <w:tcMar>
              <w:top w:w="70" w:type="dxa"/>
              <w:start w:w="80" w:type="dxa"/>
              <w:bottom w:w="70" w:type="dxa"/>
              <w:end w:w="80" w:type="dxa"/>
            </w:tcMar>
            <w:vAlign w:val="top"/>
          </w:tcPr>
          <w:p>
            <w:pPr>
              <w:spacing w:after="0" w:line="240" w:lineRule="auto"/>
            </w:pPr>
            <w:r>
              <w:rPr>
                <w:rFonts w:ascii="Aptos" w:hAnsi="Aptos"/>
                <w:sz w:val="15"/>
              </w:rPr>
              <w:t>Appointment, supervision, and equipment rules.</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Estimate</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Required before assessing copy charges.</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Estimate acceptance, revision, and validity.</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Standard copies</w:t>
            </w:r>
          </w:p>
        </w:tc>
        <w:tc>
          <w:tcPr>
            <w:tcW w:type="dxa" w:w="4536"/>
            <w:tcMar>
              <w:top w:w="70" w:type="dxa"/>
              <w:start w:w="80" w:type="dxa"/>
              <w:bottom w:w="70" w:type="dxa"/>
              <w:end w:w="80" w:type="dxa"/>
            </w:tcMar>
            <w:vAlign w:val="top"/>
          </w:tcPr>
          <w:p>
            <w:pPr>
              <w:spacing w:after="0" w:line="240" w:lineRule="auto"/>
            </w:pPr>
            <w:r>
              <w:rPr>
                <w:rFonts w:ascii="Aptos" w:hAnsi="Aptos"/>
                <w:sz w:val="15"/>
              </w:rPr>
              <w:t>OORC schedule rates unless documented alternative.</w:t>
            </w:r>
          </w:p>
        </w:tc>
        <w:tc>
          <w:tcPr>
            <w:tcW w:type="dxa" w:w="2736"/>
            <w:tcMar>
              <w:top w:w="70" w:type="dxa"/>
              <w:start w:w="80" w:type="dxa"/>
              <w:bottom w:w="70" w:type="dxa"/>
              <w:end w:w="80" w:type="dxa"/>
            </w:tcMar>
            <w:vAlign w:val="top"/>
          </w:tcPr>
          <w:p>
            <w:pPr>
              <w:spacing w:after="0" w:line="240" w:lineRule="auto"/>
            </w:pPr>
            <w:r>
              <w:rPr>
                <w:rFonts w:ascii="Aptos" w:hAnsi="Aptos"/>
                <w:sz w:val="15"/>
              </w:rPr>
              <w:t>Current black/white, color, media, postage.</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Labor</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Charge only after first hour under Schedule; lowest practicable qualified wage.</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Role/rate table and time capture.</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Prepayment</w:t>
            </w:r>
          </w:p>
        </w:tc>
        <w:tc>
          <w:tcPr>
            <w:tcW w:type="dxa" w:w="4536"/>
            <w:tcMar>
              <w:top w:w="70" w:type="dxa"/>
              <w:start w:w="80" w:type="dxa"/>
              <w:bottom w:w="70" w:type="dxa"/>
              <w:end w:w="80" w:type="dxa"/>
            </w:tcMar>
            <w:vAlign w:val="top"/>
          </w:tcPr>
          <w:p>
            <w:pPr>
              <w:spacing w:after="0" w:line="240" w:lineRule="auto"/>
            </w:pPr>
            <w:r>
              <w:rPr>
                <w:rFonts w:ascii="Aptos" w:hAnsi="Aptos"/>
                <w:sz w:val="15"/>
              </w:rPr>
              <w:t>Allowed under adopted policy.</w:t>
            </w:r>
          </w:p>
        </w:tc>
        <w:tc>
          <w:tcPr>
            <w:tcW w:type="dxa" w:w="2736"/>
            <w:tcMar>
              <w:top w:w="70" w:type="dxa"/>
              <w:start w:w="80" w:type="dxa"/>
              <w:bottom w:w="70" w:type="dxa"/>
              <w:end w:w="80" w:type="dxa"/>
            </w:tcMar>
            <w:vAlign w:val="top"/>
          </w:tcPr>
          <w:p>
            <w:pPr>
              <w:spacing w:after="0" w:line="240" w:lineRule="auto"/>
            </w:pPr>
            <w:r>
              <w:rPr>
                <w:rFonts w:ascii="Aptos" w:hAnsi="Aptos"/>
                <w:sz w:val="15"/>
              </w:rPr>
              <w:t>Threshold, percentage/full amount, payment deadline/refund.</w:t>
            </w:r>
          </w:p>
        </w:tc>
      </w:tr>
    </w:tbl>
    <w:p>
      <w:pPr>
        <w:pStyle w:val="Heading1"/>
      </w:pPr>
      <w:r>
        <w:t>7. Normalized software rule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232"/>
            <w:shd w:fill="17365D"/>
            <w:tcMar>
              <w:top w:w="70" w:type="dxa"/>
              <w:start w:w="80" w:type="dxa"/>
              <w:bottom w:w="70" w:type="dxa"/>
              <w:end w:w="80" w:type="dxa"/>
            </w:tcMar>
          </w:tcPr>
          <w:p>
            <w:pPr>
              <w:spacing w:after="0"/>
              <w:jc w:val="left"/>
            </w:pPr>
            <w:r>
              <w:rPr>
                <w:b/>
                <w:color w:val="FFFFFF"/>
                <w:sz w:val="14"/>
              </w:rPr>
              <w:t>Rule / trigger</w:t>
            </w:r>
          </w:p>
        </w:tc>
        <w:tc>
          <w:tcPr>
            <w:tcW w:type="dxa" w:w="3168"/>
            <w:shd w:fill="17365D"/>
            <w:tcMar>
              <w:top w:w="70" w:type="dxa"/>
              <w:start w:w="80" w:type="dxa"/>
              <w:bottom w:w="70" w:type="dxa"/>
              <w:end w:w="80" w:type="dxa"/>
            </w:tcMar>
          </w:tcPr>
          <w:p>
            <w:pPr>
              <w:spacing w:after="0"/>
              <w:jc w:val="left"/>
            </w:pPr>
            <w:r>
              <w:rPr>
                <w:b/>
                <w:color w:val="FFFFFF"/>
                <w:sz w:val="14"/>
              </w:rPr>
              <w:t>Required system action</w:t>
            </w:r>
          </w:p>
        </w:tc>
        <w:tc>
          <w:tcPr>
            <w:tcW w:type="dxa" w:w="3024"/>
            <w:shd w:fill="17365D"/>
            <w:tcMar>
              <w:top w:w="70" w:type="dxa"/>
              <w:start w:w="80" w:type="dxa"/>
              <w:bottom w:w="70" w:type="dxa"/>
              <w:end w:w="80" w:type="dxa"/>
            </w:tcMar>
          </w:tcPr>
          <w:p>
            <w:pPr>
              <w:spacing w:after="0"/>
              <w:jc w:val="left"/>
            </w:pPr>
            <w:r>
              <w:rPr>
                <w:b/>
                <w:color w:val="FFFFFF"/>
                <w:sz w:val="14"/>
              </w:rPr>
              <w:t>Communication / deadline</w:t>
            </w:r>
          </w:p>
        </w:tc>
        <w:tc>
          <w:tcPr>
            <w:tcW w:type="dxa" w:w="2232"/>
            <w:shd w:fill="17365D"/>
            <w:tcMar>
              <w:top w:w="70" w:type="dxa"/>
              <w:start w:w="80" w:type="dxa"/>
              <w:bottom w:w="70" w:type="dxa"/>
              <w:end w:w="80" w:type="dxa"/>
            </w:tcMar>
          </w:tcPr>
          <w:p>
            <w:pPr>
              <w:spacing w:after="0"/>
              <w:jc w:val="left"/>
            </w:pPr>
            <w:r>
              <w:rPr>
                <w:b/>
                <w:color w:val="FFFFFF"/>
                <w:sz w:val="14"/>
              </w:rPr>
              <w:t>Clock / configuration</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Request received</w:t>
            </w:r>
          </w:p>
        </w:tc>
        <w:tc>
          <w:tcPr>
            <w:tcW w:type="dxa" w:w="3168"/>
            <w:tcMar>
              <w:top w:w="70" w:type="dxa"/>
              <w:start w:w="80" w:type="dxa"/>
              <w:bottom w:w="70" w:type="dxa"/>
              <w:end w:w="80" w:type="dxa"/>
            </w:tcMar>
            <w:vAlign w:val="top"/>
          </w:tcPr>
          <w:p>
            <w:pPr>
              <w:spacing w:after="0" w:line="240" w:lineRule="auto"/>
            </w:pPr>
            <w:r>
              <w:rPr>
                <w:rFonts w:ascii="Aptos" w:hAnsi="Aptos"/>
                <w:sz w:val="14"/>
              </w:rPr>
              <w:t>Verify access mode/citizenship; route coordinator to custodian.</w:t>
            </w:r>
          </w:p>
        </w:tc>
        <w:tc>
          <w:tcPr>
            <w:tcW w:type="dxa" w:w="3024"/>
            <w:tcMar>
              <w:top w:w="70" w:type="dxa"/>
              <w:start w:w="80" w:type="dxa"/>
              <w:bottom w:w="70" w:type="dxa"/>
              <w:end w:w="80" w:type="dxa"/>
            </w:tcMar>
            <w:vAlign w:val="top"/>
          </w:tcPr>
          <w:p>
            <w:pPr>
              <w:spacing w:after="0" w:line="240" w:lineRule="auto"/>
            </w:pPr>
            <w:r>
              <w:rPr>
                <w:rFonts w:ascii="Aptos" w:hAnsi="Aptos"/>
                <w:sz w:val="14"/>
              </w:rPr>
              <w:t>Prompt acknowledgment per policy.</w:t>
            </w:r>
          </w:p>
        </w:tc>
        <w:tc>
          <w:tcPr>
            <w:tcW w:type="dxa" w:w="2232"/>
            <w:tcMar>
              <w:top w:w="70" w:type="dxa"/>
              <w:start w:w="80" w:type="dxa"/>
              <w:bottom w:w="70" w:type="dxa"/>
              <w:end w:w="80" w:type="dxa"/>
            </w:tcMar>
            <w:vAlign w:val="top"/>
          </w:tcPr>
          <w:p>
            <w:pPr>
              <w:spacing w:after="0" w:line="240" w:lineRule="auto"/>
            </w:pPr>
            <w:r>
              <w:rPr>
                <w:rFonts w:ascii="Aptos" w:hAnsi="Aptos"/>
                <w:sz w:val="14"/>
              </w:rPr>
              <w:t>Qualitative prompt timer.</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Prompt production practicable</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Produce/arrange inspection immediately.</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Availability notice.</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Complete branch.</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Prompt production not practicable</w:t>
            </w:r>
          </w:p>
        </w:tc>
        <w:tc>
          <w:tcPr>
            <w:tcW w:type="dxa" w:w="3168"/>
            <w:tcMar>
              <w:top w:w="70" w:type="dxa"/>
              <w:start w:w="80" w:type="dxa"/>
              <w:bottom w:w="70" w:type="dxa"/>
              <w:end w:w="80" w:type="dxa"/>
            </w:tcMar>
            <w:vAlign w:val="top"/>
          </w:tcPr>
          <w:p>
            <w:pPr>
              <w:spacing w:after="0" w:line="240" w:lineRule="auto"/>
            </w:pPr>
            <w:r>
              <w:rPr>
                <w:rFonts w:ascii="Aptos" w:hAnsi="Aptos"/>
                <w:sz w:val="14"/>
              </w:rPr>
              <w:t>Set reasonable completion time or denial basis.</w:t>
            </w:r>
          </w:p>
        </w:tc>
        <w:tc>
          <w:tcPr>
            <w:tcW w:type="dxa" w:w="3024"/>
            <w:tcMar>
              <w:top w:w="70" w:type="dxa"/>
              <w:start w:w="80" w:type="dxa"/>
              <w:bottom w:w="70" w:type="dxa"/>
              <w:end w:w="80" w:type="dxa"/>
            </w:tcMar>
            <w:vAlign w:val="top"/>
          </w:tcPr>
          <w:p>
            <w:pPr>
              <w:spacing w:after="0" w:line="240" w:lineRule="auto"/>
            </w:pPr>
            <w:r>
              <w:rPr>
                <w:rFonts w:ascii="Aptos" w:hAnsi="Aptos"/>
                <w:sz w:val="14"/>
              </w:rPr>
              <w:t>Written action by 7 business days.</w:t>
            </w:r>
          </w:p>
        </w:tc>
        <w:tc>
          <w:tcPr>
            <w:tcW w:type="dxa" w:w="2232"/>
            <w:tcMar>
              <w:top w:w="70" w:type="dxa"/>
              <w:start w:w="80" w:type="dxa"/>
              <w:bottom w:w="70" w:type="dxa"/>
              <w:end w:w="80" w:type="dxa"/>
            </w:tcMar>
            <w:vAlign w:val="top"/>
          </w:tcPr>
          <w:p>
            <w:pPr>
              <w:spacing w:after="0" w:line="240" w:lineRule="auto"/>
            </w:pPr>
            <w:r>
              <w:rPr>
                <w:rFonts w:ascii="Aptos" w:hAnsi="Aptos"/>
                <w:sz w:val="14"/>
              </w:rPr>
              <w:t>Hard fallback timer.</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Request unclear</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Coordinator asks focused clarification under policy.</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Still issue required prompt/7-day communication.</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Local nonresponse; no inferred toll.</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Exemption applies</w:t>
            </w:r>
          </w:p>
        </w:tc>
        <w:tc>
          <w:tcPr>
            <w:tcW w:type="dxa" w:w="3168"/>
            <w:tcMar>
              <w:top w:w="70" w:type="dxa"/>
              <w:start w:w="80" w:type="dxa"/>
              <w:bottom w:w="70" w:type="dxa"/>
              <w:end w:w="80" w:type="dxa"/>
            </w:tcMar>
            <w:vAlign w:val="top"/>
          </w:tcPr>
          <w:p>
            <w:pPr>
              <w:spacing w:after="0" w:line="240" w:lineRule="auto"/>
            </w:pPr>
            <w:r>
              <w:rPr>
                <w:rFonts w:ascii="Aptos" w:hAnsi="Aptos"/>
                <w:sz w:val="14"/>
              </w:rPr>
              <w:t>Redact/segregate and document basis.</w:t>
            </w:r>
          </w:p>
        </w:tc>
        <w:tc>
          <w:tcPr>
            <w:tcW w:type="dxa" w:w="3024"/>
            <w:tcMar>
              <w:top w:w="70" w:type="dxa"/>
              <w:start w:w="80" w:type="dxa"/>
              <w:bottom w:w="70" w:type="dxa"/>
              <w:end w:w="80" w:type="dxa"/>
            </w:tcMar>
            <w:vAlign w:val="top"/>
          </w:tcPr>
          <w:p>
            <w:pPr>
              <w:spacing w:after="0" w:line="240" w:lineRule="auto"/>
            </w:pPr>
            <w:r>
              <w:rPr>
                <w:rFonts w:ascii="Aptos" w:hAnsi="Aptos"/>
                <w:sz w:val="14"/>
              </w:rPr>
              <w:t>Written denial basis for withheld material.</w:t>
            </w:r>
          </w:p>
        </w:tc>
        <w:tc>
          <w:tcPr>
            <w:tcW w:type="dxa" w:w="2232"/>
            <w:tcMar>
              <w:top w:w="70" w:type="dxa"/>
              <w:start w:w="80" w:type="dxa"/>
              <w:bottom w:w="70" w:type="dxa"/>
              <w:end w:w="80" w:type="dxa"/>
            </w:tcMar>
            <w:vAlign w:val="top"/>
          </w:tcPr>
          <w:p>
            <w:pPr>
              <w:spacing w:after="0" w:line="240" w:lineRule="auto"/>
            </w:pPr>
            <w:r>
              <w:rPr>
                <w:rFonts w:ascii="Aptos" w:hAnsi="Aptos"/>
                <w:sz w:val="14"/>
              </w:rPr>
              <w:t>Court-enforcement risk.</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Copies chargeable</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Calculate Schedule-based estimate before charging.</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Estimate and payment instructions.</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Acceptance/prepayment local policy.</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Records ready</w:t>
            </w:r>
          </w:p>
        </w:tc>
        <w:tc>
          <w:tcPr>
            <w:tcW w:type="dxa" w:w="3168"/>
            <w:tcMar>
              <w:top w:w="70" w:type="dxa"/>
              <w:start w:w="80" w:type="dxa"/>
              <w:bottom w:w="70" w:type="dxa"/>
              <w:end w:w="80" w:type="dxa"/>
            </w:tcMar>
            <w:vAlign w:val="top"/>
          </w:tcPr>
          <w:p>
            <w:pPr>
              <w:spacing w:after="0" w:line="240" w:lineRule="auto"/>
            </w:pPr>
            <w:r>
              <w:rPr>
                <w:rFonts w:ascii="Aptos" w:hAnsi="Aptos"/>
                <w:sz w:val="14"/>
              </w:rPr>
              <w:t>Schedule inspection or collect payment and deliver copies.</w:t>
            </w:r>
          </w:p>
        </w:tc>
        <w:tc>
          <w:tcPr>
            <w:tcW w:type="dxa" w:w="3024"/>
            <w:tcMar>
              <w:top w:w="70" w:type="dxa"/>
              <w:start w:w="80" w:type="dxa"/>
              <w:bottom w:w="70" w:type="dxa"/>
              <w:end w:w="80" w:type="dxa"/>
            </w:tcMar>
            <w:vAlign w:val="top"/>
          </w:tcPr>
          <w:p>
            <w:pPr>
              <w:spacing w:after="0" w:line="240" w:lineRule="auto"/>
            </w:pPr>
            <w:r>
              <w:rPr>
                <w:rFonts w:ascii="Aptos" w:hAnsi="Aptos"/>
                <w:sz w:val="14"/>
              </w:rPr>
              <w:t>Local claim reminders.</w:t>
            </w:r>
          </w:p>
        </w:tc>
        <w:tc>
          <w:tcPr>
            <w:tcW w:type="dxa" w:w="2232"/>
            <w:tcMar>
              <w:top w:w="70" w:type="dxa"/>
              <w:start w:w="80" w:type="dxa"/>
              <w:bottom w:w="70" w:type="dxa"/>
              <w:end w:w="80" w:type="dxa"/>
            </w:tcMar>
            <w:vAlign w:val="top"/>
          </w:tcPr>
          <w:p>
            <w:pPr>
              <w:spacing w:after="0" w:line="240" w:lineRule="auto"/>
            </w:pPr>
            <w:r>
              <w:rPr>
                <w:rFonts w:ascii="Aptos" w:hAnsi="Aptos"/>
                <w:sz w:val="14"/>
              </w:rPr>
              <w:t>Policy-driven closure.</w:t>
            </w:r>
          </w:p>
        </w:tc>
      </w:tr>
    </w:tbl>
    <w:p>
      <w:pPr>
        <w:pStyle w:val="Heading1"/>
      </w:pPr>
      <w:r>
        <w:t>8. Required jurisdiction-configuration fields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168"/>
            <w:shd w:fill="17365D"/>
            <w:tcMar>
              <w:top w:w="70" w:type="dxa"/>
              <w:start w:w="80" w:type="dxa"/>
              <w:bottom w:w="70" w:type="dxa"/>
              <w:end w:w="80" w:type="dxa"/>
            </w:tcMar>
          </w:tcPr>
          <w:p>
            <w:pPr>
              <w:spacing w:after="0"/>
              <w:jc w:val="left"/>
            </w:pPr>
            <w:r>
              <w:rPr>
                <w:b/>
                <w:color w:val="FFFFFF"/>
                <w:sz w:val="15"/>
              </w:rPr>
              <w:t>Field</w:t>
            </w:r>
          </w:p>
        </w:tc>
        <w:tc>
          <w:tcPr>
            <w:tcW w:type="dxa" w:w="3240"/>
            <w:shd w:fill="17365D"/>
            <w:tcMar>
              <w:top w:w="70" w:type="dxa"/>
              <w:start w:w="80" w:type="dxa"/>
              <w:bottom w:w="70" w:type="dxa"/>
              <w:end w:w="80" w:type="dxa"/>
            </w:tcMar>
          </w:tcPr>
          <w:p>
            <w:pPr>
              <w:spacing w:after="0"/>
              <w:jc w:val="left"/>
            </w:pPr>
            <w:r>
              <w:rPr>
                <w:b/>
                <w:color w:val="FFFFFF"/>
                <w:sz w:val="15"/>
              </w:rPr>
              <w:t>State-supplied default</w:t>
            </w:r>
          </w:p>
        </w:tc>
        <w:tc>
          <w:tcPr>
            <w:tcW w:type="dxa" w:w="4248"/>
            <w:shd w:fill="17365D"/>
            <w:tcMar>
              <w:top w:w="70" w:type="dxa"/>
              <w:start w:w="80" w:type="dxa"/>
              <w:bottom w:w="70" w:type="dxa"/>
              <w:end w:w="80" w:type="dxa"/>
            </w:tcMar>
          </w:tcPr>
          <w:p>
            <w:pPr>
              <w:spacing w:after="0"/>
              <w:jc w:val="left"/>
            </w:pPr>
            <w:r>
              <w:rPr>
                <w:b/>
                <w:color w:val="FFFFFF"/>
                <w:sz w:val="15"/>
              </w:rPr>
              <w:t>City configuration needed</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Citizenship verification</w:t>
            </w:r>
          </w:p>
        </w:tc>
        <w:tc>
          <w:tcPr>
            <w:tcW w:type="dxa" w:w="3240"/>
            <w:tcMar>
              <w:top w:w="70" w:type="dxa"/>
              <w:start w:w="80" w:type="dxa"/>
              <w:bottom w:w="70" w:type="dxa"/>
              <w:end w:w="80" w:type="dxa"/>
            </w:tcMar>
            <w:vAlign w:val="top"/>
          </w:tcPr>
          <w:p>
            <w:pPr>
              <w:spacing w:after="0" w:line="240" w:lineRule="auto"/>
            </w:pPr>
            <w:r>
              <w:rPr>
                <w:rFonts w:ascii="Aptos" w:hAnsi="Aptos"/>
                <w:sz w:val="15"/>
              </w:rPr>
              <w:t>Tennessee citizen access rule.</w:t>
            </w:r>
          </w:p>
        </w:tc>
        <w:tc>
          <w:tcPr>
            <w:tcW w:type="dxa" w:w="4248"/>
            <w:tcMar>
              <w:top w:w="70" w:type="dxa"/>
              <w:start w:w="80" w:type="dxa"/>
              <w:bottom w:w="70" w:type="dxa"/>
              <w:end w:w="80" w:type="dxa"/>
            </w:tcMar>
            <w:vAlign w:val="top"/>
          </w:tcPr>
          <w:p>
            <w:pPr>
              <w:spacing w:after="0" w:line="240" w:lineRule="auto"/>
            </w:pPr>
            <w:r>
              <w:rPr>
                <w:rFonts w:ascii="Aptos" w:hAnsi="Aptos"/>
                <w:sz w:val="15"/>
              </w:rPr>
              <w:t>Accepted proof, exceptions, privacy-preserving process.</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Prompt service target</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Qualitative “promptly”; 7-day fallback.</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Internal acknowledgment/production goals and escalation.</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Required local policy</w:t>
            </w:r>
          </w:p>
        </w:tc>
        <w:tc>
          <w:tcPr>
            <w:tcW w:type="dxa" w:w="3240"/>
            <w:tcMar>
              <w:top w:w="70" w:type="dxa"/>
              <w:start w:w="80" w:type="dxa"/>
              <w:bottom w:w="70" w:type="dxa"/>
              <w:end w:w="80" w:type="dxa"/>
            </w:tcMar>
            <w:vAlign w:val="top"/>
          </w:tcPr>
          <w:p>
            <w:pPr>
              <w:spacing w:after="0" w:line="240" w:lineRule="auto"/>
            </w:pPr>
            <w:r>
              <w:rPr>
                <w:rFonts w:ascii="Aptos" w:hAnsi="Aptos"/>
                <w:sz w:val="15"/>
              </w:rPr>
              <w:t>State mandates adopted policy topics.</w:t>
            </w:r>
          </w:p>
        </w:tc>
        <w:tc>
          <w:tcPr>
            <w:tcW w:type="dxa" w:w="4248"/>
            <w:tcMar>
              <w:top w:w="70" w:type="dxa"/>
              <w:start w:w="80" w:type="dxa"/>
              <w:bottom w:w="70" w:type="dxa"/>
              <w:end w:w="80" w:type="dxa"/>
            </w:tcMar>
            <w:vAlign w:val="top"/>
          </w:tcPr>
          <w:p>
            <w:pPr>
              <w:spacing w:after="0" w:line="240" w:lineRule="auto"/>
            </w:pPr>
            <w:r>
              <w:rPr>
                <w:rFonts w:ascii="Aptos" w:hAnsi="Aptos"/>
                <w:sz w:val="15"/>
              </w:rPr>
              <w:t>Forms, coordinator, routing, response steps, fees, contacts.</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Clarification closure</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No universal state period.</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Response period, reminders, reopen rule.</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Fee schedule</w:t>
            </w:r>
          </w:p>
        </w:tc>
        <w:tc>
          <w:tcPr>
            <w:tcW w:type="dxa" w:w="3240"/>
            <w:tcMar>
              <w:top w:w="70" w:type="dxa"/>
              <w:start w:w="80" w:type="dxa"/>
              <w:bottom w:w="70" w:type="dxa"/>
              <w:end w:w="80" w:type="dxa"/>
            </w:tcMar>
            <w:vAlign w:val="top"/>
          </w:tcPr>
          <w:p>
            <w:pPr>
              <w:spacing w:after="0" w:line="240" w:lineRule="auto"/>
            </w:pPr>
            <w:r>
              <w:rPr>
                <w:rFonts w:ascii="Aptos" w:hAnsi="Aptos"/>
                <w:sz w:val="15"/>
              </w:rPr>
              <w:t>OORC rates and first-hour labor threshold.</w:t>
            </w:r>
          </w:p>
        </w:tc>
        <w:tc>
          <w:tcPr>
            <w:tcW w:type="dxa" w:w="4248"/>
            <w:tcMar>
              <w:top w:w="70" w:type="dxa"/>
              <w:start w:w="80" w:type="dxa"/>
              <w:bottom w:w="70" w:type="dxa"/>
              <w:end w:w="80" w:type="dxa"/>
            </w:tcMar>
            <w:vAlign w:val="top"/>
          </w:tcPr>
          <w:p>
            <w:pPr>
              <w:spacing w:after="0" w:line="240" w:lineRule="auto"/>
            </w:pPr>
            <w:r>
              <w:rPr>
                <w:rFonts w:ascii="Aptos" w:hAnsi="Aptos"/>
                <w:sz w:val="15"/>
              </w:rPr>
              <w:t>Current rates, qualified roles, time capture.</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Prepayment</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Policy-authorized.</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Threshold, amount, due date, refund/reconciliation.</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Operational classes</w:t>
            </w:r>
          </w:p>
        </w:tc>
        <w:tc>
          <w:tcPr>
            <w:tcW w:type="dxa" w:w="3240"/>
            <w:tcMar>
              <w:top w:w="70" w:type="dxa"/>
              <w:start w:w="80" w:type="dxa"/>
              <w:bottom w:w="70" w:type="dxa"/>
              <w:end w:w="80" w:type="dxa"/>
            </w:tcMar>
            <w:vAlign w:val="top"/>
          </w:tcPr>
          <w:p>
            <w:pPr>
              <w:spacing w:after="0" w:line="240" w:lineRule="auto"/>
            </w:pPr>
            <w:r>
              <w:rPr>
                <w:rFonts w:ascii="Aptos" w:hAnsi="Aptos"/>
                <w:sz w:val="15"/>
              </w:rPr>
              <w:t>No legal simple/complex class.</w:t>
            </w:r>
          </w:p>
        </w:tc>
        <w:tc>
          <w:tcPr>
            <w:tcW w:type="dxa" w:w="4248"/>
            <w:tcMar>
              <w:top w:w="70" w:type="dxa"/>
              <w:start w:w="80" w:type="dxa"/>
              <w:bottom w:w="70" w:type="dxa"/>
              <w:end w:w="80" w:type="dxa"/>
            </w:tcMar>
            <w:vAlign w:val="top"/>
          </w:tcPr>
          <w:p>
            <w:pPr>
              <w:spacing w:after="0" w:line="240" w:lineRule="auto"/>
            </w:pPr>
            <w:r>
              <w:rPr>
                <w:rFonts w:ascii="Aptos" w:hAnsi="Aptos"/>
                <w:sz w:val="15"/>
              </w:rPr>
              <w:t>Internal categories and segmented-production settings.</w:t>
            </w:r>
          </w:p>
        </w:tc>
      </w:tr>
    </w:tbl>
    <w:p>
      <w:pPr>
        <w:pStyle w:val="Heading1"/>
      </w:pPr>
      <w:r>
        <w:t>9. Suggested workflow states for this jurisdiction</w:t>
      </w:r>
    </w:p>
    <w:p>
      <w:pPr>
        <w:spacing w:after="40"/>
      </w:pPr>
      <w:r>
        <w:rPr>
          <w:b/>
          <w:sz w:val="17"/>
        </w:rPr>
        <w:t>Received</w:t>
      </w:r>
      <w:r>
        <w:t xml:space="preserve">  →  </w:t>
      </w:r>
      <w:r>
        <w:rPr>
          <w:b w:val="0"/>
          <w:sz w:val="17"/>
        </w:rPr>
        <w:t>Eligibility &amp; Access-Mode Review</w:t>
      </w:r>
      <w:r>
        <w:t xml:space="preserve">  →  </w:t>
      </w:r>
      <w:r>
        <w:rPr>
          <w:b w:val="0"/>
          <w:sz w:val="17"/>
        </w:rPr>
        <w:t>Coordinator Routing</w:t>
      </w:r>
      <w:r>
        <w:t xml:space="preserve">  →  </w:t>
      </w:r>
      <w:r>
        <w:rPr>
          <w:b w:val="0"/>
          <w:sz w:val="17"/>
        </w:rPr>
        <w:t>Prompt Production / Seven-Day Response</w:t>
      </w:r>
      <w:r>
        <w:t xml:space="preserve">  →  </w:t>
      </w:r>
      <w:r>
        <w:rPr>
          <w:b w:val="0"/>
          <w:sz w:val="17"/>
        </w:rPr>
        <w:t>Clarification / Search / Redaction</w:t>
      </w:r>
      <w:r>
        <w:t xml:space="preserve">  →  </w:t>
      </w:r>
      <w:r>
        <w:rPr>
          <w:b w:val="0"/>
          <w:sz w:val="17"/>
        </w:rPr>
        <w:t>Estimate &amp; Prepayment</w:t>
      </w:r>
      <w:r>
        <w:t xml:space="preserve">  →  </w:t>
      </w:r>
      <w:r>
        <w:rPr>
          <w:b w:val="0"/>
          <w:sz w:val="17"/>
        </w:rPr>
        <w:t>Inspection / Delivery</w:t>
      </w:r>
      <w:r>
        <w:t xml:space="preserve">  →  </w:t>
      </w:r>
      <w:r>
        <w:rPr>
          <w:b w:val="0"/>
          <w:sz w:val="17"/>
        </w:rPr>
        <w:t>Closed</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Implementation boundary: </w:t>
            </w:r>
            <w:r>
              <w:t>Automate seven-business-day fallback, adopted-policy workflows, estimates, and labor thresholds. Humans decide prompt practicability, citizenship sufficiency, exemptions, reasonableness of time, and whether a requested output would require creating a new record.</w:t>
            </w:r>
          </w:p>
        </w:tc>
      </w:tr>
    </w:tbl>
    <w:p>
      <w:pPr>
        <w:pStyle w:val="Heading1"/>
      </w:pPr>
      <w:r>
        <w:t>10. Confidence and unresolved local-policy questions</w:t>
      </w:r>
    </w:p>
    <w:p>
      <w:pPr>
        <w:pStyle w:val="CompactList"/>
      </w:pPr>
      <w:r>
        <w:rPr>
          <w:b/>
        </w:rPr>
        <w:t xml:space="preserve">• </w:t>
      </w:r>
      <w:r>
        <w:t>High confidence in the prompt/seven-business-day response options, mandatory local policy, estimate-before-charge rule, and OORC fee framework.</w:t>
      </w:r>
    </w:p>
    <w:p>
      <w:pPr>
        <w:pStyle w:val="CompactList"/>
      </w:pPr>
      <w:r>
        <w:rPr>
          <w:b/>
        </w:rPr>
        <w:t xml:space="preserve">• </w:t>
      </w:r>
      <w:r>
        <w:t>Clarification, segmented production, prepayment details, and nonresponse closure depend heavily on the city’s adopted policy.</w:t>
      </w:r>
    </w:p>
    <w:p>
      <w:pPr>
        <w:pStyle w:val="CompactList"/>
      </w:pPr>
      <w:r>
        <w:rPr>
          <w:b/>
        </w:rPr>
        <w:t xml:space="preserve">• </w:t>
      </w:r>
      <w:r>
        <w:t>Use the current OORC Schedule of Reasonable Charges because rates and policy guidance can change.</w:t>
      </w:r>
    </w:p>
    <w:p>
      <w:pPr>
        <w:pStyle w:val="Heading1"/>
      </w:pPr>
      <w:r>
        <w:t>Primary authorities and official resources</w:t>
      </w:r>
    </w:p>
    <w:p>
      <w:pPr>
        <w:pStyle w:val="CompactList"/>
      </w:pPr>
      <w:r>
        <w:rPr>
          <w:b/>
        </w:rPr>
        <w:t xml:space="preserve">• Tennessee Comptroller, TPRA FAQs: </w:t>
      </w:r>
      <w:hyperlink r:id="rId11">
        <w:r>
          <w:rPr>
            <w:color w:val="0563C1"/>
            <w:u w:val="single"/>
          </w:rPr>
          <w:t>https://comptroller.tn.gov/office-functions/open-records-counsel/open-meetings/frequently-asked-questions/tennessee-public-records-act-faqs.html</w:t>
        </w:r>
      </w:hyperlink>
    </w:p>
    <w:p>
      <w:pPr>
        <w:pStyle w:val="CompactList"/>
      </w:pPr>
      <w:r>
        <w:rPr>
          <w:b/>
        </w:rPr>
        <w:t xml:space="preserve">• Tennessee OORC, Schedule of Reasonable Charges: </w:t>
      </w:r>
      <w:hyperlink r:id="rId12">
        <w:r>
          <w:rPr>
            <w:color w:val="0563C1"/>
            <w:u w:val="single"/>
          </w:rPr>
          <w:t>https://comptroller.tn.gov/content/dam/cot/orc/documents/oorc/policies-and-guidelines/ScheduleofReasonableCharges.pdf</w:t>
        </w:r>
      </w:hyperlink>
    </w:p>
    <w:p>
      <w:pPr>
        <w:pStyle w:val="CompactList"/>
      </w:pPr>
      <w:r>
        <w:rPr>
          <w:b/>
        </w:rPr>
        <w:t xml:space="preserve">• Tennessee OORC, Policies, Guidelines and Forms: </w:t>
      </w:r>
      <w:hyperlink r:id="rId13">
        <w:r>
          <w:rPr>
            <w:color w:val="0563C1"/>
            <w:u w:val="single"/>
          </w:rPr>
          <w:t>https://comptroller.tn.gov/office-functions/open-records-counsel/office-of-open-records-counsel/policies---guidelines.html</w:t>
        </w:r>
      </w:hyperlink>
    </w:p>
    <w:p>
      <w:pPr>
        <w:pStyle w:val="CompactList"/>
      </w:pPr>
      <w:r>
        <w:rPr>
          <w:b/>
        </w:rPr>
        <w:t xml:space="preserve">• Tennessee public-records contacts and policy requirement: </w:t>
      </w:r>
      <w:hyperlink r:id="rId14">
        <w:r>
          <w:rPr>
            <w:color w:val="0563C1"/>
            <w:u w:val="single"/>
          </w:rPr>
          <w:t>https://comptroller.tn.gov/office-functions/open-records-counsel/open-meetings/state-contacts-for-record-requests.html</w:t>
        </w:r>
      </w:hyperlink>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Legal-use caution: </w:t>
            </w:r>
            <w:r>
              <w:t>This is implementation-oriented legal research, not legal advice. Before production deployment, the city should validate the configuration against current statutes, regulations, controlling decisions, Attorney General or oversight guidance, and the city's adopted fee and records policies.</w:t>
            </w:r>
          </w:p>
        </w:tc>
      </w:tr>
    </w:tbl>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 xml:space="preserve">Research and software-configuration analysis | Accessed July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5"/>
      </w:rPr>
      <w:t>National Open Records Workflow Schema Pilot | 08 Tennessee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List">
    <w:name w:val="Compact List"/>
    <w:pPr>
      <w:spacing w:after="30"/>
      <w:ind w:left="259" w:hanging="187"/>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mptroller.tn.gov/office-functions/open-records-counsel/open-meetings/frequently-asked-questions/tennessee-public-records-act-faqs.html" TargetMode="External"/><Relationship Id="rId12" Type="http://schemas.openxmlformats.org/officeDocument/2006/relationships/hyperlink" Target="https://comptroller.tn.gov/content/dam/cot/orc/documents/oorc/policies-and-guidelines/ScheduleofReasonableCharges.pdf" TargetMode="External"/><Relationship Id="rId13" Type="http://schemas.openxmlformats.org/officeDocument/2006/relationships/hyperlink" Target="https://comptroller.tn.gov/office-functions/open-records-counsel/office-of-open-records-counsel/policies---guidelines.html" TargetMode="External"/><Relationship Id="rId14" Type="http://schemas.openxmlformats.org/officeDocument/2006/relationships/hyperlink" Target="https://comptroller.tn.gov/office-functions/open-records-counsel/open-meetings/state-contacts-for-record-reques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