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2"/>
        </w:rPr>
        <w:t>Arizona</w:t>
        <w:br/>
      </w:r>
      <w:r>
        <w:rPr>
          <w:color w:val="17365D"/>
          <w:sz w:val="34"/>
        </w:rPr>
        <w:t>Initial Public-Records Processing Workflow</w:t>
        <w:br/>
        <w:t>and Software Configuration Analysis</w:t>
      </w:r>
    </w:p>
    <w:p>
      <w:pPr>
        <w:jc w:val="center"/>
      </w:pPr>
      <w:r>
        <w:rPr>
          <w:i/>
          <w:color w:val="5A5A5A"/>
          <w:sz w:val="18"/>
        </w:rPr>
        <w:t>Pilot State 09 of 10 | City / municipal applicability | Research accessed July 22, 2026</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Scope: </w:t>
            </w:r>
            <w:r>
              <w:t>Arizona’s public-records law, A.R.S. title 39, applies to cities as public bodies. The analysis incorporates the current point-of-contact acknowledgment requirement and the statutory commercial-purpose distinction.</w:t>
            </w:r>
          </w:p>
        </w:tc>
      </w:tr>
    </w:tbl>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Method: </w:t>
            </w:r>
            <w:r>
              <w:t>The same fixed method is used for all ten states. Each rule is separated into trigger, condition, action, communication, deadline, clock effect, and configuration source. A qualitative term such as 'prompt' or 'reasonable' is preserved as law and paired with a local-policy configuration field; no numeric value is invented.</w:t>
            </w:r>
          </w:p>
        </w:tc>
      </w:tr>
    </w:tbl>
    <w:p>
      <w:pPr>
        <w:pStyle w:val="Heading1"/>
      </w:pPr>
      <w:r>
        <w:t>Executive conclusions</w:t>
      </w:r>
    </w:p>
    <w:p>
      <w:pPr>
        <w:pStyle w:val="CompactList"/>
      </w:pPr>
      <w:r>
        <w:rPr>
          <w:b/>
        </w:rPr>
        <w:t xml:space="preserve">• </w:t>
      </w:r>
      <w:r>
        <w:t>Cities must publish a public-records contact. Unless a centralized portal provides a receipt on submission, the authorized employee or department must acknowledge receipt within five business days.</w:t>
      </w:r>
    </w:p>
    <w:p>
      <w:pPr>
        <w:pStyle w:val="CompactList"/>
      </w:pPr>
      <w:r>
        <w:rPr>
          <w:b/>
        </w:rPr>
        <w:t xml:space="preserve">• </w:t>
      </w:r>
      <w:r>
        <w:t>The substantive production standard remains “promptly”; Arizona does not impose a fixed statewide final-production deadline.</w:t>
      </w:r>
    </w:p>
    <w:p>
      <w:pPr>
        <w:pStyle w:val="CompactList"/>
      </w:pPr>
      <w:r>
        <w:rPr>
          <w:b/>
        </w:rPr>
        <w:t xml:space="preserve">• </w:t>
      </w:r>
      <w:r>
        <w:t>At the time of request, the requester must affirm noncommercial use or state that a commercial-purpose statement will be provided. Commercial purpose is a true legal classification with a different fee formula and a possible Governor-review process.</w:t>
      </w:r>
    </w:p>
    <w:p>
      <w:pPr>
        <w:pStyle w:val="CompactList"/>
      </w:pPr>
      <w:r>
        <w:rPr>
          <w:b/>
        </w:rPr>
        <w:t xml:space="preserve">• </w:t>
      </w:r>
      <w:r>
        <w:t>Advance payment may be required for copying and postage when records are mailed. No statewide general estimate threshold, deposit percentage, or clarification toll is specified.</w:t>
      </w:r>
    </w:p>
    <w:p>
      <w:pPr>
        <w:pStyle w:val="CompactList"/>
      </w:pPr>
      <w:r>
        <w:rPr>
          <w:b/>
        </w:rPr>
        <w:t xml:space="preserve">• </w:t>
      </w:r>
      <w:r>
        <w:t>The statutory withheld-record index requirement applies to an “agency” as specifically defined and does not automatically impose the same requirement on every city; a municipal withholding log is therefore a prudent local-policy option rather than a blanket statewide city mandate.</w:t>
      </w:r>
    </w:p>
    <w:p>
      <w:pPr>
        <w:pStyle w:val="Heading2"/>
      </w:pPr>
      <w:r>
        <w:t>Configuration-source legend</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088"/>
            <w:shd w:fill="17365D"/>
            <w:tcMar>
              <w:top w:w="70" w:type="dxa"/>
              <w:start w:w="80" w:type="dxa"/>
              <w:bottom w:w="70" w:type="dxa"/>
              <w:end w:w="80" w:type="dxa"/>
            </w:tcMar>
          </w:tcPr>
          <w:p>
            <w:pPr>
              <w:spacing w:after="0"/>
              <w:jc w:val="left"/>
            </w:pPr>
            <w:r>
              <w:rPr>
                <w:b/>
                <w:color w:val="FFFFFF"/>
                <w:sz w:val="16"/>
              </w:rPr>
              <w:t>Source type</w:t>
            </w:r>
          </w:p>
        </w:tc>
        <w:tc>
          <w:tcPr>
            <w:tcW w:type="dxa" w:w="8063"/>
            <w:shd w:fill="17365D"/>
            <w:tcMar>
              <w:top w:w="70" w:type="dxa"/>
              <w:start w:w="80" w:type="dxa"/>
              <w:bottom w:w="70" w:type="dxa"/>
              <w:end w:w="80" w:type="dxa"/>
            </w:tcMar>
          </w:tcPr>
          <w:p>
            <w:pPr>
              <w:spacing w:after="0"/>
              <w:jc w:val="left"/>
            </w:pPr>
            <w:r>
              <w:rPr>
                <w:b/>
                <w:color w:val="FFFFFF"/>
                <w:sz w:val="16"/>
              </w:rPr>
              <w:t>Meaning</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Statutory / statewide</w:t>
            </w:r>
          </w:p>
        </w:tc>
        <w:tc>
          <w:tcPr>
            <w:tcW w:type="dxa" w:w="8063"/>
            <w:tcMar>
              <w:top w:w="70" w:type="dxa"/>
              <w:start w:w="80" w:type="dxa"/>
              <w:bottom w:w="70" w:type="dxa"/>
              <w:end w:w="80" w:type="dxa"/>
            </w:tcMar>
            <w:vAlign w:val="top"/>
          </w:tcPr>
          <w:p>
            <w:pPr>
              <w:spacing w:after="0" w:line="240" w:lineRule="auto"/>
            </w:pPr>
            <w:r>
              <w:rPr>
                <w:rFonts w:ascii="Aptos" w:hAnsi="Aptos"/>
                <w:sz w:val="16"/>
              </w:rPr>
              <w:t>A value or rule supplied by binding statewide law or generally applicable regulation.</w:t>
            </w:r>
          </w:p>
        </w:tc>
      </w:tr>
      <w:tr>
        <w:trPr>
          <w:cantSplit/>
        </w:trPr>
        <w:tc>
          <w:tcPr>
            <w:tcW w:type="dxa" w:w="2088"/>
            <w:shd w:fill="FAFCFE"/>
            <w:tcMar>
              <w:top w:w="70" w:type="dxa"/>
              <w:start w:w="80" w:type="dxa"/>
              <w:bottom w:w="70" w:type="dxa"/>
              <w:end w:w="80" w:type="dxa"/>
            </w:tcMar>
            <w:vAlign w:val="top"/>
          </w:tcPr>
          <w:p>
            <w:pPr>
              <w:spacing w:after="0" w:line="240" w:lineRule="auto"/>
            </w:pPr>
            <w:r>
              <w:rPr>
                <w:rFonts w:ascii="Aptos" w:hAnsi="Aptos"/>
                <w:sz w:val="16"/>
              </w:rPr>
              <w:t>Jurisdiction policy</w:t>
            </w:r>
          </w:p>
        </w:tc>
        <w:tc>
          <w:tcPr>
            <w:tcW w:type="dxa" w:w="8063"/>
            <w:shd w:fill="FAFCFE"/>
            <w:tcMar>
              <w:top w:w="70" w:type="dxa"/>
              <w:start w:w="80" w:type="dxa"/>
              <w:bottom w:w="70" w:type="dxa"/>
              <w:end w:w="80" w:type="dxa"/>
            </w:tcMar>
            <w:vAlign w:val="top"/>
          </w:tcPr>
          <w:p>
            <w:pPr>
              <w:spacing w:after="0" w:line="240" w:lineRule="auto"/>
            </w:pPr>
            <w:r>
              <w:rPr>
                <w:rFonts w:ascii="Aptos" w:hAnsi="Aptos"/>
                <w:sz w:val="16"/>
              </w:rPr>
              <w:t>The state leaves a number, standard, workflow choice, rate, or notice practice to the city.</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Operational</w:t>
            </w:r>
          </w:p>
        </w:tc>
        <w:tc>
          <w:tcPr>
            <w:tcW w:type="dxa" w:w="8063"/>
            <w:tcMar>
              <w:top w:w="70" w:type="dxa"/>
              <w:start w:w="80" w:type="dxa"/>
              <w:bottom w:w="70" w:type="dxa"/>
              <w:end w:w="80" w:type="dxa"/>
            </w:tcMar>
            <w:vAlign w:val="top"/>
          </w:tcPr>
          <w:p>
            <w:pPr>
              <w:spacing w:after="0" w:line="240" w:lineRule="auto"/>
            </w:pPr>
            <w:r>
              <w:rPr>
                <w:rFonts w:ascii="Aptos" w:hAnsi="Aptos"/>
                <w:sz w:val="16"/>
              </w:rPr>
              <w:t>A workload-management choice that does not itself alter legal rights or deadlines.</w:t>
            </w:r>
          </w:p>
        </w:tc>
      </w:tr>
    </w:tbl>
    <w:p>
      <w:pPr>
        <w:pStyle w:val="Heading1"/>
      </w:pPr>
      <w:r>
        <w:t>1. Intake and initial legal review</w:t>
      </w:r>
    </w:p>
    <w:p>
      <w:pPr>
        <w:pStyle w:val="CompactList"/>
      </w:pPr>
      <w:r>
        <w:rPr>
          <w:b/>
        </w:rPr>
        <w:t xml:space="preserve">• </w:t>
      </w:r>
      <w:r>
        <w:t>Validate that the request reached the published authorized contact or centralized portal and record the receipt/automatic receipt.</w:t>
      </w:r>
    </w:p>
    <w:p>
      <w:pPr>
        <w:pStyle w:val="CompactList"/>
      </w:pPr>
      <w:r>
        <w:rPr>
          <w:b/>
        </w:rPr>
        <w:t xml:space="preserve">• </w:t>
      </w:r>
      <w:r>
        <w:t>If no qualifying portal receipt exists, calculate five business days for acknowledgment.</w:t>
      </w:r>
    </w:p>
    <w:p>
      <w:pPr>
        <w:pStyle w:val="CompactList"/>
      </w:pPr>
      <w:r>
        <w:rPr>
          <w:b/>
        </w:rPr>
        <w:t xml:space="preserve">• </w:t>
      </w:r>
      <w:r>
        <w:t>Capture the requester’s commercial/noncommercial affirmation and, for commercial use, the required statement of intended use.</w:t>
      </w:r>
    </w:p>
    <w:p>
      <w:pPr>
        <w:pStyle w:val="CompactList"/>
      </w:pPr>
      <w:r>
        <w:rPr>
          <w:b/>
        </w:rPr>
        <w:t xml:space="preserve">• </w:t>
      </w:r>
      <w:r>
        <w:t>Determine whether the city can promptly furnish existing records, whether copies/postage require advance payment, and whether exemptions or confidentiality apply.</w:t>
      </w:r>
    </w:p>
    <w:p>
      <w:pPr>
        <w:pStyle w:val="Heading1"/>
      </w:pPr>
      <w:r>
        <w:t>2. Deadline and required-communication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872"/>
            <w:shd w:fill="17365D"/>
            <w:tcMar>
              <w:top w:w="70" w:type="dxa"/>
              <w:start w:w="80" w:type="dxa"/>
              <w:bottom w:w="70" w:type="dxa"/>
              <w:end w:w="80" w:type="dxa"/>
            </w:tcMar>
          </w:tcPr>
          <w:p>
            <w:pPr>
              <w:spacing w:after="0"/>
              <w:jc w:val="left"/>
            </w:pPr>
            <w:r>
              <w:rPr>
                <w:b/>
                <w:color w:val="FFFFFF"/>
                <w:sz w:val="15"/>
              </w:rPr>
              <w:t>Trigger / deadline</w:t>
            </w:r>
          </w:p>
        </w:tc>
        <w:tc>
          <w:tcPr>
            <w:tcW w:type="dxa" w:w="4752"/>
            <w:shd w:fill="17365D"/>
            <w:tcMar>
              <w:top w:w="70" w:type="dxa"/>
              <w:start w:w="80" w:type="dxa"/>
              <w:bottom w:w="70" w:type="dxa"/>
              <w:end w:w="80" w:type="dxa"/>
            </w:tcMar>
          </w:tcPr>
          <w:p>
            <w:pPr>
              <w:spacing w:after="0"/>
              <w:jc w:val="left"/>
            </w:pPr>
            <w:r>
              <w:rPr>
                <w:b/>
                <w:color w:val="FFFFFF"/>
                <w:sz w:val="15"/>
              </w:rPr>
              <w:t>Required outcome or communication</w:t>
            </w:r>
          </w:p>
        </w:tc>
        <w:tc>
          <w:tcPr>
            <w:tcW w:type="dxa" w:w="1655"/>
            <w:shd w:fill="17365D"/>
            <w:tcMar>
              <w:top w:w="70" w:type="dxa"/>
              <w:start w:w="80" w:type="dxa"/>
              <w:bottom w:w="70" w:type="dxa"/>
              <w:end w:w="80" w:type="dxa"/>
            </w:tcMar>
          </w:tcPr>
          <w:p>
            <w:pPr>
              <w:spacing w:after="0"/>
              <w:jc w:val="left"/>
            </w:pPr>
            <w:r>
              <w:rPr>
                <w:b/>
                <w:color w:val="FFFFFF"/>
                <w:sz w:val="15"/>
              </w:rPr>
              <w:t>Clock effect</w:t>
            </w:r>
          </w:p>
        </w:tc>
        <w:tc>
          <w:tcPr>
            <w:tcW w:type="dxa" w:w="1872"/>
            <w:shd w:fill="17365D"/>
            <w:tcMar>
              <w:top w:w="70" w:type="dxa"/>
              <w:start w:w="80" w:type="dxa"/>
              <w:bottom w:w="70" w:type="dxa"/>
              <w:end w:w="80" w:type="dxa"/>
            </w:tcMar>
          </w:tcPr>
          <w:p>
            <w:pPr>
              <w:spacing w:after="0"/>
              <w:jc w:val="left"/>
            </w:pPr>
            <w:r>
              <w:rPr>
                <w:b/>
                <w:color w:val="FFFFFF"/>
                <w:sz w:val="15"/>
              </w:rPr>
              <w:t>Source</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Within 5 business days</w:t>
            </w:r>
          </w:p>
        </w:tc>
        <w:tc>
          <w:tcPr>
            <w:tcW w:type="dxa" w:w="4752"/>
            <w:tcMar>
              <w:top w:w="70" w:type="dxa"/>
              <w:start w:w="80" w:type="dxa"/>
              <w:bottom w:w="70" w:type="dxa"/>
              <w:end w:w="80" w:type="dxa"/>
            </w:tcMar>
            <w:vAlign w:val="top"/>
          </w:tcPr>
          <w:p>
            <w:pPr>
              <w:spacing w:after="0" w:line="240" w:lineRule="auto"/>
            </w:pPr>
            <w:r>
              <w:rPr>
                <w:rFonts w:ascii="Aptos" w:hAnsi="Aptos"/>
                <w:sz w:val="15"/>
              </w:rPr>
              <w:t>Authorized contact acknowledges receipt unless qualifying centralized portal issued receipt.</w:t>
            </w:r>
          </w:p>
        </w:tc>
        <w:tc>
          <w:tcPr>
            <w:tcW w:type="dxa" w:w="1655"/>
            <w:tcMar>
              <w:top w:w="70" w:type="dxa"/>
              <w:start w:w="80" w:type="dxa"/>
              <w:bottom w:w="70" w:type="dxa"/>
              <w:end w:w="80" w:type="dxa"/>
            </w:tcMar>
            <w:vAlign w:val="top"/>
          </w:tcPr>
          <w:p>
            <w:pPr>
              <w:spacing w:after="0" w:line="240" w:lineRule="auto"/>
            </w:pPr>
            <w:r>
              <w:rPr>
                <w:rFonts w:ascii="Aptos" w:hAnsi="Aptos"/>
                <w:sz w:val="15"/>
              </w:rPr>
              <w:t>Acknowledgment timer completed.</w:t>
            </w:r>
          </w:p>
        </w:tc>
        <w:tc>
          <w:tcPr>
            <w:tcW w:type="dxa" w:w="1872"/>
            <w:tcMar>
              <w:top w:w="70" w:type="dxa"/>
              <w:start w:w="80" w:type="dxa"/>
              <w:bottom w:w="70" w:type="dxa"/>
              <w:end w:w="80" w:type="dxa"/>
            </w:tcMar>
            <w:vAlign w:val="top"/>
          </w:tcPr>
          <w:p>
            <w:pPr>
              <w:spacing w:after="0" w:line="240" w:lineRule="auto"/>
            </w:pPr>
            <w:r>
              <w:rPr>
                <w:rFonts w:ascii="Aptos" w:hAnsi="Aptos"/>
                <w:sz w:val="15"/>
              </w:rPr>
              <w:t>A.R.S. §39-171</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Promptly</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Furnish copies, printouts, photographs, or inspection access.</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Qualitative production timer.</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§39-121.01(D)</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Commercial-purpose Governor application</w:t>
            </w:r>
          </w:p>
        </w:tc>
        <w:tc>
          <w:tcPr>
            <w:tcW w:type="dxa" w:w="4752"/>
            <w:tcMar>
              <w:top w:w="70" w:type="dxa"/>
              <w:start w:w="80" w:type="dxa"/>
              <w:bottom w:w="70" w:type="dxa"/>
              <w:end w:w="80" w:type="dxa"/>
            </w:tcMar>
            <w:vAlign w:val="top"/>
          </w:tcPr>
          <w:p>
            <w:pPr>
              <w:spacing w:after="0" w:line="240" w:lineRule="auto"/>
            </w:pPr>
            <w:r>
              <w:rPr>
                <w:rFonts w:ascii="Aptos" w:hAnsi="Aptos"/>
                <w:sz w:val="15"/>
              </w:rPr>
              <w:t>If city challenges use as misuse/abuse and no order issues within 30 days, provide copies upon payment of calculated fee.</w:t>
            </w:r>
          </w:p>
        </w:tc>
        <w:tc>
          <w:tcPr>
            <w:tcW w:type="dxa" w:w="1655"/>
            <w:tcMar>
              <w:top w:w="70" w:type="dxa"/>
              <w:start w:w="80" w:type="dxa"/>
              <w:bottom w:w="70" w:type="dxa"/>
              <w:end w:w="80" w:type="dxa"/>
            </w:tcMar>
            <w:vAlign w:val="top"/>
          </w:tcPr>
          <w:p>
            <w:pPr>
              <w:spacing w:after="0" w:line="240" w:lineRule="auto"/>
            </w:pPr>
            <w:r>
              <w:rPr>
                <w:rFonts w:ascii="Aptos" w:hAnsi="Aptos"/>
                <w:sz w:val="15"/>
              </w:rPr>
              <w:t>External-review timer.</w:t>
            </w:r>
          </w:p>
        </w:tc>
        <w:tc>
          <w:tcPr>
            <w:tcW w:type="dxa" w:w="1872"/>
            <w:tcMar>
              <w:top w:w="70" w:type="dxa"/>
              <w:start w:w="80" w:type="dxa"/>
              <w:bottom w:w="70" w:type="dxa"/>
              <w:end w:w="80" w:type="dxa"/>
            </w:tcMar>
            <w:vAlign w:val="top"/>
          </w:tcPr>
          <w:p>
            <w:pPr>
              <w:spacing w:after="0" w:line="240" w:lineRule="auto"/>
            </w:pPr>
            <w:r>
              <w:rPr>
                <w:rFonts w:ascii="Aptos" w:hAnsi="Aptos"/>
                <w:sz w:val="15"/>
              </w:rPr>
              <w:t>§39-121.03(B)</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Denial / delayed response</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Failure to respond promptly is deemed denial.</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Judicial special-action risk.</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§39-121.01(E)</w:t>
            </w:r>
          </w:p>
        </w:tc>
      </w:tr>
    </w:tbl>
    <w:p>
      <w:pPr>
        <w:pStyle w:val="Heading1"/>
      </w:pPr>
      <w:r>
        <w:t>3. Vague, unclear, or overly broad requests</w:t>
      </w:r>
    </w:p>
    <w:p>
      <w:pPr>
        <w:pStyle w:val="CompactList"/>
      </w:pPr>
      <w:r>
        <w:rPr>
          <w:b/>
        </w:rPr>
        <w:t xml:space="preserve">• </w:t>
      </w:r>
      <w:r>
        <w:t>Arizona does not specify a statewide clarification deadline, tolling rule, or abandonment period.</w:t>
      </w:r>
    </w:p>
    <w:p>
      <w:pPr>
        <w:pStyle w:val="CompactList"/>
      </w:pPr>
      <w:r>
        <w:rPr>
          <w:b/>
        </w:rPr>
        <w:t xml:space="preserve">• </w:t>
      </w:r>
      <w:r>
        <w:t>The prompt-response standard supports early clarification when the description does not allow the custodian to identify records. The city should explain what information is needed and continue any searchable portion.</w:t>
      </w:r>
    </w:p>
    <w:p>
      <w:pPr>
        <w:pStyle w:val="CompactList"/>
      </w:pPr>
      <w:r>
        <w:rPr>
          <w:b/>
        </w:rPr>
        <w:t xml:space="preserve">• </w:t>
      </w:r>
      <w:r>
        <w:t>The city generally need not create a new record merely to answer a request, subject to the form in which existing electronic information can be produced.</w:t>
      </w:r>
    </w:p>
    <w:p>
      <w:pPr>
        <w:pStyle w:val="CompactList"/>
      </w:pPr>
      <w:r>
        <w:rPr>
          <w:b/>
        </w:rPr>
        <w:t xml:space="preserve">• </w:t>
      </w:r>
      <w:r>
        <w:t>Any numeric requester-response or closure period must come from municipal policy.</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Engine treatment: </w:t>
            </w:r>
            <w:r>
              <w:t>Maintain the five-business-day acknowledgment and qualitative prompt timer. Use clarification as a local-policy task with no automatic statewide toll; preserve the original and clarified scope and any new estimated date.</w:t>
            </w:r>
          </w:p>
        </w:tc>
      </w:tr>
    </w:tbl>
    <w:p>
      <w:pPr>
        <w:pStyle w:val="Heading1"/>
      </w:pPr>
      <w:r>
        <w:t>4. Denial, withholding, and partial production</w:t>
      </w:r>
    </w:p>
    <w:p>
      <w:pPr>
        <w:pStyle w:val="CompactList"/>
      </w:pPr>
      <w:r>
        <w:rPr>
          <w:b/>
        </w:rPr>
        <w:t xml:space="preserve">• </w:t>
      </w:r>
      <w:r>
        <w:t>Failure to respond promptly is deemed a denial and can be challenged by special action.</w:t>
      </w:r>
    </w:p>
    <w:p>
      <w:pPr>
        <w:pStyle w:val="CompactList"/>
      </w:pPr>
      <w:r>
        <w:rPr>
          <w:b/>
        </w:rPr>
        <w:t xml:space="preserve">• </w:t>
      </w:r>
      <w:r>
        <w:t>For state “agencies” within the special statutory definition, a requester may obtain an index of withheld records/categories and reasons; the statute does not automatically compel every city as a non-agency public body to provide the index.</w:t>
      </w:r>
    </w:p>
    <w:p>
      <w:pPr>
        <w:pStyle w:val="CompactList"/>
      </w:pPr>
      <w:r>
        <w:rPr>
          <w:b/>
        </w:rPr>
        <w:t xml:space="preserve">• </w:t>
      </w:r>
      <w:r>
        <w:t>Cities should nevertheless configure a written denial/withholding explanation with authority and record/category detail to support defensibility and judicial review.</w:t>
      </w:r>
    </w:p>
    <w:p>
      <w:pPr>
        <w:pStyle w:val="CompactList"/>
      </w:pPr>
      <w:r>
        <w:rPr>
          <w:b/>
        </w:rPr>
        <w:t xml:space="preserve">• </w:t>
      </w:r>
      <w:r>
        <w:t>Segregable public content should be produced after protecting confidential information.</w:t>
      </w:r>
    </w:p>
    <w:p>
      <w:pPr>
        <w:pStyle w:val="Heading1"/>
      </w:pPr>
      <w:r>
        <w:t>5. Request classification and processing tracks</w:t>
      </w:r>
    </w:p>
    <w:p>
      <w:pPr>
        <w:pStyle w:val="CompactList"/>
      </w:pPr>
      <w:r>
        <w:rPr>
          <w:b/>
        </w:rPr>
        <w:t xml:space="preserve">• </w:t>
      </w:r>
      <w:r>
        <w:t>Commercial versus noncommercial purpose is a statutory classification that changes intake statements, fees, misuse review, and potential damages.</w:t>
      </w:r>
    </w:p>
    <w:p>
      <w:pPr>
        <w:pStyle w:val="CompactList"/>
      </w:pPr>
      <w:r>
        <w:rPr>
          <w:b/>
        </w:rPr>
        <w:t xml:space="preserve">• </w:t>
      </w:r>
      <w:r>
        <w:t>No statewide simple/complex classification changes the prompt-production standard.</w:t>
      </w:r>
    </w:p>
    <w:p>
      <w:pPr>
        <w:pStyle w:val="CompactList"/>
      </w:pPr>
      <w:r>
        <w:rPr>
          <w:b/>
        </w:rPr>
        <w:t xml:space="preserve">• </w:t>
      </w:r>
      <w:r>
        <w:t>Portal receipt versus manual acknowledgment is a legal intake classification because it determines whether the five-business-day acknowledgment is required.</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024"/>
            <w:shd w:fill="17365D"/>
            <w:tcMar>
              <w:top w:w="70" w:type="dxa"/>
              <w:start w:w="80" w:type="dxa"/>
              <w:bottom w:w="70" w:type="dxa"/>
              <w:end w:w="80" w:type="dxa"/>
            </w:tcMar>
          </w:tcPr>
          <w:p>
            <w:pPr>
              <w:spacing w:after="0"/>
              <w:jc w:val="left"/>
            </w:pPr>
            <w:r>
              <w:rPr>
                <w:b/>
                <w:color w:val="FFFFFF"/>
                <w:sz w:val="15"/>
              </w:rPr>
              <w:t>Classification / flag</w:t>
            </w:r>
          </w:p>
        </w:tc>
        <w:tc>
          <w:tcPr>
            <w:tcW w:type="dxa" w:w="1944"/>
            <w:shd w:fill="17365D"/>
            <w:tcMar>
              <w:top w:w="70" w:type="dxa"/>
              <w:start w:w="80" w:type="dxa"/>
              <w:bottom w:w="70" w:type="dxa"/>
              <w:end w:w="80" w:type="dxa"/>
            </w:tcMar>
          </w:tcPr>
          <w:p>
            <w:pPr>
              <w:spacing w:after="0"/>
              <w:jc w:val="left"/>
            </w:pPr>
            <w:r>
              <w:rPr>
                <w:b/>
                <w:color w:val="FFFFFF"/>
                <w:sz w:val="15"/>
              </w:rPr>
              <w:t>Legal or operational?</w:t>
            </w:r>
          </w:p>
        </w:tc>
        <w:tc>
          <w:tcPr>
            <w:tcW w:type="dxa" w:w="4752"/>
            <w:shd w:fill="17365D"/>
            <w:tcMar>
              <w:top w:w="70" w:type="dxa"/>
              <w:start w:w="80" w:type="dxa"/>
              <w:bottom w:w="70" w:type="dxa"/>
              <w:end w:w="80" w:type="dxa"/>
            </w:tcMar>
          </w:tcPr>
          <w:p>
            <w:pPr>
              <w:spacing w:after="0"/>
              <w:jc w:val="left"/>
            </w:pPr>
            <w:r>
              <w:rPr>
                <w:b/>
                <w:color w:val="FFFFFF"/>
                <w:sz w:val="15"/>
              </w:rPr>
              <w:t>Workflow consequence</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Noncommercial</w:t>
            </w:r>
          </w:p>
        </w:tc>
        <w:tc>
          <w:tcPr>
            <w:tcW w:type="dxa" w:w="1944"/>
            <w:tcMar>
              <w:top w:w="70" w:type="dxa"/>
              <w:start w:w="80" w:type="dxa"/>
              <w:bottom w:w="70" w:type="dxa"/>
              <w:end w:w="80" w:type="dxa"/>
            </w:tcMar>
            <w:vAlign w:val="top"/>
          </w:tcPr>
          <w:p>
            <w:pPr>
              <w:spacing w:after="0" w:line="240" w:lineRule="auto"/>
            </w:pPr>
            <w:r>
              <w:rPr>
                <w:rFonts w:ascii="Aptos" w:hAnsi="Aptos"/>
                <w:sz w:val="15"/>
              </w:rPr>
              <w:t>Statutory class</w:t>
            </w:r>
          </w:p>
        </w:tc>
        <w:tc>
          <w:tcPr>
            <w:tcW w:type="dxa" w:w="4752"/>
            <w:tcMar>
              <w:top w:w="70" w:type="dxa"/>
              <w:start w:w="80" w:type="dxa"/>
              <w:bottom w:w="70" w:type="dxa"/>
              <w:end w:w="80" w:type="dxa"/>
            </w:tcMar>
            <w:vAlign w:val="top"/>
          </w:tcPr>
          <w:p>
            <w:pPr>
              <w:spacing w:after="0" w:line="240" w:lineRule="auto"/>
            </w:pPr>
            <w:r>
              <w:rPr>
                <w:rFonts w:ascii="Aptos" w:hAnsi="Aptos"/>
                <w:sz w:val="15"/>
              </w:rPr>
              <w:t>Ordinary prompt access and ordinary copying charges.</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Commercial purpose</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Statutory class</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Purpose statement; three-part commercial fee; possible Governor application.</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Portal auto-receipt</w:t>
            </w:r>
          </w:p>
        </w:tc>
        <w:tc>
          <w:tcPr>
            <w:tcW w:type="dxa" w:w="1944"/>
            <w:tcMar>
              <w:top w:w="70" w:type="dxa"/>
              <w:start w:w="80" w:type="dxa"/>
              <w:bottom w:w="70" w:type="dxa"/>
              <w:end w:w="80" w:type="dxa"/>
            </w:tcMar>
            <w:vAlign w:val="top"/>
          </w:tcPr>
          <w:p>
            <w:pPr>
              <w:spacing w:after="0" w:line="240" w:lineRule="auto"/>
            </w:pPr>
            <w:r>
              <w:rPr>
                <w:rFonts w:ascii="Aptos" w:hAnsi="Aptos"/>
                <w:sz w:val="15"/>
              </w:rPr>
              <w:t>Statutory intake flag</w:t>
            </w:r>
          </w:p>
        </w:tc>
        <w:tc>
          <w:tcPr>
            <w:tcW w:type="dxa" w:w="4752"/>
            <w:tcMar>
              <w:top w:w="70" w:type="dxa"/>
              <w:start w:w="80" w:type="dxa"/>
              <w:bottom w:w="70" w:type="dxa"/>
              <w:end w:w="80" w:type="dxa"/>
            </w:tcMar>
            <w:vAlign w:val="top"/>
          </w:tcPr>
          <w:p>
            <w:pPr>
              <w:spacing w:after="0" w:line="240" w:lineRule="auto"/>
            </w:pPr>
            <w:r>
              <w:rPr>
                <w:rFonts w:ascii="Aptos" w:hAnsi="Aptos"/>
                <w:sz w:val="15"/>
              </w:rPr>
              <w:t>No separate five-day acknowledgment under §39-171(B).</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Manual authorized contact</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Statutory intake flag</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Acknowledgment within five business days.</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Simple / complex</w:t>
            </w:r>
          </w:p>
        </w:tc>
        <w:tc>
          <w:tcPr>
            <w:tcW w:type="dxa" w:w="1944"/>
            <w:tcMar>
              <w:top w:w="70" w:type="dxa"/>
              <w:start w:w="80" w:type="dxa"/>
              <w:bottom w:w="70" w:type="dxa"/>
              <w:end w:w="80" w:type="dxa"/>
            </w:tcMar>
            <w:vAlign w:val="top"/>
          </w:tcPr>
          <w:p>
            <w:pPr>
              <w:spacing w:after="0" w:line="240" w:lineRule="auto"/>
            </w:pPr>
            <w:r>
              <w:rPr>
                <w:rFonts w:ascii="Aptos" w:hAnsi="Aptos"/>
                <w:sz w:val="15"/>
              </w:rPr>
              <w:t>Operational</w:t>
            </w:r>
          </w:p>
        </w:tc>
        <w:tc>
          <w:tcPr>
            <w:tcW w:type="dxa" w:w="4752"/>
            <w:tcMar>
              <w:top w:w="70" w:type="dxa"/>
              <w:start w:w="80" w:type="dxa"/>
              <w:bottom w:w="70" w:type="dxa"/>
              <w:end w:w="80" w:type="dxa"/>
            </w:tcMar>
            <w:vAlign w:val="top"/>
          </w:tcPr>
          <w:p>
            <w:pPr>
              <w:spacing w:after="0" w:line="240" w:lineRule="auto"/>
            </w:pPr>
            <w:r>
              <w:rPr>
                <w:rFonts w:ascii="Aptos" w:hAnsi="Aptos"/>
                <w:sz w:val="15"/>
              </w:rPr>
              <w:t>Internal target only; prompt standard remains.</w:t>
            </w:r>
          </w:p>
        </w:tc>
      </w:tr>
    </w:tbl>
    <w:p>
      <w:pPr>
        <w:pStyle w:val="Heading1"/>
      </w:pPr>
      <w:r>
        <w:t>6. Fees, estimates, deposits, and payment timing</w:t>
      </w:r>
    </w:p>
    <w:p>
      <w:pPr>
        <w:pStyle w:val="CompactList"/>
      </w:pPr>
      <w:r>
        <w:rPr>
          <w:b/>
        </w:rPr>
        <w:t xml:space="preserve">• </w:t>
      </w:r>
      <w:r>
        <w:t>For mailed copies, the custodian may require advance payment of copying and postage charges.</w:t>
      </w:r>
    </w:p>
    <w:p>
      <w:pPr>
        <w:pStyle w:val="CompactList"/>
      </w:pPr>
      <w:r>
        <w:rPr>
          <w:b/>
        </w:rPr>
        <w:t xml:space="preserve">• </w:t>
      </w:r>
      <w:r>
        <w:t>For commercial-purpose copies, the charge may include a portion of acquisition cost, a reasonable fee for time/materials/equipment/personnel, and the reproduction’s commercial-market value as best determined by the public body.</w:t>
      </w:r>
    </w:p>
    <w:p>
      <w:pPr>
        <w:pStyle w:val="CompactList"/>
      </w:pPr>
      <w:r>
        <w:rPr>
          <w:b/>
        </w:rPr>
        <w:t xml:space="preserve">• </w:t>
      </w:r>
      <w:r>
        <w:t>Commercial-purpose requesters must provide a statement of use. Misstatement or later commercial misuse can create treble-damages exposure.</w:t>
      </w:r>
    </w:p>
    <w:p>
      <w:pPr>
        <w:pStyle w:val="CompactList"/>
      </w:pPr>
      <w:r>
        <w:rPr>
          <w:b/>
        </w:rPr>
        <w:t xml:space="preserve">• </w:t>
      </w:r>
      <w:r>
        <w:t>Arizona does not provide a general statewide municipal estimate threshold or deposit percentage; local policy should define quotes and payment while preserving prompt access.</w:t>
      </w:r>
    </w:p>
    <w:p>
      <w:pPr>
        <w:pStyle w:val="CompactList"/>
      </w:pPr>
      <w:r>
        <w:rPr>
          <w:b/>
        </w:rPr>
        <w:t xml:space="preserve">• </w:t>
      </w:r>
      <w:r>
        <w:t>Noncommercial copy charges should be tied to lawful reasonable reproduction costs and any specific fee statutes.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448"/>
            <w:shd w:fill="17365D"/>
            <w:tcMar>
              <w:top w:w="70" w:type="dxa"/>
              <w:start w:w="80" w:type="dxa"/>
              <w:bottom w:w="70" w:type="dxa"/>
              <w:end w:w="80" w:type="dxa"/>
            </w:tcMar>
          </w:tcPr>
          <w:p>
            <w:pPr>
              <w:spacing w:after="0"/>
              <w:jc w:val="left"/>
            </w:pPr>
            <w:r>
              <w:rPr>
                <w:b/>
                <w:color w:val="FFFFFF"/>
                <w:sz w:val="15"/>
              </w:rPr>
              <w:t>Fee event</w:t>
            </w:r>
          </w:p>
        </w:tc>
        <w:tc>
          <w:tcPr>
            <w:tcW w:type="dxa" w:w="4536"/>
            <w:shd w:fill="17365D"/>
            <w:tcMar>
              <w:top w:w="70" w:type="dxa"/>
              <w:start w:w="80" w:type="dxa"/>
              <w:bottom w:w="70" w:type="dxa"/>
              <w:end w:w="80" w:type="dxa"/>
            </w:tcMar>
          </w:tcPr>
          <w:p>
            <w:pPr>
              <w:spacing w:after="0"/>
              <w:jc w:val="left"/>
            </w:pPr>
            <w:r>
              <w:rPr>
                <w:b/>
                <w:color w:val="FFFFFF"/>
                <w:sz w:val="15"/>
              </w:rPr>
              <w:t>Statewide rule</w:t>
            </w:r>
          </w:p>
        </w:tc>
        <w:tc>
          <w:tcPr>
            <w:tcW w:type="dxa" w:w="2736"/>
            <w:shd w:fill="17365D"/>
            <w:tcMar>
              <w:top w:w="70" w:type="dxa"/>
              <w:start w:w="80" w:type="dxa"/>
              <w:bottom w:w="70" w:type="dxa"/>
              <w:end w:w="80" w:type="dxa"/>
            </w:tcMar>
          </w:tcPr>
          <w:p>
            <w:pPr>
              <w:spacing w:after="0"/>
              <w:jc w:val="left"/>
            </w:pPr>
            <w:r>
              <w:rPr>
                <w:b/>
                <w:color w:val="FFFFFF"/>
                <w:sz w:val="15"/>
              </w:rPr>
              <w:t>Configurable city value</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Noncommercial copies</w:t>
            </w:r>
          </w:p>
        </w:tc>
        <w:tc>
          <w:tcPr>
            <w:tcW w:type="dxa" w:w="4536"/>
            <w:tcMar>
              <w:top w:w="70" w:type="dxa"/>
              <w:start w:w="80" w:type="dxa"/>
              <w:bottom w:w="70" w:type="dxa"/>
              <w:end w:w="80" w:type="dxa"/>
            </w:tcMar>
            <w:vAlign w:val="top"/>
          </w:tcPr>
          <w:p>
            <w:pPr>
              <w:spacing w:after="0" w:line="240" w:lineRule="auto"/>
            </w:pPr>
            <w:r>
              <w:rPr>
                <w:rFonts w:ascii="Aptos" w:hAnsi="Aptos"/>
                <w:sz w:val="15"/>
              </w:rPr>
              <w:t>Prompt furnishing; lawful copy fee; advance copy/postage for mail allowed.</w:t>
            </w:r>
          </w:p>
        </w:tc>
        <w:tc>
          <w:tcPr>
            <w:tcW w:type="dxa" w:w="2736"/>
            <w:tcMar>
              <w:top w:w="70" w:type="dxa"/>
              <w:start w:w="80" w:type="dxa"/>
              <w:bottom w:w="70" w:type="dxa"/>
              <w:end w:w="80" w:type="dxa"/>
            </w:tcMar>
            <w:vAlign w:val="top"/>
          </w:tcPr>
          <w:p>
            <w:pPr>
              <w:spacing w:after="0" w:line="240" w:lineRule="auto"/>
            </w:pPr>
            <w:r>
              <w:rPr>
                <w:rFonts w:ascii="Aptos" w:hAnsi="Aptos"/>
                <w:sz w:val="15"/>
              </w:rPr>
              <w:t>Rate schedule, estimate threshold, payment methods.</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Commercial copies</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Acquisition portion + reasonable production resources + market value.</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Valuation method, approver, itemized statement.</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Commercial misuse review</w:t>
            </w:r>
          </w:p>
        </w:tc>
        <w:tc>
          <w:tcPr>
            <w:tcW w:type="dxa" w:w="4536"/>
            <w:tcMar>
              <w:top w:w="70" w:type="dxa"/>
              <w:start w:w="80" w:type="dxa"/>
              <w:bottom w:w="70" w:type="dxa"/>
              <w:end w:w="80" w:type="dxa"/>
            </w:tcMar>
            <w:vAlign w:val="top"/>
          </w:tcPr>
          <w:p>
            <w:pPr>
              <w:spacing w:after="0" w:line="240" w:lineRule="auto"/>
            </w:pPr>
            <w:r>
              <w:rPr>
                <w:rFonts w:ascii="Aptos" w:hAnsi="Aptos"/>
                <w:sz w:val="15"/>
              </w:rPr>
              <w:t>Governor application; 30-day no-order consequence.</w:t>
            </w:r>
          </w:p>
        </w:tc>
        <w:tc>
          <w:tcPr>
            <w:tcW w:type="dxa" w:w="2736"/>
            <w:tcMar>
              <w:top w:w="70" w:type="dxa"/>
              <w:start w:w="80" w:type="dxa"/>
              <w:bottom w:w="70" w:type="dxa"/>
              <w:end w:w="80" w:type="dxa"/>
            </w:tcMar>
            <w:vAlign w:val="top"/>
          </w:tcPr>
          <w:p>
            <w:pPr>
              <w:spacing w:after="0" w:line="240" w:lineRule="auto"/>
            </w:pPr>
            <w:r>
              <w:rPr>
                <w:rFonts w:ascii="Aptos" w:hAnsi="Aptos"/>
                <w:sz w:val="15"/>
              </w:rPr>
              <w:t>Legal approval and status notices.</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Estimate / deposit</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No universal formula.</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Threshold, advance amount, reconciliation.</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Fee waiver</w:t>
            </w:r>
          </w:p>
        </w:tc>
        <w:tc>
          <w:tcPr>
            <w:tcW w:type="dxa" w:w="4536"/>
            <w:tcMar>
              <w:top w:w="70" w:type="dxa"/>
              <w:start w:w="80" w:type="dxa"/>
              <w:bottom w:w="70" w:type="dxa"/>
              <w:end w:w="80" w:type="dxa"/>
            </w:tcMar>
            <w:vAlign w:val="top"/>
          </w:tcPr>
          <w:p>
            <w:pPr>
              <w:spacing w:after="0" w:line="240" w:lineRule="auto"/>
            </w:pPr>
            <w:r>
              <w:rPr>
                <w:rFonts w:ascii="Aptos" w:hAnsi="Aptos"/>
                <w:sz w:val="15"/>
              </w:rPr>
              <w:t>No general rule in cited sections.</w:t>
            </w:r>
          </w:p>
        </w:tc>
        <w:tc>
          <w:tcPr>
            <w:tcW w:type="dxa" w:w="2736"/>
            <w:tcMar>
              <w:top w:w="70" w:type="dxa"/>
              <w:start w:w="80" w:type="dxa"/>
              <w:bottom w:w="70" w:type="dxa"/>
              <w:end w:w="80" w:type="dxa"/>
            </w:tcMar>
            <w:vAlign w:val="top"/>
          </w:tcPr>
          <w:p>
            <w:pPr>
              <w:spacing w:after="0" w:line="240" w:lineRule="auto"/>
            </w:pPr>
            <w:r>
              <w:rPr>
                <w:rFonts w:ascii="Aptos" w:hAnsi="Aptos"/>
                <w:sz w:val="15"/>
              </w:rPr>
              <w:t>Any specific/local authority and approval.</w:t>
            </w:r>
          </w:p>
        </w:tc>
      </w:tr>
    </w:tbl>
    <w:p>
      <w:pPr>
        <w:pStyle w:val="Heading1"/>
      </w:pPr>
      <w:r>
        <w:t>7. Normalized software rule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232"/>
            <w:shd w:fill="17365D"/>
            <w:tcMar>
              <w:top w:w="70" w:type="dxa"/>
              <w:start w:w="80" w:type="dxa"/>
              <w:bottom w:w="70" w:type="dxa"/>
              <w:end w:w="80" w:type="dxa"/>
            </w:tcMar>
          </w:tcPr>
          <w:p>
            <w:pPr>
              <w:spacing w:after="0"/>
              <w:jc w:val="left"/>
            </w:pPr>
            <w:r>
              <w:rPr>
                <w:b/>
                <w:color w:val="FFFFFF"/>
                <w:sz w:val="14"/>
              </w:rPr>
              <w:t>Rule / trigger</w:t>
            </w:r>
          </w:p>
        </w:tc>
        <w:tc>
          <w:tcPr>
            <w:tcW w:type="dxa" w:w="3168"/>
            <w:shd w:fill="17365D"/>
            <w:tcMar>
              <w:top w:w="70" w:type="dxa"/>
              <w:start w:w="80" w:type="dxa"/>
              <w:bottom w:w="70" w:type="dxa"/>
              <w:end w:w="80" w:type="dxa"/>
            </w:tcMar>
          </w:tcPr>
          <w:p>
            <w:pPr>
              <w:spacing w:after="0"/>
              <w:jc w:val="left"/>
            </w:pPr>
            <w:r>
              <w:rPr>
                <w:b/>
                <w:color w:val="FFFFFF"/>
                <w:sz w:val="14"/>
              </w:rPr>
              <w:t>Required system action</w:t>
            </w:r>
          </w:p>
        </w:tc>
        <w:tc>
          <w:tcPr>
            <w:tcW w:type="dxa" w:w="3024"/>
            <w:shd w:fill="17365D"/>
            <w:tcMar>
              <w:top w:w="70" w:type="dxa"/>
              <w:start w:w="80" w:type="dxa"/>
              <w:bottom w:w="70" w:type="dxa"/>
              <w:end w:w="80" w:type="dxa"/>
            </w:tcMar>
          </w:tcPr>
          <w:p>
            <w:pPr>
              <w:spacing w:after="0"/>
              <w:jc w:val="left"/>
            </w:pPr>
            <w:r>
              <w:rPr>
                <w:b/>
                <w:color w:val="FFFFFF"/>
                <w:sz w:val="14"/>
              </w:rPr>
              <w:t>Communication / deadline</w:t>
            </w:r>
          </w:p>
        </w:tc>
        <w:tc>
          <w:tcPr>
            <w:tcW w:type="dxa" w:w="2232"/>
            <w:shd w:fill="17365D"/>
            <w:tcMar>
              <w:top w:w="70" w:type="dxa"/>
              <w:start w:w="80" w:type="dxa"/>
              <w:bottom w:w="70" w:type="dxa"/>
              <w:end w:w="80" w:type="dxa"/>
            </w:tcMar>
          </w:tcPr>
          <w:p>
            <w:pPr>
              <w:spacing w:after="0"/>
              <w:jc w:val="left"/>
            </w:pPr>
            <w:r>
              <w:rPr>
                <w:b/>
                <w:color w:val="FFFFFF"/>
                <w:sz w:val="14"/>
              </w:rPr>
              <w:t>Clock / configuration</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Request received via portal</w:t>
            </w:r>
          </w:p>
        </w:tc>
        <w:tc>
          <w:tcPr>
            <w:tcW w:type="dxa" w:w="3168"/>
            <w:tcMar>
              <w:top w:w="70" w:type="dxa"/>
              <w:start w:w="80" w:type="dxa"/>
              <w:bottom w:w="70" w:type="dxa"/>
              <w:end w:w="80" w:type="dxa"/>
            </w:tcMar>
            <w:vAlign w:val="top"/>
          </w:tcPr>
          <w:p>
            <w:pPr>
              <w:spacing w:after="0" w:line="240" w:lineRule="auto"/>
            </w:pPr>
            <w:r>
              <w:rPr>
                <w:rFonts w:ascii="Aptos" w:hAnsi="Aptos"/>
                <w:sz w:val="14"/>
              </w:rPr>
              <w:t>Store automatic receipt; skip separate §39-171 acknowledgment.</w:t>
            </w:r>
          </w:p>
        </w:tc>
        <w:tc>
          <w:tcPr>
            <w:tcW w:type="dxa" w:w="3024"/>
            <w:tcMar>
              <w:top w:w="70" w:type="dxa"/>
              <w:start w:w="80" w:type="dxa"/>
              <w:bottom w:w="70" w:type="dxa"/>
              <w:end w:w="80" w:type="dxa"/>
            </w:tcMar>
            <w:vAlign w:val="top"/>
          </w:tcPr>
          <w:p>
            <w:pPr>
              <w:spacing w:after="0" w:line="240" w:lineRule="auto"/>
            </w:pPr>
            <w:r>
              <w:rPr>
                <w:rFonts w:ascii="Aptos" w:hAnsi="Aptos"/>
                <w:sz w:val="14"/>
              </w:rPr>
              <w:t>Portal receipt is evidence.</w:t>
            </w:r>
          </w:p>
        </w:tc>
        <w:tc>
          <w:tcPr>
            <w:tcW w:type="dxa" w:w="2232"/>
            <w:tcMar>
              <w:top w:w="70" w:type="dxa"/>
              <w:start w:w="80" w:type="dxa"/>
              <w:bottom w:w="70" w:type="dxa"/>
              <w:end w:w="80" w:type="dxa"/>
            </w:tcMar>
            <w:vAlign w:val="top"/>
          </w:tcPr>
          <w:p>
            <w:pPr>
              <w:spacing w:after="0" w:line="240" w:lineRule="auto"/>
            </w:pPr>
            <w:r>
              <w:rPr>
                <w:rFonts w:ascii="Aptos" w:hAnsi="Aptos"/>
                <w:sz w:val="14"/>
              </w:rPr>
              <w:t>Prompt production timer continues.</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Request received otherwise</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Route to published contact and acknowledge.</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Within five business days.</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Hard acknowledgment timer.</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Purpose classification</w:t>
            </w:r>
          </w:p>
        </w:tc>
        <w:tc>
          <w:tcPr>
            <w:tcW w:type="dxa" w:w="3168"/>
            <w:tcMar>
              <w:top w:w="70" w:type="dxa"/>
              <w:start w:w="80" w:type="dxa"/>
              <w:bottom w:w="70" w:type="dxa"/>
              <w:end w:w="80" w:type="dxa"/>
            </w:tcMar>
            <w:vAlign w:val="top"/>
          </w:tcPr>
          <w:p>
            <w:pPr>
              <w:spacing w:after="0" w:line="240" w:lineRule="auto"/>
            </w:pPr>
            <w:r>
              <w:rPr>
                <w:rFonts w:ascii="Aptos" w:hAnsi="Aptos"/>
                <w:sz w:val="14"/>
              </w:rPr>
              <w:t>Require noncommercial affirmation or commercial statement.</w:t>
            </w:r>
          </w:p>
        </w:tc>
        <w:tc>
          <w:tcPr>
            <w:tcW w:type="dxa" w:w="3024"/>
            <w:tcMar>
              <w:top w:w="70" w:type="dxa"/>
              <w:start w:w="80" w:type="dxa"/>
              <w:bottom w:w="70" w:type="dxa"/>
              <w:end w:w="80" w:type="dxa"/>
            </w:tcMar>
            <w:vAlign w:val="top"/>
          </w:tcPr>
          <w:p>
            <w:pPr>
              <w:spacing w:after="0" w:line="240" w:lineRule="auto"/>
            </w:pPr>
            <w:r>
              <w:rPr>
                <w:rFonts w:ascii="Aptos" w:hAnsi="Aptos"/>
                <w:sz w:val="14"/>
              </w:rPr>
              <w:t>Intake communication.</w:t>
            </w:r>
          </w:p>
        </w:tc>
        <w:tc>
          <w:tcPr>
            <w:tcW w:type="dxa" w:w="2232"/>
            <w:tcMar>
              <w:top w:w="70" w:type="dxa"/>
              <w:start w:w="80" w:type="dxa"/>
              <w:bottom w:w="70" w:type="dxa"/>
              <w:end w:w="80" w:type="dxa"/>
            </w:tcMar>
            <w:vAlign w:val="top"/>
          </w:tcPr>
          <w:p>
            <w:pPr>
              <w:spacing w:after="0" w:line="240" w:lineRule="auto"/>
            </w:pPr>
            <w:r>
              <w:rPr>
                <w:rFonts w:ascii="Aptos" w:hAnsi="Aptos"/>
                <w:sz w:val="14"/>
              </w:rPr>
              <w:t>Select fee/risk track.</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Records identifiable</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Search and furnish promptly.</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Status updates per city policy.</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Qualitative prompt timer.</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Request unclear</w:t>
            </w:r>
          </w:p>
        </w:tc>
        <w:tc>
          <w:tcPr>
            <w:tcW w:type="dxa" w:w="3168"/>
            <w:tcMar>
              <w:top w:w="70" w:type="dxa"/>
              <w:start w:w="80" w:type="dxa"/>
              <w:bottom w:w="70" w:type="dxa"/>
              <w:end w:w="80" w:type="dxa"/>
            </w:tcMar>
            <w:vAlign w:val="top"/>
          </w:tcPr>
          <w:p>
            <w:pPr>
              <w:spacing w:after="0" w:line="240" w:lineRule="auto"/>
            </w:pPr>
            <w:r>
              <w:rPr>
                <w:rFonts w:ascii="Aptos" w:hAnsi="Aptos"/>
                <w:sz w:val="14"/>
              </w:rPr>
              <w:t>Ask focused clarification; process clear portion.</w:t>
            </w:r>
          </w:p>
        </w:tc>
        <w:tc>
          <w:tcPr>
            <w:tcW w:type="dxa" w:w="3024"/>
            <w:tcMar>
              <w:top w:w="70" w:type="dxa"/>
              <w:start w:w="80" w:type="dxa"/>
              <w:bottom w:w="70" w:type="dxa"/>
              <w:end w:w="80" w:type="dxa"/>
            </w:tcMar>
            <w:vAlign w:val="top"/>
          </w:tcPr>
          <w:p>
            <w:pPr>
              <w:spacing w:after="0" w:line="240" w:lineRule="auto"/>
            </w:pPr>
            <w:r>
              <w:rPr>
                <w:rFonts w:ascii="Aptos" w:hAnsi="Aptos"/>
                <w:sz w:val="14"/>
              </w:rPr>
              <w:t>Early communication.</w:t>
            </w:r>
          </w:p>
        </w:tc>
        <w:tc>
          <w:tcPr>
            <w:tcW w:type="dxa" w:w="2232"/>
            <w:tcMar>
              <w:top w:w="70" w:type="dxa"/>
              <w:start w:w="80" w:type="dxa"/>
              <w:bottom w:w="70" w:type="dxa"/>
              <w:end w:w="80" w:type="dxa"/>
            </w:tcMar>
            <w:vAlign w:val="top"/>
          </w:tcPr>
          <w:p>
            <w:pPr>
              <w:spacing w:after="0" w:line="240" w:lineRule="auto"/>
            </w:pPr>
            <w:r>
              <w:rPr>
                <w:rFonts w:ascii="Aptos" w:hAnsi="Aptos"/>
                <w:sz w:val="14"/>
              </w:rPr>
              <w:t>No default toll.</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Commercial request</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Calculate three-part fee; if misuse/abuse suspected, route Governor application.</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Fee notice / external review.</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30-day external timer.</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Withholding applies</w:t>
            </w:r>
          </w:p>
        </w:tc>
        <w:tc>
          <w:tcPr>
            <w:tcW w:type="dxa" w:w="3168"/>
            <w:tcMar>
              <w:top w:w="70" w:type="dxa"/>
              <w:start w:w="80" w:type="dxa"/>
              <w:bottom w:w="70" w:type="dxa"/>
              <w:end w:w="80" w:type="dxa"/>
            </w:tcMar>
            <w:vAlign w:val="top"/>
          </w:tcPr>
          <w:p>
            <w:pPr>
              <w:spacing w:after="0" w:line="240" w:lineRule="auto"/>
            </w:pPr>
            <w:r>
              <w:rPr>
                <w:rFonts w:ascii="Aptos" w:hAnsi="Aptos"/>
                <w:sz w:val="14"/>
              </w:rPr>
              <w:t>Redact/segregate; document authority and categories.</w:t>
            </w:r>
          </w:p>
        </w:tc>
        <w:tc>
          <w:tcPr>
            <w:tcW w:type="dxa" w:w="3024"/>
            <w:tcMar>
              <w:top w:w="70" w:type="dxa"/>
              <w:start w:w="80" w:type="dxa"/>
              <w:bottom w:w="70" w:type="dxa"/>
              <w:end w:w="80" w:type="dxa"/>
            </w:tcMar>
            <w:vAlign w:val="top"/>
          </w:tcPr>
          <w:p>
            <w:pPr>
              <w:spacing w:after="0" w:line="240" w:lineRule="auto"/>
            </w:pPr>
            <w:r>
              <w:rPr>
                <w:rFonts w:ascii="Aptos" w:hAnsi="Aptos"/>
                <w:sz w:val="14"/>
              </w:rPr>
              <w:t>City denial notice; index if legally applicable.</w:t>
            </w:r>
          </w:p>
        </w:tc>
        <w:tc>
          <w:tcPr>
            <w:tcW w:type="dxa" w:w="2232"/>
            <w:tcMar>
              <w:top w:w="70" w:type="dxa"/>
              <w:start w:w="80" w:type="dxa"/>
              <w:bottom w:w="70" w:type="dxa"/>
              <w:end w:w="80" w:type="dxa"/>
            </w:tcMar>
            <w:vAlign w:val="top"/>
          </w:tcPr>
          <w:p>
            <w:pPr>
              <w:spacing w:after="0" w:line="240" w:lineRule="auto"/>
            </w:pPr>
            <w:r>
              <w:rPr>
                <w:rFonts w:ascii="Aptos" w:hAnsi="Aptos"/>
                <w:sz w:val="14"/>
              </w:rPr>
              <w:t>Judicial-review branch.</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Mail copies requested</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Calculate copy/postage and request advance payment.</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Payment instructions.</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Payment gate.</w:t>
            </w:r>
          </w:p>
        </w:tc>
      </w:tr>
    </w:tbl>
    <w:p>
      <w:pPr>
        <w:pStyle w:val="Heading1"/>
      </w:pPr>
      <w:r>
        <w:t>8. Required jurisdiction-configuration fields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168"/>
            <w:shd w:fill="17365D"/>
            <w:tcMar>
              <w:top w:w="70" w:type="dxa"/>
              <w:start w:w="80" w:type="dxa"/>
              <w:bottom w:w="70" w:type="dxa"/>
              <w:end w:w="80" w:type="dxa"/>
            </w:tcMar>
          </w:tcPr>
          <w:p>
            <w:pPr>
              <w:spacing w:after="0"/>
              <w:jc w:val="left"/>
            </w:pPr>
            <w:r>
              <w:rPr>
                <w:b/>
                <w:color w:val="FFFFFF"/>
                <w:sz w:val="15"/>
              </w:rPr>
              <w:t>Field</w:t>
            </w:r>
          </w:p>
        </w:tc>
        <w:tc>
          <w:tcPr>
            <w:tcW w:type="dxa" w:w="3240"/>
            <w:shd w:fill="17365D"/>
            <w:tcMar>
              <w:top w:w="70" w:type="dxa"/>
              <w:start w:w="80" w:type="dxa"/>
              <w:bottom w:w="70" w:type="dxa"/>
              <w:end w:w="80" w:type="dxa"/>
            </w:tcMar>
          </w:tcPr>
          <w:p>
            <w:pPr>
              <w:spacing w:after="0"/>
              <w:jc w:val="left"/>
            </w:pPr>
            <w:r>
              <w:rPr>
                <w:b/>
                <w:color w:val="FFFFFF"/>
                <w:sz w:val="15"/>
              </w:rPr>
              <w:t>State-supplied default</w:t>
            </w:r>
          </w:p>
        </w:tc>
        <w:tc>
          <w:tcPr>
            <w:tcW w:type="dxa" w:w="4248"/>
            <w:shd w:fill="17365D"/>
            <w:tcMar>
              <w:top w:w="70" w:type="dxa"/>
              <w:start w:w="80" w:type="dxa"/>
              <w:bottom w:w="70" w:type="dxa"/>
              <w:end w:w="80" w:type="dxa"/>
            </w:tcMar>
          </w:tcPr>
          <w:p>
            <w:pPr>
              <w:spacing w:after="0"/>
              <w:jc w:val="left"/>
            </w:pPr>
            <w:r>
              <w:rPr>
                <w:b/>
                <w:color w:val="FFFFFF"/>
                <w:sz w:val="15"/>
              </w:rPr>
              <w:t>City configuration needed</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Authorized contact / portal</w:t>
            </w:r>
          </w:p>
        </w:tc>
        <w:tc>
          <w:tcPr>
            <w:tcW w:type="dxa" w:w="3240"/>
            <w:tcMar>
              <w:top w:w="70" w:type="dxa"/>
              <w:start w:w="80" w:type="dxa"/>
              <w:bottom w:w="70" w:type="dxa"/>
              <w:end w:w="80" w:type="dxa"/>
            </w:tcMar>
            <w:vAlign w:val="top"/>
          </w:tcPr>
          <w:p>
            <w:pPr>
              <w:spacing w:after="0" w:line="240" w:lineRule="auto"/>
            </w:pPr>
            <w:r>
              <w:rPr>
                <w:rFonts w:ascii="Aptos" w:hAnsi="Aptos"/>
                <w:sz w:val="15"/>
              </w:rPr>
              <w:t>Publication required; portal receipt exception.</w:t>
            </w:r>
          </w:p>
        </w:tc>
        <w:tc>
          <w:tcPr>
            <w:tcW w:type="dxa" w:w="4248"/>
            <w:tcMar>
              <w:top w:w="70" w:type="dxa"/>
              <w:start w:w="80" w:type="dxa"/>
              <w:bottom w:w="70" w:type="dxa"/>
              <w:end w:w="80" w:type="dxa"/>
            </w:tcMar>
            <w:vAlign w:val="top"/>
          </w:tcPr>
          <w:p>
            <w:pPr>
              <w:spacing w:after="0" w:line="240" w:lineRule="auto"/>
            </w:pPr>
            <w:r>
              <w:rPr>
                <w:rFonts w:ascii="Aptos" w:hAnsi="Aptos"/>
                <w:sz w:val="15"/>
              </w:rPr>
              <w:t>Contact records, routing, receipt evidence.</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Business-day acknowledgment</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Five business days unless portal receipt.</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Holidays, after-hours receipt.</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Prompt production target</w:t>
            </w:r>
          </w:p>
        </w:tc>
        <w:tc>
          <w:tcPr>
            <w:tcW w:type="dxa" w:w="3240"/>
            <w:tcMar>
              <w:top w:w="70" w:type="dxa"/>
              <w:start w:w="80" w:type="dxa"/>
              <w:bottom w:w="70" w:type="dxa"/>
              <w:end w:w="80" w:type="dxa"/>
            </w:tcMar>
            <w:vAlign w:val="top"/>
          </w:tcPr>
          <w:p>
            <w:pPr>
              <w:spacing w:after="0" w:line="240" w:lineRule="auto"/>
            </w:pPr>
            <w:r>
              <w:rPr>
                <w:rFonts w:ascii="Aptos" w:hAnsi="Aptos"/>
                <w:sz w:val="15"/>
              </w:rPr>
              <w:t>Qualitative.</w:t>
            </w:r>
          </w:p>
        </w:tc>
        <w:tc>
          <w:tcPr>
            <w:tcW w:type="dxa" w:w="4248"/>
            <w:tcMar>
              <w:top w:w="70" w:type="dxa"/>
              <w:start w:w="80" w:type="dxa"/>
              <w:bottom w:w="70" w:type="dxa"/>
              <w:end w:w="80" w:type="dxa"/>
            </w:tcMar>
            <w:vAlign w:val="top"/>
          </w:tcPr>
          <w:p>
            <w:pPr>
              <w:spacing w:after="0" w:line="240" w:lineRule="auto"/>
            </w:pPr>
            <w:r>
              <w:rPr>
                <w:rFonts w:ascii="Aptos" w:hAnsi="Aptos"/>
                <w:sz w:val="15"/>
              </w:rPr>
              <w:t>Internal service goals, status cadence, escalation.</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Commercial-purpose decision</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Statutory definition and fee factors.</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Questionnaire, valuation method, legal approval.</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Clarification closure</w:t>
            </w:r>
          </w:p>
        </w:tc>
        <w:tc>
          <w:tcPr>
            <w:tcW w:type="dxa" w:w="3240"/>
            <w:tcMar>
              <w:top w:w="70" w:type="dxa"/>
              <w:start w:w="80" w:type="dxa"/>
              <w:bottom w:w="70" w:type="dxa"/>
              <w:end w:w="80" w:type="dxa"/>
            </w:tcMar>
            <w:vAlign w:val="top"/>
          </w:tcPr>
          <w:p>
            <w:pPr>
              <w:spacing w:after="0" w:line="240" w:lineRule="auto"/>
            </w:pPr>
            <w:r>
              <w:rPr>
                <w:rFonts w:ascii="Aptos" w:hAnsi="Aptos"/>
                <w:sz w:val="15"/>
              </w:rPr>
              <w:t>No statewide period.</w:t>
            </w:r>
          </w:p>
        </w:tc>
        <w:tc>
          <w:tcPr>
            <w:tcW w:type="dxa" w:w="4248"/>
            <w:tcMar>
              <w:top w:w="70" w:type="dxa"/>
              <w:start w:w="80" w:type="dxa"/>
              <w:bottom w:w="70" w:type="dxa"/>
              <w:end w:w="80" w:type="dxa"/>
            </w:tcMar>
            <w:vAlign w:val="top"/>
          </w:tcPr>
          <w:p>
            <w:pPr>
              <w:spacing w:after="0" w:line="240" w:lineRule="auto"/>
            </w:pPr>
            <w:r>
              <w:rPr>
                <w:rFonts w:ascii="Aptos" w:hAnsi="Aptos"/>
                <w:sz w:val="15"/>
              </w:rPr>
              <w:t>Reminders, inactivity closure/reopen.</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Copy/postage rates</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Advance payment authorized for mailing.</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Rates and accepted payment methods.</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Estimate/deposit</w:t>
            </w:r>
          </w:p>
        </w:tc>
        <w:tc>
          <w:tcPr>
            <w:tcW w:type="dxa" w:w="3240"/>
            <w:tcMar>
              <w:top w:w="70" w:type="dxa"/>
              <w:start w:w="80" w:type="dxa"/>
              <w:bottom w:w="70" w:type="dxa"/>
              <w:end w:w="80" w:type="dxa"/>
            </w:tcMar>
            <w:vAlign w:val="top"/>
          </w:tcPr>
          <w:p>
            <w:pPr>
              <w:spacing w:after="0" w:line="240" w:lineRule="auto"/>
            </w:pPr>
            <w:r>
              <w:rPr>
                <w:rFonts w:ascii="Aptos" w:hAnsi="Aptos"/>
                <w:sz w:val="15"/>
              </w:rPr>
              <w:t>No general state formula.</w:t>
            </w:r>
          </w:p>
        </w:tc>
        <w:tc>
          <w:tcPr>
            <w:tcW w:type="dxa" w:w="4248"/>
            <w:tcMar>
              <w:top w:w="70" w:type="dxa"/>
              <w:start w:w="80" w:type="dxa"/>
              <w:bottom w:w="70" w:type="dxa"/>
              <w:end w:w="80" w:type="dxa"/>
            </w:tcMar>
            <w:vAlign w:val="top"/>
          </w:tcPr>
          <w:p>
            <w:pPr>
              <w:spacing w:after="0" w:line="240" w:lineRule="auto"/>
            </w:pPr>
            <w:r>
              <w:rPr>
                <w:rFonts w:ascii="Aptos" w:hAnsi="Aptos"/>
                <w:sz w:val="15"/>
              </w:rPr>
              <w:t>Threshold, amount, acceptance, reconciliation.</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Withholding log</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Index not universally mandatory for cities.</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Whether city adopts log; content and review.</w:t>
            </w:r>
          </w:p>
        </w:tc>
      </w:tr>
    </w:tbl>
    <w:p>
      <w:pPr>
        <w:pStyle w:val="Heading1"/>
      </w:pPr>
      <w:r>
        <w:t>9. Suggested workflow states for this jurisdiction</w:t>
      </w:r>
    </w:p>
    <w:p>
      <w:pPr>
        <w:spacing w:after="40"/>
      </w:pPr>
      <w:r>
        <w:rPr>
          <w:b/>
          <w:sz w:val="17"/>
        </w:rPr>
        <w:t>Received / Portal Receipt</w:t>
      </w:r>
      <w:r>
        <w:t xml:space="preserve">  →  </w:t>
      </w:r>
      <w:r>
        <w:rPr>
          <w:b w:val="0"/>
          <w:sz w:val="17"/>
        </w:rPr>
        <w:t>Acknowledgment Due</w:t>
      </w:r>
      <w:r>
        <w:t xml:space="preserve">  →  </w:t>
      </w:r>
      <w:r>
        <w:rPr>
          <w:b w:val="0"/>
          <w:sz w:val="17"/>
        </w:rPr>
        <w:t>Purpose Classification</w:t>
      </w:r>
      <w:r>
        <w:t xml:space="preserve">  →  </w:t>
      </w:r>
      <w:r>
        <w:rPr>
          <w:b w:val="0"/>
          <w:sz w:val="17"/>
        </w:rPr>
        <w:t>Prompt Search &amp; Review</w:t>
      </w:r>
      <w:r>
        <w:t xml:space="preserve">  →  </w:t>
      </w:r>
      <w:r>
        <w:rPr>
          <w:b w:val="0"/>
          <w:sz w:val="17"/>
        </w:rPr>
        <w:t>Clarification / Commercial Review</w:t>
      </w:r>
      <w:r>
        <w:t xml:space="preserve">  →  </w:t>
      </w:r>
      <w:r>
        <w:rPr>
          <w:b w:val="0"/>
          <w:sz w:val="17"/>
        </w:rPr>
        <w:t>Fee or Advance Payment</w:t>
      </w:r>
      <w:r>
        <w:t xml:space="preserve">  →  </w:t>
      </w:r>
      <w:r>
        <w:rPr>
          <w:b w:val="0"/>
          <w:sz w:val="17"/>
        </w:rPr>
        <w:t>Redaction &amp; Production</w:t>
      </w:r>
      <w:r>
        <w:t xml:space="preserve">  →  </w:t>
      </w:r>
      <w:r>
        <w:rPr>
          <w:b w:val="0"/>
          <w:sz w:val="17"/>
        </w:rPr>
        <w:t>Delivered / Denied / Closed</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Implementation boundary: </w:t>
            </w:r>
            <w:r>
              <w:t>Automate acknowledgment exception logic, commercial-purpose routing, fee components, and external-review timer. Humans decide promptness, commercial market value, misuse/abuse, exemptions, and whether a city falls within a specialized index requirement.</w:t>
            </w:r>
          </w:p>
        </w:tc>
      </w:tr>
    </w:tbl>
    <w:p>
      <w:pPr>
        <w:pStyle w:val="Heading1"/>
      </w:pPr>
      <w:r>
        <w:t>10. Confidence and unresolved local-policy questions</w:t>
      </w:r>
    </w:p>
    <w:p>
      <w:pPr>
        <w:pStyle w:val="CompactList"/>
      </w:pPr>
      <w:r>
        <w:rPr>
          <w:b/>
        </w:rPr>
        <w:t xml:space="preserve">• </w:t>
      </w:r>
      <w:r>
        <w:t>High confidence in the five-business-day acknowledgment rule, portal exception, prompt standard, commercial-purpose statement/fees, and advance copy/postage payment.</w:t>
      </w:r>
    </w:p>
    <w:p>
      <w:pPr>
        <w:pStyle w:val="CompactList"/>
      </w:pPr>
      <w:r>
        <w:rPr>
          <w:b/>
        </w:rPr>
        <w:t xml:space="preserve">• </w:t>
      </w:r>
      <w:r>
        <w:t>The withheld-record index rule has narrower “agency” applicability and should not be represented as universally mandatory for cities.</w:t>
      </w:r>
    </w:p>
    <w:p>
      <w:pPr>
        <w:pStyle w:val="CompactList"/>
      </w:pPr>
      <w:r>
        <w:rPr>
          <w:b/>
        </w:rPr>
        <w:t xml:space="preserve">• </w:t>
      </w:r>
      <w:r>
        <w:t>Local policy is needed for prompt service targets, clarification, ordinary estimates/deposits, and detailed denial notices.</w:t>
      </w:r>
    </w:p>
    <w:p>
      <w:pPr>
        <w:pStyle w:val="Heading1"/>
      </w:pPr>
      <w:r>
        <w:t>Primary authorities and official resources</w:t>
      </w:r>
    </w:p>
    <w:p>
      <w:pPr>
        <w:pStyle w:val="CompactList"/>
      </w:pPr>
      <w:r>
        <w:rPr>
          <w:b/>
        </w:rPr>
        <w:t xml:space="preserve">• Arizona Revised Statutes §39-171: </w:t>
      </w:r>
      <w:hyperlink r:id="rId11">
        <w:r>
          <w:rPr>
            <w:color w:val="0563C1"/>
            <w:u w:val="single"/>
          </w:rPr>
          <w:t>https://www.azleg.gov/ars/39/00171.htm</w:t>
        </w:r>
      </w:hyperlink>
    </w:p>
    <w:p>
      <w:pPr>
        <w:pStyle w:val="CompactList"/>
      </w:pPr>
      <w:r>
        <w:rPr>
          <w:b/>
        </w:rPr>
        <w:t xml:space="preserve">• Arizona Revised Statutes §39-121.01: </w:t>
      </w:r>
      <w:hyperlink r:id="rId12">
        <w:r>
          <w:rPr>
            <w:color w:val="0563C1"/>
            <w:u w:val="single"/>
          </w:rPr>
          <w:t>https://www.azleg.gov/ars/39/00121-01.htm</w:t>
        </w:r>
      </w:hyperlink>
    </w:p>
    <w:p>
      <w:pPr>
        <w:pStyle w:val="CompactList"/>
      </w:pPr>
      <w:r>
        <w:rPr>
          <w:b/>
        </w:rPr>
        <w:t xml:space="preserve">• Arizona Revised Statutes §39-121.03: </w:t>
      </w:r>
      <w:hyperlink r:id="rId13">
        <w:r>
          <w:rPr>
            <w:color w:val="0563C1"/>
            <w:u w:val="single"/>
          </w:rPr>
          <w:t>https://www.azleg.gov/ars/39/00121-03.htm</w:t>
        </w:r>
      </w:hyperlink>
    </w:p>
    <w:p>
      <w:pPr>
        <w:pStyle w:val="CompactList"/>
      </w:pPr>
      <w:r>
        <w:rPr>
          <w:b/>
        </w:rPr>
        <w:t xml:space="preserve">• Arizona Revised Statutes, title 39: </w:t>
      </w:r>
      <w:hyperlink r:id="rId14">
        <w:r>
          <w:rPr>
            <w:color w:val="0563C1"/>
            <w:u w:val="single"/>
          </w:rPr>
          <w:t>https://www.azleg.gov/arsDetail/?title=39</w:t>
        </w:r>
      </w:hyperlink>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Legal-use caution: </w:t>
            </w:r>
            <w:r>
              <w:t>This is implementation-oriented legal research, not legal advice. Before production deployment, the city should validate the configuration against current statutes, regulations, controlling decisions, Attorney General or oversight guidance, and the city's adopted fee and records policies.</w:t>
            </w:r>
          </w:p>
        </w:tc>
      </w:tr>
    </w:tbl>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 xml:space="preserve">Research and software-configuration analysis | Accessed July 22,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5"/>
      </w:rPr>
      <w:t>National Open Records Workflow Schema Pilot | 09 Arizona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List">
    <w:name w:val="Compact List"/>
    <w:pPr>
      <w:spacing w:after="30"/>
      <w:ind w:left="259" w:hanging="187"/>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zleg.gov/ars/39/00171.htm" TargetMode="External"/><Relationship Id="rId12" Type="http://schemas.openxmlformats.org/officeDocument/2006/relationships/hyperlink" Target="https://www.azleg.gov/ars/39/00121-01.htm" TargetMode="External"/><Relationship Id="rId13" Type="http://schemas.openxmlformats.org/officeDocument/2006/relationships/hyperlink" Target="https://www.azleg.gov/ars/39/00121-03.htm" TargetMode="External"/><Relationship Id="rId14" Type="http://schemas.openxmlformats.org/officeDocument/2006/relationships/hyperlink" Target="https://www.azleg.gov/arsDetail/?title=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