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2"/>
        </w:rPr>
        <w:t>Massachusetts</w:t>
        <w:br/>
      </w:r>
      <w:r>
        <w:rPr>
          <w:color w:val="17365D"/>
          <w:sz w:val="34"/>
        </w:rPr>
        <w:t>Initial Public-Records Processing Workflow</w:t>
        <w:br/>
        <w:t>and Software Configuration Analysis</w:t>
      </w:r>
    </w:p>
    <w:p>
      <w:pPr>
        <w:jc w:val="center"/>
      </w:pPr>
      <w:r>
        <w:rPr>
          <w:i/>
          <w:color w:val="5A5A5A"/>
          <w:sz w:val="18"/>
        </w:rPr>
        <w:t>Pilot State 10 of 10 | City / municipal applicability | Research accessed July 22,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152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Scope: </w:t>
            </w:r>
            <w:r>
              <w:t>Massachusetts General Laws chapter 66, sections 10 and 10A, apply to municipalities. Each city must use a Records Access Officer (RAO). The statute supplies unusually detailed response content, municipal production limits, fee rules, and petition tracks.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152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Method: </w:t>
            </w:r>
            <w:r>
              <w:t>The same fixed method is used for all ten states. Each rule is separated into trigger, condition, action, communication, deadline, clock effect, and configuration source. A qualitative term such as 'prompt' or 'reasonable' is preserved as law and paired with a local-policy configuration field; no numeric value is invented.</w:t>
            </w:r>
          </w:p>
        </w:tc>
      </w:tr>
    </w:tbl>
    <w:p>
      <w:pPr>
        <w:pStyle w:val="Heading1"/>
      </w:pPr>
      <w:r>
        <w:t>Executive conclusions</w:t>
      </w:r>
    </w:p>
    <w:p>
      <w:pPr>
        <w:pStyle w:val="CompactList"/>
      </w:pPr>
      <w:r>
        <w:rPr>
          <w:b/>
        </w:rPr>
        <w:t xml:space="preserve">• </w:t>
      </w:r>
      <w:r>
        <w:t>If records are not fully provided within ten business days, the RAO must send a detailed written response by day ten containing nine specified elements, including possession, withholding, production scope, burden explanation, timeframe, narrowing assistance, itemized good-faith fee estimate, and appeal rights.</w:t>
      </w:r>
    </w:p>
    <w:p>
      <w:pPr>
        <w:pStyle w:val="CompactList"/>
      </w:pPr>
      <w:r>
        <w:rPr>
          <w:b/>
        </w:rPr>
        <w:t xml:space="preserve">• </w:t>
      </w:r>
      <w:r>
        <w:t>For a municipality, the stated production timeframe generally may not exceed 25 business days after initial receipt unless the requester voluntarily agrees to more time or the Supervisor of Records grants an extension.</w:t>
      </w:r>
    </w:p>
    <w:p>
      <w:pPr>
        <w:pStyle w:val="CompactList"/>
      </w:pPr>
      <w:r>
        <w:rPr>
          <w:b/>
        </w:rPr>
        <w:t xml:space="preserve">• </w:t>
      </w:r>
      <w:r>
        <w:t>The RAO may petition the Supervisor for a time extension within 20 business days after receipt when magnitude/difficulty or multiple requests unduly burden responsibilities; a single municipal extension may be up to 30 business days on good cause.</w:t>
      </w:r>
    </w:p>
    <w:p>
      <w:pPr>
        <w:pStyle w:val="CompactList"/>
      </w:pPr>
      <w:r>
        <w:rPr>
          <w:b/>
        </w:rPr>
        <w:t xml:space="preserve">• </w:t>
      </w:r>
      <w:r>
        <w:t>Fees are conditioned on a timely ten-business-day response. Municipalities may generally charge qualifying employee time after two hours, with special treatment for municipalities of 20,000 or fewer and a default $25/hour cap unless Supervisor approval is obtained.</w:t>
      </w:r>
    </w:p>
    <w:p>
      <w:pPr>
        <w:pStyle w:val="CompactList"/>
      </w:pPr>
      <w:r>
        <w:rPr>
          <w:b/>
        </w:rPr>
        <w:t xml:space="preserve">• </w:t>
      </w:r>
      <w:r>
        <w:t>No legal simple/complex labels exist, but “magnitude or difficulty / multiple requests causing undue burden” is a statutory timing and petition classification.</w:t>
      </w:r>
    </w:p>
    <w:p>
      <w:pPr>
        <w:pStyle w:val="Heading2"/>
      </w:pPr>
      <w:r>
        <w:t>Configuration-source legend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Source type</w:t>
            </w:r>
          </w:p>
        </w:tc>
        <w:tc>
          <w:tcPr>
            <w:tcW w:type="dxa" w:w="8063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Statutory / statewide</w:t>
            </w:r>
          </w:p>
        </w:tc>
        <w:tc>
          <w:tcPr>
            <w:tcW w:type="dxa" w:w="806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 value or rule supplied by binding statewide law or generally applicable regulation.</w:t>
            </w:r>
          </w:p>
        </w:tc>
      </w:tr>
      <w:tr>
        <w:trPr>
          <w:cantSplit/>
        </w:trPr>
        <w:tc>
          <w:tcPr>
            <w:tcW w:type="dxa" w:w="208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Jurisdiction policy</w:t>
            </w:r>
          </w:p>
        </w:tc>
        <w:tc>
          <w:tcPr>
            <w:tcW w:type="dxa" w:w="8063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The state leaves a number, standard, workflow choice, rate, or notice practice to the city.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Operational</w:t>
            </w:r>
          </w:p>
        </w:tc>
        <w:tc>
          <w:tcPr>
            <w:tcW w:type="dxa" w:w="806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 workload-management choice that does not itself alter legal rights or deadlines.</w:t>
            </w:r>
          </w:p>
        </w:tc>
      </w:tr>
    </w:tbl>
    <w:p>
      <w:pPr>
        <w:pStyle w:val="Heading1"/>
      </w:pPr>
      <w:r>
        <w:t>1. Intake and initial legal review</w:t>
      </w:r>
    </w:p>
    <w:p>
      <w:pPr>
        <w:pStyle w:val="CompactList"/>
      </w:pPr>
      <w:r>
        <w:rPr>
          <w:b/>
        </w:rPr>
        <w:t xml:space="preserve">• </w:t>
      </w:r>
      <w:r>
        <w:t>Route the request to the RAO and validate hand, first-class mail, or posted email delivery.</w:t>
      </w:r>
    </w:p>
    <w:p>
      <w:pPr>
        <w:pStyle w:val="CompactList"/>
      </w:pPr>
      <w:r>
        <w:rPr>
          <w:b/>
        </w:rPr>
        <w:t xml:space="preserve">• </w:t>
      </w:r>
      <w:r>
        <w:t>Determine whether records are reasonably described, within possession/custody/control, and can be produced within ten business days after payment of a reasonable fee.</w:t>
      </w:r>
    </w:p>
    <w:p>
      <w:pPr>
        <w:pStyle w:val="CompactList"/>
      </w:pPr>
      <w:r>
        <w:rPr>
          <w:b/>
        </w:rPr>
        <w:t xml:space="preserve">• </w:t>
      </w:r>
      <w:r>
        <w:t>If not fully producing by day ten, assemble every required subsection (b) response element; an incomplete generic acknowledgment is not sufficient.</w:t>
      </w:r>
    </w:p>
    <w:p>
      <w:pPr>
        <w:pStyle w:val="CompactList"/>
      </w:pPr>
      <w:r>
        <w:rPr>
          <w:b/>
        </w:rPr>
        <w:t xml:space="preserve">• </w:t>
      </w:r>
      <w:r>
        <w:t>Evaluate fee and extension petitions early because the fee estimate belongs in the day-ten response and the time petition deadline is 20 business days.</w:t>
      </w:r>
    </w:p>
    <w:p>
      <w:pPr>
        <w:pStyle w:val="Heading1"/>
      </w:pPr>
      <w:r>
        <w:t>2. Deadline and required-communication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Trigger / deadline</w:t>
            </w:r>
          </w:p>
        </w:tc>
        <w:tc>
          <w:tcPr>
            <w:tcW w:type="dxa" w:w="475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Required outcome or communication</w:t>
            </w:r>
          </w:p>
        </w:tc>
        <w:tc>
          <w:tcPr>
            <w:tcW w:type="dxa" w:w="165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Clock effect</w:t>
            </w:r>
          </w:p>
        </w:tc>
        <w:tc>
          <w:tcPr>
            <w:tcW w:type="dxa" w:w="187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Source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Within 10 business days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Produce, or send complete §10(b) written response with required nine elements.</w:t>
            </w:r>
          </w:p>
        </w:tc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Initial response; fee authority preserved only if timely.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G.L. c.66 §10(a),(b),(e)</w:t>
            </w:r>
          </w:p>
        </w:tc>
      </w:tr>
      <w:tr>
        <w:trPr>
          <w:cantSplit/>
        </w:trPr>
        <w:tc>
          <w:tcPr>
            <w:tcW w:type="dxa" w:w="187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Municipal production date</w:t>
            </w:r>
          </w:p>
        </w:tc>
        <w:tc>
          <w:tcPr>
            <w:tcW w:type="dxa" w:w="475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Timeframe in response generally ≤25 business days from initial receipt unless requester agrees otherwise.</w:t>
            </w:r>
          </w:p>
        </w:tc>
        <w:tc>
          <w:tcPr>
            <w:tcW w:type="dxa" w:w="1655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Production commitment timer.</w:t>
            </w:r>
          </w:p>
        </w:tc>
        <w:tc>
          <w:tcPr>
            <w:tcW w:type="dxa" w:w="187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§10(b)(vi)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Time-extension petition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As soon as practical and within 20 business days after receipt (or 10 days after Supervisor public-record determination in specified case); copy requester.</w:t>
            </w:r>
          </w:p>
        </w:tc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Supervisor petition subworkflow.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§10(c)</w:t>
            </w:r>
          </w:p>
        </w:tc>
      </w:tr>
      <w:tr>
        <w:trPr>
          <w:cantSplit/>
        </w:trPr>
        <w:tc>
          <w:tcPr>
            <w:tcW w:type="dxa" w:w="187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Supervisor time decision</w:t>
            </w:r>
          </w:p>
        </w:tc>
        <w:tc>
          <w:tcPr>
            <w:tcW w:type="dxa" w:w="475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Within 5 business days; municipal extension may be up to 30 business days on good cause.</w:t>
            </w:r>
          </w:p>
        </w:tc>
        <w:tc>
          <w:tcPr>
            <w:tcW w:type="dxa" w:w="1655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Replaces/extends production date.</w:t>
            </w:r>
          </w:p>
        </w:tc>
        <w:tc>
          <w:tcPr>
            <w:tcW w:type="dxa" w:w="187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§10(c)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Fee petition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Petition for redaction/segregation fee or &gt;$25 municipal hourly rate; copy requester; Supervisor decides within 5 business days.</w:t>
            </w:r>
          </w:p>
        </w:tc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Fee authorization subworkflow.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§10(d)(iv)</w:t>
            </w:r>
          </w:p>
        </w:tc>
      </w:tr>
      <w:tr>
        <w:trPr>
          <w:cantSplit/>
        </w:trPr>
        <w:tc>
          <w:tcPr>
            <w:tcW w:type="dxa" w:w="187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Appeal</w:t>
            </w:r>
          </w:p>
        </w:tc>
        <w:tc>
          <w:tcPr>
            <w:tcW w:type="dxa" w:w="475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Requester may appeal to Supervisor under §10A; judicial review also available.</w:t>
            </w:r>
          </w:p>
        </w:tc>
        <w:tc>
          <w:tcPr>
            <w:tcW w:type="dxa" w:w="1655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Administrative/judicial review.</w:t>
            </w:r>
          </w:p>
        </w:tc>
        <w:tc>
          <w:tcPr>
            <w:tcW w:type="dxa" w:w="187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§10A</w:t>
            </w:r>
          </w:p>
        </w:tc>
      </w:tr>
    </w:tbl>
    <w:p>
      <w:pPr>
        <w:pStyle w:val="Heading1"/>
      </w:pPr>
      <w:r>
        <w:t>3. Vague, unclear, or overly broad requests</w:t>
      </w:r>
    </w:p>
    <w:p>
      <w:pPr>
        <w:pStyle w:val="CompactList"/>
      </w:pPr>
      <w:r>
        <w:rPr>
          <w:b/>
        </w:rPr>
        <w:t xml:space="preserve">• </w:t>
      </w:r>
      <w:r>
        <w:t>The request must reasonably describe the public record sought.</w:t>
      </w:r>
    </w:p>
    <w:p>
      <w:pPr>
        <w:pStyle w:val="CompactList"/>
      </w:pPr>
      <w:r>
        <w:rPr>
          <w:b/>
        </w:rPr>
        <w:t xml:space="preserve">• </w:t>
      </w:r>
      <w:r>
        <w:t>If scope or magnitude prevents timely affordable production, the day-ten response must suggest a reasonable modification or offer assistance to modify scope.</w:t>
      </w:r>
    </w:p>
    <w:p>
      <w:pPr>
        <w:pStyle w:val="CompactList"/>
      </w:pPr>
      <w:r>
        <w:rPr>
          <w:b/>
        </w:rPr>
        <w:t xml:space="preserve">• </w:t>
      </w:r>
      <w:r>
        <w:t>The statute does not create a universal clarification toll. Requester agreement may establish a later response date; the agreement should be explicit and stored.</w:t>
      </w:r>
    </w:p>
    <w:p>
      <w:pPr>
        <w:pStyle w:val="CompactList"/>
      </w:pPr>
      <w:r>
        <w:rPr>
          <w:b/>
        </w:rPr>
        <w:t xml:space="preserve">• </w:t>
      </w:r>
      <w:r>
        <w:t>Failure to reasonably describe records may justify inability to comply, but the RAO should use the mandatory assistance element before treating the request as unfulfillable.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152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Engine treatment: </w:t>
            </w:r>
            <w:r>
              <w:t>Require narrowing-assistance content in the day-ten response. Do not automatically pause timers. Provide a structured requester-agreement event that can set a later date while preserving the original deadline and consent evidence.</w:t>
            </w:r>
          </w:p>
        </w:tc>
      </w:tr>
    </w:tbl>
    <w:p>
      <w:pPr>
        <w:pStyle w:val="Heading1"/>
      </w:pPr>
      <w:r>
        <w:t>4. Denial, withholding, and partial production</w:t>
      </w:r>
    </w:p>
    <w:p>
      <w:pPr>
        <w:pStyle w:val="CompactList"/>
      </w:pPr>
      <w:r>
        <w:rPr>
          <w:b/>
        </w:rPr>
        <w:t xml:space="preserve">• </w:t>
      </w:r>
      <w:r>
        <w:t>The day-ten response must identify records/categories not possessed, identify a possible custodian if known, and identify records/portions intended to be withheld with specific reasons and exemptions.</w:t>
      </w:r>
    </w:p>
    <w:p>
      <w:pPr>
        <w:pStyle w:val="CompactList"/>
      </w:pPr>
      <w:r>
        <w:rPr>
          <w:b/>
        </w:rPr>
        <w:t xml:space="preserve">• </w:t>
      </w:r>
      <w:r>
        <w:t>Segregable public portions must be produced. The response must inform the requester of Supervisor and judicial appeal rights.</w:t>
      </w:r>
    </w:p>
    <w:p>
      <w:pPr>
        <w:pStyle w:val="CompactList"/>
      </w:pPr>
      <w:r>
        <w:rPr>
          <w:b/>
        </w:rPr>
        <w:t xml:space="preserve">• </w:t>
      </w:r>
      <w:r>
        <w:t>The RAO may deny requests from a requester who has failed to pay for previously produced records, but must give written reasons and an itemized list of balances.</w:t>
      </w:r>
    </w:p>
    <w:p>
      <w:pPr>
        <w:pStyle w:val="CompactList"/>
      </w:pPr>
      <w:r>
        <w:rPr>
          <w:b/>
        </w:rPr>
        <w:t xml:space="preserve">• </w:t>
      </w:r>
      <w:r>
        <w:t>A city cannot charge a fee if it failed to provide the required timely ten-business-day response.</w:t>
      </w:r>
    </w:p>
    <w:p>
      <w:pPr>
        <w:pStyle w:val="Heading1"/>
      </w:pPr>
      <w:r>
        <w:t>5. Request classification and processing tracks</w:t>
      </w:r>
    </w:p>
    <w:p>
      <w:pPr>
        <w:pStyle w:val="CompactList"/>
      </w:pPr>
      <w:r>
        <w:rPr>
          <w:b/>
        </w:rPr>
        <w:t xml:space="preserve">• </w:t>
      </w:r>
      <w:r>
        <w:t>No simple/complex legal labels exist.</w:t>
      </w:r>
    </w:p>
    <w:p>
      <w:pPr>
        <w:pStyle w:val="CompactList"/>
      </w:pPr>
      <w:r>
        <w:rPr>
          <w:b/>
        </w:rPr>
        <w:t xml:space="preserve">• </w:t>
      </w:r>
      <w:r>
        <w:t>“Magnitude or difficulty” and “multiple requests from the same requester” are statutory burden classifications that activate detailed response and petition logic.</w:t>
      </w:r>
    </w:p>
    <w:p>
      <w:pPr>
        <w:pStyle w:val="CompactList"/>
      </w:pPr>
      <w:r>
        <w:rPr>
          <w:b/>
        </w:rPr>
        <w:t xml:space="preserve">• </w:t>
      </w:r>
      <w:r>
        <w:t>Commercial purpose is a statutory fee-petition consideration, not a different initial-response deadline.</w:t>
      </w:r>
    </w:p>
    <w:p>
      <w:pPr>
        <w:pStyle w:val="CompactList"/>
      </w:pPr>
      <w:r>
        <w:rPr>
          <w:b/>
        </w:rPr>
        <w:t xml:space="preserve">• </w:t>
      </w:r>
      <w:r>
        <w:t>Population over/under 20,000 is a fee-rule classification because it affects the first two hours for municipal labor charges.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02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Classification / flag</w:t>
            </w:r>
          </w:p>
        </w:tc>
        <w:tc>
          <w:tcPr>
            <w:tcW w:type="dxa" w:w="194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Legal or operational?</w:t>
            </w:r>
          </w:p>
        </w:tc>
        <w:tc>
          <w:tcPr>
            <w:tcW w:type="dxa" w:w="475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Workflow consequence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Full production ≤10 days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Legal track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Produce after reasonable fee payment.</w:t>
            </w:r>
          </w:p>
        </w:tc>
      </w:tr>
      <w:tr>
        <w:trPr>
          <w:cantSplit/>
        </w:trPr>
        <w:tc>
          <w:tcPr>
            <w:tcW w:type="dxa" w:w="3024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Burdened §10(b) response</w:t>
            </w:r>
          </w:p>
        </w:tc>
        <w:tc>
          <w:tcPr>
            <w:tcW w:type="dxa" w:w="1944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Statutory track</w:t>
            </w:r>
          </w:p>
        </w:tc>
        <w:tc>
          <w:tcPr>
            <w:tcW w:type="dxa" w:w="475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Nine-element response; ≤25-day municipal date.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Supervisor time petition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Statutory track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Petition by day 20; possible ≤30-day extension.</w:t>
            </w:r>
          </w:p>
        </w:tc>
      </w:tr>
      <w:tr>
        <w:trPr>
          <w:cantSplit/>
        </w:trPr>
        <w:tc>
          <w:tcPr>
            <w:tcW w:type="dxa" w:w="3024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Fee petition</w:t>
            </w:r>
          </w:p>
        </w:tc>
        <w:tc>
          <w:tcPr>
            <w:tcW w:type="dxa" w:w="1944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Statutory track</w:t>
            </w:r>
          </w:p>
        </w:tc>
        <w:tc>
          <w:tcPr>
            <w:tcW w:type="dxa" w:w="475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Approval for segregation/redaction time or &gt;$25/hour.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Population &gt;20,000 / ≤20,000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Statutory fee class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First-two-hour exclusion differs.</w:t>
            </w:r>
          </w:p>
        </w:tc>
      </w:tr>
      <w:tr>
        <w:trPr>
          <w:cantSplit/>
        </w:trPr>
        <w:tc>
          <w:tcPr>
            <w:tcW w:type="dxa" w:w="3024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Simple / complex</w:t>
            </w:r>
          </w:p>
        </w:tc>
        <w:tc>
          <w:tcPr>
            <w:tcW w:type="dxa" w:w="1944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Operational</w:t>
            </w:r>
          </w:p>
        </w:tc>
        <w:tc>
          <w:tcPr>
            <w:tcW w:type="dxa" w:w="475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 assignment only.</w:t>
            </w:r>
          </w:p>
        </w:tc>
      </w:tr>
    </w:tbl>
    <w:p>
      <w:pPr>
        <w:pStyle w:val="Heading1"/>
      </w:pPr>
      <w:r>
        <w:t>6. Fees, estimates, deposits, and payment timing</w:t>
      </w:r>
    </w:p>
    <w:p>
      <w:pPr>
        <w:pStyle w:val="CompactList"/>
      </w:pPr>
      <w:r>
        <w:rPr>
          <w:b/>
        </w:rPr>
        <w:t xml:space="preserve">• </w:t>
      </w:r>
      <w:r>
        <w:t>The day-ten response must include an itemized, good-faith estimate of any fees that may be charged.</w:t>
      </w:r>
    </w:p>
    <w:p>
      <w:pPr>
        <w:pStyle w:val="CompactList"/>
      </w:pPr>
      <w:r>
        <w:rPr>
          <w:b/>
        </w:rPr>
        <w:t xml:space="preserve">• </w:t>
      </w:r>
      <w:r>
        <w:t>Standard black-and-white copies may not exceed five cents per page. Actual storage-device/material cost may be included.</w:t>
      </w:r>
    </w:p>
    <w:p>
      <w:pPr>
        <w:pStyle w:val="CompactList"/>
      </w:pPr>
      <w:r>
        <w:rPr>
          <w:b/>
        </w:rPr>
        <w:t xml:space="preserve">• </w:t>
      </w:r>
      <w:r>
        <w:t>A municipality may include qualified employee time when more than two hours are required. The hourly rate is the lowest-paid employee with necessary skill and generally may not exceed $25 without Supervisor approval.</w:t>
      </w:r>
    </w:p>
    <w:p>
      <w:pPr>
        <w:pStyle w:val="CompactList"/>
      </w:pPr>
      <w:r>
        <w:rPr>
          <w:b/>
        </w:rPr>
        <w:t xml:space="preserve">• </w:t>
      </w:r>
      <w:r>
        <w:t>For municipalities over 20,000 population, the first two hours may not be charged. Time spent segregating/redacting is not chargeable unless required by law or approved by the Supervisor.</w:t>
      </w:r>
    </w:p>
    <w:p>
      <w:pPr>
        <w:pStyle w:val="CompactList"/>
      </w:pPr>
      <w:r>
        <w:rPr>
          <w:b/>
        </w:rPr>
        <w:t xml:space="preserve">• </w:t>
      </w:r>
      <w:r>
        <w:t>No fee may be charged unless the city responded within ten business days under subsection (b). Fee waiver/reduction is permitted under stated public-interest or inability-to-pay standards.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Fee event</w:t>
            </w:r>
          </w:p>
        </w:tc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Statewide rule</w:t>
            </w:r>
          </w:p>
        </w:tc>
        <w:tc>
          <w:tcPr>
            <w:tcW w:type="dxa" w:w="27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Configurable city value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Itemized estimate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Required in §10(b) response when fees may be charged.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Calculation template, acceptance/payment.</w:t>
            </w:r>
          </w:p>
        </w:tc>
      </w:tr>
      <w:tr>
        <w:trPr>
          <w:cantSplit/>
        </w:trPr>
        <w:tc>
          <w:tcPr>
            <w:tcW w:type="dxa" w:w="244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Paper copies</w:t>
            </w:r>
          </w:p>
        </w:tc>
        <w:tc>
          <w:tcPr>
            <w:tcW w:type="dxa" w:w="4536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$0.05 per black/white page.</w:t>
            </w:r>
          </w:p>
        </w:tc>
        <w:tc>
          <w:tcPr>
            <w:tcW w:type="dxa" w:w="2736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Color/media/postage actual cost.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Municipal labor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After &gt;2 hours; lowest-paid qualified; generally ≤$25/hour.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Population class, employee rates, time capture.</w:t>
            </w:r>
          </w:p>
        </w:tc>
      </w:tr>
      <w:tr>
        <w:trPr>
          <w:cantSplit/>
        </w:trPr>
        <w:tc>
          <w:tcPr>
            <w:tcW w:type="dxa" w:w="244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First 2 hours</w:t>
            </w:r>
          </w:p>
        </w:tc>
        <w:tc>
          <w:tcPr>
            <w:tcW w:type="dxa" w:w="4536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Not chargeable for municipality &gt;20,000.</w:t>
            </w:r>
          </w:p>
        </w:tc>
        <w:tc>
          <w:tcPr>
            <w:tcW w:type="dxa" w:w="2736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Current population classification and effective date.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Redaction/segregation / &gt;$25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Requires legal basis or Supervisor approval.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Petition workflow and approved rate/period.</w:t>
            </w:r>
          </w:p>
        </w:tc>
      </w:tr>
      <w:tr>
        <w:trPr>
          <w:cantSplit/>
        </w:trPr>
        <w:tc>
          <w:tcPr>
            <w:tcW w:type="dxa" w:w="244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Timely response condition</w:t>
            </w:r>
          </w:p>
        </w:tc>
        <w:tc>
          <w:tcPr>
            <w:tcW w:type="dxa" w:w="4536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 fee if no proper response within 10 business days.</w:t>
            </w:r>
          </w:p>
        </w:tc>
        <w:tc>
          <w:tcPr>
            <w:tcW w:type="dxa" w:w="2736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Automatic fee-disable flag.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Waiver/reduction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Discretionary statutory standards.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Application, approver, full/partial amount.</w:t>
            </w:r>
          </w:p>
        </w:tc>
      </w:tr>
    </w:tbl>
    <w:p>
      <w:pPr>
        <w:pStyle w:val="Heading1"/>
      </w:pPr>
      <w:r>
        <w:t>7. Normalized software rule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4"/>
              </w:rPr>
              <w:t>Rule / trigger</w:t>
            </w:r>
          </w:p>
        </w:tc>
        <w:tc>
          <w:tcPr>
            <w:tcW w:type="dxa" w:w="31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4"/>
              </w:rPr>
              <w:t>Required system action</w:t>
            </w:r>
          </w:p>
        </w:tc>
        <w:tc>
          <w:tcPr>
            <w:tcW w:type="dxa" w:w="302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4"/>
              </w:rPr>
              <w:t>Communication / deadline</w:t>
            </w:r>
          </w:p>
        </w:tc>
        <w:tc>
          <w:tcPr>
            <w:tcW w:type="dxa" w:w="223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4"/>
              </w:rPr>
              <w:t>Clock / configuration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RAO receives request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Calculate 10- and 25-business-day dates; assess possession/scope/fees.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Produce or complete §10(b) response by day 10.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Hard response timer.</w:t>
            </w:r>
          </w:p>
        </w:tc>
      </w:tr>
      <w:tr>
        <w:trPr>
          <w:cantSplit/>
        </w:trPr>
        <w:tc>
          <w:tcPr>
            <w:tcW w:type="dxa" w:w="223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Not producing fully by day 10</w:t>
            </w:r>
          </w:p>
        </w:tc>
        <w:tc>
          <w:tcPr>
            <w:tcW w:type="dxa" w:w="316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Generate all nine required response elements.</w:t>
            </w:r>
          </w:p>
        </w:tc>
        <w:tc>
          <w:tcPr>
            <w:tcW w:type="dxa" w:w="3024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Written first-class/electronic mail.</w:t>
            </w:r>
          </w:p>
        </w:tc>
        <w:tc>
          <w:tcPr>
            <w:tcW w:type="dxa" w:w="223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Missing response disables fees.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Burden exceeds 25-day limit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Prepare petition by day 20; copy requester.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Supervisor decides in 5 business days.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Possible ≤30-day extension.</w:t>
            </w:r>
          </w:p>
        </w:tc>
      </w:tr>
      <w:tr>
        <w:trPr>
          <w:cantSplit/>
        </w:trPr>
        <w:tc>
          <w:tcPr>
            <w:tcW w:type="dxa" w:w="223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Request can be narrowed</w:t>
            </w:r>
          </w:p>
        </w:tc>
        <w:tc>
          <w:tcPr>
            <w:tcW w:type="dxa" w:w="316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Offer specific scope modification/assistance.</w:t>
            </w:r>
          </w:p>
        </w:tc>
        <w:tc>
          <w:tcPr>
            <w:tcW w:type="dxa" w:w="3024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Included in day-ten response.</w:t>
            </w:r>
          </w:p>
        </w:tc>
        <w:tc>
          <w:tcPr>
            <w:tcW w:type="dxa" w:w="223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 automatic toll; consent can change date.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Withholding applies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Identify records/portions and specific exemption/reasons.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Day-ten response + appeal rights.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Partial production continues.</w:t>
            </w:r>
          </w:p>
        </w:tc>
      </w:tr>
      <w:tr>
        <w:trPr>
          <w:cantSplit/>
        </w:trPr>
        <w:tc>
          <w:tcPr>
            <w:tcW w:type="dxa" w:w="223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Fee will be charged</w:t>
            </w:r>
          </w:p>
        </w:tc>
        <w:tc>
          <w:tcPr>
            <w:tcW w:type="dxa" w:w="316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Create itemized good-faith estimate; apply 2-hour/population rules.</w:t>
            </w:r>
          </w:p>
        </w:tc>
        <w:tc>
          <w:tcPr>
            <w:tcW w:type="dxa" w:w="3024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Day-ten response.</w:t>
            </w:r>
          </w:p>
        </w:tc>
        <w:tc>
          <w:tcPr>
            <w:tcW w:type="dxa" w:w="223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Payment gate; fee disabled if late response.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Special fee needed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Petition Supervisor for redaction/segregation or &gt;$25 rate.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Copy requester; 5-day Supervisor decision.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External fee timer.</w:t>
            </w:r>
          </w:p>
        </w:tc>
      </w:tr>
      <w:tr>
        <w:trPr>
          <w:cantSplit/>
        </w:trPr>
        <w:tc>
          <w:tcPr>
            <w:tcW w:type="dxa" w:w="223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Prior produced balance unpaid</w:t>
            </w:r>
          </w:p>
        </w:tc>
        <w:tc>
          <w:tcPr>
            <w:tcW w:type="dxa" w:w="316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Validate itemized balance and issue written denial.</w:t>
            </w:r>
          </w:p>
        </w:tc>
        <w:tc>
          <w:tcPr>
            <w:tcW w:type="dxa" w:w="3024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Written reasons + itemized balance.</w:t>
            </w:r>
          </w:p>
        </w:tc>
        <w:tc>
          <w:tcPr>
            <w:tcW w:type="dxa" w:w="2232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Local collection/payment branch.</w:t>
            </w:r>
          </w:p>
        </w:tc>
      </w:tr>
    </w:tbl>
    <w:p>
      <w:pPr>
        <w:pStyle w:val="Heading1"/>
      </w:pPr>
      <w:r>
        <w:t>8. Required jurisdiction-configuration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1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24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State-supplied default</w:t>
            </w:r>
          </w:p>
        </w:tc>
        <w:tc>
          <w:tcPr>
            <w:tcW w:type="dxa" w:w="424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City configuration needed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RAO and receipt channels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RAO; hand/mail/posted email.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Named officers, addresses, routing, after-hours receipt.</w:t>
            </w:r>
          </w:p>
        </w:tc>
      </w:tr>
      <w:tr>
        <w:trPr>
          <w:cantSplit/>
        </w:trPr>
        <w:tc>
          <w:tcPr>
            <w:tcW w:type="dxa" w:w="316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Business-day calendar</w:t>
            </w:r>
          </w:p>
        </w:tc>
        <w:tc>
          <w:tcPr>
            <w:tcW w:type="dxa" w:w="3240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10-day response; 25-day municipal production.</w:t>
            </w:r>
          </w:p>
        </w:tc>
        <w:tc>
          <w:tcPr>
            <w:tcW w:type="dxa" w:w="424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Holidays, office schedule.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Population class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20,000 threshold affects first 2 labor hours.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Current population source and review date.</w:t>
            </w:r>
          </w:p>
        </w:tc>
      </w:tr>
      <w:tr>
        <w:trPr>
          <w:cantSplit/>
        </w:trPr>
        <w:tc>
          <w:tcPr>
            <w:tcW w:type="dxa" w:w="316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Employee-rate table</w:t>
            </w:r>
          </w:p>
        </w:tc>
        <w:tc>
          <w:tcPr>
            <w:tcW w:type="dxa" w:w="3240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Lowest-paid qualified; $25 default cap.</w:t>
            </w:r>
          </w:p>
        </w:tc>
        <w:tc>
          <w:tcPr>
            <w:tcW w:type="dxa" w:w="424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Roles, rates, qualification mapping, time capture.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Petition workflow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20-day time petition; fee petitions; 5-day decisions.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Approvers, forms, evidence, Supervisor contact.</w:t>
            </w:r>
          </w:p>
        </w:tc>
      </w:tr>
      <w:tr>
        <w:trPr>
          <w:cantSplit/>
        </w:trPr>
        <w:tc>
          <w:tcPr>
            <w:tcW w:type="dxa" w:w="316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Requester agreement</w:t>
            </w:r>
          </w:p>
        </w:tc>
        <w:tc>
          <w:tcPr>
            <w:tcW w:type="dxa" w:w="3240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May agree to later response date.</w:t>
            </w:r>
          </w:p>
        </w:tc>
        <w:tc>
          <w:tcPr>
            <w:tcW w:type="dxa" w:w="424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Consent method, scope/date fields.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Operational classes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 legal simple/complex class.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 labels and targets.</w:t>
            </w:r>
          </w:p>
        </w:tc>
      </w:tr>
      <w:tr>
        <w:trPr>
          <w:cantSplit/>
        </w:trPr>
        <w:tc>
          <w:tcPr>
            <w:tcW w:type="dxa" w:w="316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Fee waiver / prior balances</w:t>
            </w:r>
          </w:p>
        </w:tc>
        <w:tc>
          <w:tcPr>
            <w:tcW w:type="dxa" w:w="3240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Statutory discretionary authority.</w:t>
            </w:r>
          </w:p>
        </w:tc>
        <w:tc>
          <w:tcPr>
            <w:tcW w:type="dxa" w:w="4248"/>
            <w:shd w:fill="FAFCFE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Criteria, approver, balance ledger, notice template.</w:t>
            </w:r>
          </w:p>
        </w:tc>
      </w:tr>
    </w:tbl>
    <w:p>
      <w:pPr>
        <w:pStyle w:val="Heading1"/>
      </w:pPr>
      <w:r>
        <w:t>9. Suggested workflow states for this jurisdiction</w:t>
      </w:r>
    </w:p>
    <w:p>
      <w:pPr>
        <w:spacing w:after="40"/>
      </w:pPr>
      <w:r>
        <w:rPr>
          <w:b/>
          <w:sz w:val="17"/>
        </w:rPr>
        <w:t>Received by RAO</w:t>
      </w:r>
      <w:r>
        <w:t xml:space="preserve">  →  </w:t>
      </w:r>
      <w:r>
        <w:rPr>
          <w:b w:val="0"/>
          <w:sz w:val="17"/>
        </w:rPr>
        <w:t>Ten-Day Compliance Review</w:t>
      </w:r>
      <w:r>
        <w:t xml:space="preserve">  →  </w:t>
      </w:r>
      <w:r>
        <w:rPr>
          <w:b w:val="0"/>
          <w:sz w:val="17"/>
        </w:rPr>
        <w:t>Full Production / Detailed §10(b) Response</w:t>
      </w:r>
      <w:r>
        <w:t xml:space="preserve">  →  </w:t>
      </w:r>
      <w:r>
        <w:rPr>
          <w:b w:val="0"/>
          <w:sz w:val="17"/>
        </w:rPr>
        <w:t>Narrowing Agreement / Supervisor Petition</w:t>
      </w:r>
      <w:r>
        <w:t xml:space="preserve">  →  </w:t>
      </w:r>
      <w:r>
        <w:rPr>
          <w:b w:val="0"/>
          <w:sz w:val="17"/>
        </w:rPr>
        <w:t>Search &amp; Redaction</w:t>
      </w:r>
      <w:r>
        <w:t xml:space="preserve">  →  </w:t>
      </w:r>
      <w:r>
        <w:rPr>
          <w:b w:val="0"/>
          <w:sz w:val="17"/>
        </w:rPr>
        <w:t>Fee Estimate / Payment</w:t>
      </w:r>
      <w:r>
        <w:t xml:space="preserve">  →  </w:t>
      </w:r>
      <w:r>
        <w:rPr>
          <w:b w:val="0"/>
          <w:sz w:val="17"/>
        </w:rPr>
        <w:t>Production</w:t>
      </w:r>
      <w:r>
        <w:t xml:space="preserve">  →  </w:t>
      </w:r>
      <w:r>
        <w:rPr>
          <w:b w:val="0"/>
          <w:sz w:val="17"/>
        </w:rPr>
        <w:t>Appeal / Closed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152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Implementation boundary: </w:t>
            </w:r>
            <w:r>
              <w:t>Automate required response fields, 10/20/25/30/5-day timers, population-based fee logic, and fee-disable consequence. Humans decide undue burden, exemptions, reasonableness, employee skill level, public-interest waiver, and petition evidence.</w:t>
            </w:r>
          </w:p>
        </w:tc>
      </w:tr>
    </w:tbl>
    <w:p>
      <w:pPr>
        <w:pStyle w:val="Heading1"/>
      </w:pPr>
      <w:r>
        <w:t>10. Confidence and unresolved local-policy questions</w:t>
      </w:r>
    </w:p>
    <w:p>
      <w:pPr>
        <w:pStyle w:val="CompactList"/>
      </w:pPr>
      <w:r>
        <w:rPr>
          <w:b/>
        </w:rPr>
        <w:t xml:space="preserve">• </w:t>
      </w:r>
      <w:r>
        <w:t>High confidence in the ten-day detailed response, 25-day municipal timeframe, petition deadlines, fee conditions, two-hour rule, and $25 default cap.</w:t>
      </w:r>
    </w:p>
    <w:p>
      <w:pPr>
        <w:pStyle w:val="CompactList"/>
      </w:pPr>
      <w:r>
        <w:rPr>
          <w:b/>
        </w:rPr>
        <w:t xml:space="preserve">• </w:t>
      </w:r>
      <w:r>
        <w:t>Municipal population, actual employee rates, RAO contacts, and adopted payment/waiver procedures require local configuration.</w:t>
      </w:r>
    </w:p>
    <w:p>
      <w:pPr>
        <w:pStyle w:val="CompactList"/>
      </w:pPr>
      <w:r>
        <w:rPr>
          <w:b/>
        </w:rPr>
        <w:t xml:space="preserve">• </w:t>
      </w:r>
      <w:r>
        <w:t>Supervisor decisions can authorize state-request-specific variations; the engine must support overrides tied to an order and expiration/scope.</w:t>
      </w:r>
    </w:p>
    <w:p>
      <w:pPr>
        <w:pStyle w:val="Heading1"/>
      </w:pPr>
      <w:r>
        <w:t>Primary authorities and official resources</w:t>
      </w:r>
    </w:p>
    <w:p>
      <w:pPr>
        <w:pStyle w:val="CompactList"/>
      </w:pPr>
      <w:r>
        <w:rPr>
          <w:b/>
        </w:rPr>
        <w:t xml:space="preserve">• Massachusetts General Laws c.66 §10: </w:t>
      </w:r>
      <w:hyperlink r:id="rId11">
        <w:r>
          <w:rPr>
            <w:color w:val="0563C1"/>
            <w:u w:val="single"/>
          </w:rPr>
          <w:t>https://malegislature.gov/Laws/GeneralLaws/PartI/TitleX/Chapter66/Section10</w:t>
        </w:r>
      </w:hyperlink>
    </w:p>
    <w:p>
      <w:pPr>
        <w:pStyle w:val="CompactList"/>
      </w:pPr>
      <w:r>
        <w:rPr>
          <w:b/>
        </w:rPr>
        <w:t xml:space="preserve">• Massachusetts General Laws c.66 §10A: </w:t>
      </w:r>
      <w:hyperlink r:id="rId12">
        <w:r>
          <w:rPr>
            <w:color w:val="0563C1"/>
            <w:u w:val="single"/>
          </w:rPr>
          <w:t>https://malegislature.gov/Laws/GeneralLaws/PartI/TitleX/Chapter66/Section10A</w:t>
        </w:r>
      </w:hyperlink>
    </w:p>
    <w:p>
      <w:pPr>
        <w:pStyle w:val="CompactList"/>
      </w:pPr>
      <w:r>
        <w:rPr>
          <w:b/>
        </w:rPr>
        <w:t xml:space="preserve">• Massachusetts Supervisor of Records, Public Records resources: </w:t>
      </w:r>
      <w:hyperlink r:id="rId13">
        <w:r>
          <w:rPr>
            <w:color w:val="0563C1"/>
            <w:u w:val="single"/>
          </w:rPr>
          <w:t>https://www.sec.state.ma.us/divisions/public-records/public-records.htm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152"/>
            <w:shd w:fill="F3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Legal-use caution:</w:t>
            </w:r>
            <w:r>
              <w:t xml:space="preserve"> Validate current law and city policy before deployment.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 xml:space="preserve">Research and software-configuration analysis | Accessed July 22, 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5"/>
      </w:rPr>
      <w:t>National Open Records Workflow Schema Pilot | 10 Massachusetts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List">
    <w:name w:val="Compact List"/>
    <w:pPr>
      <w:spacing w:after="30"/>
      <w:ind w:left="259" w:hanging="187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alegislature.gov/Laws/GeneralLaws/PartI/TitleX/Chapter66/Section10" TargetMode="External"/><Relationship Id="rId12" Type="http://schemas.openxmlformats.org/officeDocument/2006/relationships/hyperlink" Target="https://malegislature.gov/Laws/GeneralLaws/PartI/TitleX/Chapter66/Section10A" TargetMode="External"/><Relationship Id="rId13" Type="http://schemas.openxmlformats.org/officeDocument/2006/relationships/hyperlink" Target="https://www.sec.state.ma.us/divisions/public-records/public-record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