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40"/>
        </w:rPr>
        <w:t>Virginia Public Records Workflow</w:t>
      </w:r>
    </w:p>
    <w:p>
      <w:pPr>
        <w:spacing w:after="160"/>
        <w:jc w:val="center"/>
      </w:pPr>
      <w:r>
        <w:rPr>
          <w:rFonts w:ascii="Aptos Display" w:hAnsi="Aptos Display"/>
          <w:b/>
          <w:color w:val="2F5597"/>
          <w:sz w:val="23"/>
        </w:rPr>
        <w:t>Reverse Engineering of Initial Processing into Software Configuration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55" w:type="dxa"/>
              <w:start w:w="70" w:type="dxa"/>
              <w:bottom w:w="55" w:type="dxa"/>
              <w:end w:w="70" w:type="dxa"/>
            </w:tcMar>
            <w:shd w:fill="D9EAF7"/>
          </w:tcPr>
          <w:p>
            <w:pPr>
              <w:jc w:val="center"/>
            </w:pPr>
            <w:r/>
            <w:r>
              <w:rPr>
                <w:rFonts w:ascii="Aptos" w:hAnsi="Aptos"/>
                <w:b/>
                <w:sz w:val="15"/>
              </w:rPr>
              <w:t>Primary law</w:t>
            </w:r>
          </w:p>
        </w:tc>
        <w:tc>
          <w:tcPr>
            <w:tcW w:type="dxa" w:w="2592"/>
            <w:vAlign w:val="center"/>
            <w:tcMar>
              <w:top w:w="55" w:type="dxa"/>
              <w:start w:w="70" w:type="dxa"/>
              <w:bottom w:w="55" w:type="dxa"/>
              <w:end w:w="70" w:type="dxa"/>
            </w:tcMar>
            <w:shd w:fill="FFFFFF"/>
          </w:tcPr>
          <w:p>
            <w:pPr>
              <w:jc w:val="center"/>
            </w:pPr>
            <w:r/>
            <w:r>
              <w:rPr>
                <w:rFonts w:ascii="Aptos" w:hAnsi="Aptos"/>
                <w:b w:val="0"/>
                <w:sz w:val="15"/>
              </w:rPr>
              <w:t>Virginia Freedom of Information Act, Va. Code § 2.2-3704</w:t>
            </w:r>
          </w:p>
        </w:tc>
        <w:tc>
          <w:tcPr>
            <w:tcW w:type="dxa" w:w="2592"/>
            <w:vAlign w:val="center"/>
            <w:tcMar>
              <w:top w:w="55" w:type="dxa"/>
              <w:start w:w="70" w:type="dxa"/>
              <w:bottom w:w="55" w:type="dxa"/>
              <w:end w:w="70" w:type="dxa"/>
            </w:tcMar>
            <w:shd w:fill="D9EAF7"/>
          </w:tcPr>
          <w:p>
            <w:pPr>
              <w:jc w:val="center"/>
            </w:pPr>
            <w:r/>
            <w:r>
              <w:rPr>
                <w:rFonts w:ascii="Aptos" w:hAnsi="Aptos"/>
                <w:b/>
                <w:sz w:val="15"/>
              </w:rPr>
              <w:t>Research current through</w:t>
            </w:r>
          </w:p>
        </w:tc>
        <w:tc>
          <w:tcPr>
            <w:tcW w:type="dxa" w:w="2592"/>
            <w:vAlign w:val="center"/>
            <w:tcMar>
              <w:top w:w="55" w:type="dxa"/>
              <w:start w:w="70" w:type="dxa"/>
              <w:bottom w:w="55" w:type="dxa"/>
              <w:end w:w="70" w:type="dxa"/>
            </w:tcMar>
            <w:shd w:fill="FFFFFF"/>
          </w:tcPr>
          <w:p>
            <w:pPr>
              <w:jc w:val="center"/>
            </w:pPr>
            <w:r/>
            <w:r>
              <w:rPr>
                <w:rFonts w:ascii="Aptos" w:hAnsi="Aptos"/>
                <w:b w:val="0"/>
                <w:sz w:val="15"/>
              </w:rPr>
              <w:t>July 22, 2026</w:t>
            </w:r>
          </w:p>
        </w:tc>
      </w:tr>
      <w:tr>
        <w:tc>
          <w:tcPr>
            <w:tcW w:type="dxa" w:w="2592"/>
            <w:vAlign w:val="center"/>
            <w:tcMar>
              <w:top w:w="55" w:type="dxa"/>
              <w:start w:w="70" w:type="dxa"/>
              <w:bottom w:w="55" w:type="dxa"/>
              <w:end w:w="70" w:type="dxa"/>
            </w:tcMar>
            <w:shd w:fill="D9EAF7"/>
          </w:tcPr>
          <w:p>
            <w:pPr>
              <w:jc w:val="center"/>
            </w:pPr>
            <w:r/>
            <w:r>
              <w:rPr>
                <w:rFonts w:ascii="Aptos" w:hAnsi="Aptos"/>
                <w:b/>
                <w:sz w:val="15"/>
              </w:rPr>
              <w:t>Applicability</w:t>
            </w:r>
          </w:p>
        </w:tc>
        <w:tc>
          <w:tcPr>
            <w:tcW w:type="dxa" w:w="2592"/>
            <w:vAlign w:val="center"/>
            <w:tcMar>
              <w:top w:w="55" w:type="dxa"/>
              <w:start w:w="70" w:type="dxa"/>
              <w:bottom w:w="55" w:type="dxa"/>
              <w:end w:w="70" w:type="dxa"/>
            </w:tcMar>
            <w:shd w:fill="FFFFFF"/>
          </w:tcPr>
          <w:p>
            <w:pPr>
              <w:jc w:val="center"/>
            </w:pPr>
            <w:r/>
            <w:r>
              <w:rPr>
                <w:rFonts w:ascii="Aptos" w:hAnsi="Aptos"/>
                <w:b w:val="0"/>
                <w:sz w:val="15"/>
              </w:rPr>
              <w:t>Cities and municipal custodians</w:t>
            </w:r>
          </w:p>
        </w:tc>
        <w:tc>
          <w:tcPr>
            <w:tcW w:type="dxa" w:w="2592"/>
            <w:vAlign w:val="center"/>
            <w:tcMar>
              <w:top w:w="55" w:type="dxa"/>
              <w:start w:w="70" w:type="dxa"/>
              <w:bottom w:w="55" w:type="dxa"/>
              <w:end w:w="70" w:type="dxa"/>
            </w:tcMar>
            <w:shd w:fill="D9EAF7"/>
          </w:tcPr>
          <w:p>
            <w:pPr>
              <w:jc w:val="center"/>
            </w:pPr>
            <w:r/>
            <w:r>
              <w:rPr>
                <w:rFonts w:ascii="Aptos" w:hAnsi="Aptos"/>
                <w:b/>
                <w:sz w:val="15"/>
              </w:rPr>
              <w:t>Methodology</w:t>
            </w:r>
          </w:p>
        </w:tc>
        <w:tc>
          <w:tcPr>
            <w:tcW w:type="dxa" w:w="2592"/>
            <w:vAlign w:val="center"/>
            <w:tcMar>
              <w:top w:w="55" w:type="dxa"/>
              <w:start w:w="70" w:type="dxa"/>
              <w:bottom w:w="55" w:type="dxa"/>
              <w:end w:w="70" w:type="dxa"/>
            </w:tcMar>
            <w:shd w:fill="FFFFFF"/>
          </w:tcPr>
          <w:p>
            <w:pPr>
              <w:jc w:val="center"/>
            </w:pPr>
            <w:r/>
            <w:r>
              <w:rPr>
                <w:rFonts w:ascii="Aptos" w:hAnsi="Aptos"/>
                <w:b w:val="0"/>
                <w:sz w:val="15"/>
              </w:rPr>
              <w:t>Fixed 50-state tracker v1.0</w:t>
            </w:r>
          </w:p>
        </w:tc>
      </w:tr>
      <w:tr>
        <w:tc>
          <w:tcPr>
            <w:tcW w:type="dxa" w:w="2592"/>
            <w:vAlign w:val="center"/>
            <w:tcMar>
              <w:top w:w="55" w:type="dxa"/>
              <w:start w:w="70" w:type="dxa"/>
              <w:bottom w:w="55" w:type="dxa"/>
              <w:end w:w="70" w:type="dxa"/>
            </w:tcMar>
            <w:shd w:fill="D9EAF7"/>
          </w:tcPr>
          <w:p>
            <w:pPr>
              <w:jc w:val="center"/>
            </w:pPr>
            <w:r/>
            <w:r>
              <w:rPr>
                <w:rFonts w:ascii="Aptos" w:hAnsi="Aptos"/>
                <w:b/>
                <w:sz w:val="15"/>
              </w:rPr>
              <w:t>Document status</w:t>
            </w:r>
          </w:p>
        </w:tc>
        <w:tc>
          <w:tcPr>
            <w:tcW w:type="dxa" w:w="2592"/>
            <w:vAlign w:val="center"/>
            <w:tcMar>
              <w:top w:w="55" w:type="dxa"/>
              <w:start w:w="70" w:type="dxa"/>
              <w:bottom w:w="55" w:type="dxa"/>
              <w:end w:w="70" w:type="dxa"/>
            </w:tcMar>
            <w:shd w:fill="FFFFFF"/>
          </w:tcPr>
          <w:p>
            <w:pPr>
              <w:jc w:val="center"/>
            </w:pPr>
            <w:r/>
            <w:r>
              <w:rPr>
                <w:rFonts w:ascii="Aptos" w:hAnsi="Aptos"/>
                <w:b w:val="0"/>
                <w:sz w:val="15"/>
              </w:rPr>
              <w:t>Completed pilot analysis</w:t>
            </w:r>
          </w:p>
        </w:tc>
        <w:tc>
          <w:tcPr>
            <w:tcW w:type="dxa" w:w="2592"/>
            <w:vAlign w:val="center"/>
            <w:tcMar>
              <w:top w:w="55" w:type="dxa"/>
              <w:start w:w="70" w:type="dxa"/>
              <w:bottom w:w="55" w:type="dxa"/>
              <w:end w:w="70" w:type="dxa"/>
            </w:tcMar>
            <w:shd w:fill="D9EAF7"/>
          </w:tcPr>
          <w:p>
            <w:pPr>
              <w:jc w:val="center"/>
            </w:pPr>
            <w:r/>
            <w:r>
              <w:rPr>
                <w:rFonts w:ascii="Aptos" w:hAnsi="Aptos"/>
                <w:b/>
                <w:sz w:val="15"/>
              </w:rPr>
              <w:t>Legal effect</w:t>
            </w:r>
          </w:p>
        </w:tc>
        <w:tc>
          <w:tcPr>
            <w:tcW w:type="dxa" w:w="2592"/>
            <w:vAlign w:val="center"/>
            <w:tcMar>
              <w:top w:w="55" w:type="dxa"/>
              <w:start w:w="70" w:type="dxa"/>
              <w:bottom w:w="55" w:type="dxa"/>
              <w:end w:w="70" w:type="dxa"/>
            </w:tcMar>
            <w:shd w:fill="FFFFFF"/>
          </w:tcPr>
          <w:p>
            <w:pPr>
              <w:jc w:val="center"/>
            </w:pPr>
            <w:r/>
            <w:r>
              <w:rPr>
                <w:rFonts w:ascii="Aptos" w:hAnsi="Aptos"/>
                <w:b w:val="0"/>
                <w:sz w:val="15"/>
              </w:rPr>
              <w:t>Research/design aid; not legal advice</w:t>
            </w:r>
          </w:p>
        </w:tc>
      </w:tr>
    </w:tbl>
    <w:p/>
    <w:p>
      <w:pPr>
        <w:pStyle w:val="Heading1"/>
      </w:pPr>
      <w:r>
        <w:t>1. Executive Summary and Applicability to Cities</w:t>
      </w:r>
    </w:p>
    <w:p>
      <w:r>
        <w:t>Virginia supplies a highly structured initial-response workflow for local public bodies. A qualifying request must identify records with reasonable specificity. The city must act promptly and, in every case, within five working days by producing the records or issuing one of four authorized written responses. The statute separately defines extension, court-relief, fee-notice, estimate-tolling, deposit, unpaid-balance, electronic-record, and transferred-custody rules. It does not create legal labels such as simple or complex.</w:t>
      </w:r>
    </w:p>
    <w:p>
      <w:r>
        <w:rPr>
          <w:b/>
        </w:rPr>
        <w:t>Software bottom line:</w:t>
      </w:r>
      <w:r>
        <w:t xml:space="preserve"> Model the five-working-day timer and the four authorized responses as mandatory statewide rules. Treat reasonable specificity and extraordinary burden as human determinations. Model cost-estimate and deposit events as separate statutory clock-tolling branches. Do not automatically toll the legal timer merely because clarification was requested; Virginia provides express tolling for estimates and deposits, but not a general clarification toll.</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tcMar>
              <w:top w:w="55" w:type="dxa"/>
              <w:start w:w="70" w:type="dxa"/>
              <w:bottom w:w="55" w:type="dxa"/>
              <w:end w:w="70" w:type="dxa"/>
            </w:tcMar>
            <w:shd w:fill="17365D"/>
          </w:tcPr>
          <w:p>
            <w:pPr>
              <w:jc w:val="center"/>
            </w:pPr>
            <w:r/>
            <w:r>
              <w:rPr>
                <w:rFonts w:ascii="Aptos" w:hAnsi="Aptos"/>
                <w:b/>
                <w:color w:val="FFFFFF"/>
                <w:sz w:val="15"/>
              </w:rPr>
              <w:t>Authority</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5"/>
              </w:rPr>
              <w:t>Type / applicability</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5"/>
              </w:rPr>
              <w:t>Workflow significance</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5"/>
              </w:rPr>
              <w:t>Va. Code § 2.2-3704(A)-(E)</w:t>
            </w:r>
          </w:p>
        </w:tc>
        <w:tc>
          <w:tcPr>
            <w:tcW w:type="dxa" w:w="3456"/>
            <w:vAlign w:val="center"/>
            <w:tcMar>
              <w:top w:w="55" w:type="dxa"/>
              <w:start w:w="70" w:type="dxa"/>
              <w:bottom w:w="55" w:type="dxa"/>
              <w:end w:w="70" w:type="dxa"/>
            </w:tcMar>
          </w:tcPr>
          <w:p>
            <w:pPr>
              <w:jc w:val="left"/>
            </w:pPr>
            <w:r/>
            <w:r>
              <w:rPr>
                <w:rFonts w:ascii="Aptos" w:hAnsi="Aptos"/>
                <w:b w:val="0"/>
                <w:sz w:val="15"/>
              </w:rPr>
              <w:t>Statute; applies to public bodies including cities</w:t>
            </w:r>
          </w:p>
        </w:tc>
        <w:tc>
          <w:tcPr>
            <w:tcW w:type="dxa" w:w="3456"/>
            <w:vAlign w:val="center"/>
            <w:tcMar>
              <w:top w:w="55" w:type="dxa"/>
              <w:start w:w="70" w:type="dxa"/>
              <w:bottom w:w="55" w:type="dxa"/>
              <w:end w:w="70" w:type="dxa"/>
            </w:tcMar>
          </w:tcPr>
          <w:p>
            <w:pPr>
              <w:jc w:val="left"/>
            </w:pPr>
            <w:r/>
            <w:r>
              <w:rPr>
                <w:rFonts w:ascii="Aptos" w:hAnsi="Aptos"/>
                <w:b w:val="0"/>
                <w:sz w:val="15"/>
              </w:rPr>
              <w:t>Requester eligibility, reasonable specificity, five-working-day responses, extensions, court petition, no-record creation, deemed denial.</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5"/>
              </w:rPr>
              <w:t>Va. Code § 2.2-3704(F)-(J)</w:t>
            </w:r>
          </w:p>
        </w:tc>
        <w:tc>
          <w:tcPr>
            <w:tcW w:type="dxa" w:w="3456"/>
            <w:vAlign w:val="center"/>
            <w:tcMar>
              <w:top w:w="55" w:type="dxa"/>
              <w:start w:w="70" w:type="dxa"/>
              <w:bottom w:w="55" w:type="dxa"/>
              <w:end w:w="70" w:type="dxa"/>
            </w:tcMar>
            <w:shd w:fill="F2F2F2"/>
          </w:tcPr>
          <w:p>
            <w:pPr>
              <w:jc w:val="left"/>
            </w:pPr>
            <w:r/>
            <w:r>
              <w:rPr>
                <w:rFonts w:ascii="Aptos" w:hAnsi="Aptos"/>
                <w:b w:val="0"/>
                <w:sz w:val="15"/>
              </w:rPr>
              <w:t>Statute; applies to public bodies including cities</w:t>
            </w:r>
          </w:p>
        </w:tc>
        <w:tc>
          <w:tcPr>
            <w:tcW w:type="dxa" w:w="3456"/>
            <w:vAlign w:val="center"/>
            <w:tcMar>
              <w:top w:w="55" w:type="dxa"/>
              <w:start w:w="70" w:type="dxa"/>
              <w:bottom w:w="55" w:type="dxa"/>
              <w:end w:w="70" w:type="dxa"/>
            </w:tcMar>
            <w:shd w:fill="F2F2F2"/>
          </w:tcPr>
          <w:p>
            <w:pPr>
              <w:jc w:val="left"/>
            </w:pPr>
            <w:r/>
            <w:r>
              <w:rPr>
                <w:rFonts w:ascii="Aptos" w:hAnsi="Aptos"/>
                <w:b w:val="0"/>
                <w:sz w:val="15"/>
              </w:rPr>
              <w:t>Actual-cost limits, mandatory pre-search charge notice, optional requested estimate, tolling, 30-day withdrawal, deposits, old balances, electronic records, transferred custody.</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5"/>
              </w:rPr>
              <w:t>Va. Code § 2.2-3704.1</w:t>
            </w:r>
          </w:p>
        </w:tc>
        <w:tc>
          <w:tcPr>
            <w:tcW w:type="dxa" w:w="3456"/>
            <w:vAlign w:val="center"/>
            <w:tcMar>
              <w:top w:w="55" w:type="dxa"/>
              <w:start w:w="70" w:type="dxa"/>
              <w:bottom w:w="55" w:type="dxa"/>
              <w:end w:w="70" w:type="dxa"/>
            </w:tcMar>
          </w:tcPr>
          <w:p>
            <w:pPr>
              <w:jc w:val="left"/>
            </w:pPr>
            <w:r/>
            <w:r>
              <w:rPr>
                <w:rFonts w:ascii="Aptos" w:hAnsi="Aptos"/>
                <w:b w:val="0"/>
                <w:sz w:val="15"/>
              </w:rPr>
              <w:t>Statute; local-public-body publication duties</w:t>
            </w:r>
          </w:p>
        </w:tc>
        <w:tc>
          <w:tcPr>
            <w:tcW w:type="dxa" w:w="3456"/>
            <w:vAlign w:val="center"/>
            <w:tcMar>
              <w:top w:w="55" w:type="dxa"/>
              <w:start w:w="70" w:type="dxa"/>
              <w:bottom w:w="55" w:type="dxa"/>
              <w:end w:w="70" w:type="dxa"/>
            </w:tcMar>
          </w:tcPr>
          <w:p>
            <w:pPr>
              <w:jc w:val="left"/>
            </w:pPr>
            <w:r/>
            <w:r>
              <w:rPr>
                <w:rFonts w:ascii="Aptos" w:hAnsi="Aptos"/>
                <w:b w:val="0"/>
                <w:sz w:val="15"/>
              </w:rPr>
              <w:t>Requires local FOIA contact information, general rights and fee-policy information, and current written charge policy to be publicly available.</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5"/>
              </w:rPr>
              <w:t>Virginia FOIA Council resources</w:t>
            </w:r>
          </w:p>
        </w:tc>
        <w:tc>
          <w:tcPr>
            <w:tcW w:type="dxa" w:w="3456"/>
            <w:vAlign w:val="center"/>
            <w:tcMar>
              <w:top w:w="55" w:type="dxa"/>
              <w:start w:w="70" w:type="dxa"/>
              <w:bottom w:w="55" w:type="dxa"/>
              <w:end w:w="70" w:type="dxa"/>
            </w:tcMar>
            <w:shd w:fill="F2F2F2"/>
          </w:tcPr>
          <w:p>
            <w:pPr>
              <w:jc w:val="left"/>
            </w:pPr>
            <w:r/>
            <w:r>
              <w:rPr>
                <w:rFonts w:ascii="Aptos" w:hAnsi="Aptos"/>
                <w:b w:val="0"/>
                <w:sz w:val="15"/>
              </w:rPr>
              <w:t>Official state guidance</w:t>
            </w:r>
          </w:p>
        </w:tc>
        <w:tc>
          <w:tcPr>
            <w:tcW w:type="dxa" w:w="3456"/>
            <w:vAlign w:val="center"/>
            <w:tcMar>
              <w:top w:w="55" w:type="dxa"/>
              <w:start w:w="70" w:type="dxa"/>
              <w:bottom w:w="55" w:type="dxa"/>
              <w:end w:w="70" w:type="dxa"/>
            </w:tcMar>
            <w:shd w:fill="F2F2F2"/>
          </w:tcPr>
          <w:p>
            <w:pPr>
              <w:jc w:val="left"/>
            </w:pPr>
            <w:r/>
            <w:r>
              <w:rPr>
                <w:rFonts w:ascii="Aptos" w:hAnsi="Aptos"/>
                <w:b w:val="0"/>
                <w:sz w:val="15"/>
              </w:rPr>
              <w:t>Implementation assistance and model practices; guidance must not be elevated above statutory text.</w:t>
            </w:r>
          </w:p>
        </w:tc>
      </w:tr>
    </w:tbl>
    <w:p>
      <w:pPr>
        <w:spacing w:after="20"/>
      </w:pPr>
    </w:p>
    <w:p>
      <w:pPr>
        <w:pStyle w:val="Heading1"/>
      </w:pPr>
      <w:r>
        <w:t>3. Human-Readable Initial-Processing Workflow</w:t>
      </w:r>
    </w:p>
    <w:p>
      <w:pPr>
        <w:pStyle w:val="ListNumber"/>
        <w:spacing w:after="40"/>
      </w:pPr>
      <w:r>
        <w:t>Record the actual receipt date and channel. Confirm the requester is within the statutory access class if the city chooses to validate eligibility, and capture name and legal address only if the city exercises that statutory option.</w:t>
      </w:r>
    </w:p>
    <w:p>
      <w:pPr>
        <w:pStyle w:val="ListNumber"/>
        <w:spacing w:after="40"/>
      </w:pPr>
      <w:r>
        <w:t>Determine whether the description identifies existing records with reasonable specificity. If it does not, route to human review and request clarification; do not silently convert the request into a research assignment.</w:t>
      </w:r>
    </w:p>
    <w:p>
      <w:pPr>
        <w:pStyle w:val="ListNumber"/>
        <w:spacing w:after="40"/>
      </w:pPr>
      <w:r>
        <w:t>Identify custody. If the city lacks the records and knows another public body has them, prepare the required contact information for that body.</w:t>
      </w:r>
    </w:p>
    <w:p>
      <w:pPr>
        <w:pStyle w:val="ListNumber"/>
        <w:spacing w:after="40"/>
      </w:pPr>
      <w:r>
        <w:t>Before conducting a search, send the statutory written notice that reasonable actual-cost charges may apply and ask whether the requester wants an advance estimate.</w:t>
      </w:r>
    </w:p>
    <w:p>
      <w:pPr>
        <w:pStyle w:val="ListNumber"/>
        <w:spacing w:after="40"/>
      </w:pPr>
      <w:r>
        <w:t>Classify the initial response branch: produce; withhold in full; produce in part/withhold in part; records not found or nonexistent; or not practically possible to complete/determine availability within five working days.</w:t>
      </w:r>
    </w:p>
    <w:p>
      <w:pPr>
        <w:pStyle w:val="ListNumber"/>
        <w:spacing w:after="40"/>
      </w:pPr>
      <w:r>
        <w:t>Complete production or send the selected authorized written response promptly and no later than five working days after receipt.</w:t>
      </w:r>
    </w:p>
    <w:p>
      <w:pPr>
        <w:pStyle w:val="ListNumber"/>
        <w:spacing w:after="40"/>
      </w:pPr>
      <w:r>
        <w:t>If the impracticability response is timely, start the additional seven-work-day timer, or 60-work-day timer for qualifying criminal investigative files, and complete one of the authorized outcomes within that period.</w:t>
      </w:r>
    </w:p>
    <w:p>
      <w:pPr>
        <w:pStyle w:val="ListNumber"/>
        <w:spacing w:after="40"/>
      </w:pPr>
      <w:r>
        <w:t>If an extraordinary volume or extraordinarily lengthy search threatens operational responsibilities, attempt to agree with the requester on a reasonable time and, if necessary, route a petition for judicial additional time.</w:t>
      </w:r>
    </w:p>
    <w:p>
      <w:pPr>
        <w:pStyle w:val="ListNumber"/>
        <w:spacing w:after="40"/>
      </w:pPr>
      <w:r>
        <w:t>If the requester asks for an estimate, send it, toll the applicable response period while waiting, and mark the request withdrawn if no requester response arrives within 30 days.</w:t>
      </w:r>
    </w:p>
    <w:p>
      <w:pPr>
        <w:pStyle w:val="ListNumber"/>
        <w:spacing w:after="40"/>
      </w:pPr>
      <w:r>
        <w:t>If likely charges exceed $200, decide whether to require a deposit. If required, toll the response period from notice until the requester responds; credit the deposit to the final amount.</w:t>
      </w:r>
    </w:p>
    <w:p>
      <w:pPr>
        <w:pStyle w:val="ListNumber"/>
        <w:spacing w:after="40"/>
      </w:pPr>
      <w:r>
        <w:t>Produce nonexempt electronic records in a regularly used, requester-selected tangible medium where the city has capability. Reconcile actual lawful costs, credit estimates/deposits, collect any balance, and close with an audit record.</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Trigger or branch</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Deadline / timing standard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What must be communicated or completed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Clock effect</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Qualifying request received</w:t>
            </w:r>
          </w:p>
        </w:tc>
        <w:tc>
          <w:tcPr>
            <w:tcW w:type="dxa" w:w="2592"/>
            <w:vAlign w:val="center"/>
            <w:tcMar>
              <w:top w:w="55" w:type="dxa"/>
              <w:start w:w="70" w:type="dxa"/>
              <w:bottom w:w="55" w:type="dxa"/>
              <w:end w:w="70" w:type="dxa"/>
            </w:tcMar>
          </w:tcPr>
          <w:p>
            <w:pPr>
              <w:jc w:val="left"/>
            </w:pPr>
            <w:r/>
            <w:r>
              <w:rPr>
                <w:rFonts w:ascii="Aptos" w:hAnsi="Aptos"/>
                <w:b w:val="0"/>
                <w:sz w:val="14"/>
              </w:rPr>
              <w:t>Promptly; absolute maximum five working days</w:t>
            </w:r>
          </w:p>
        </w:tc>
        <w:tc>
          <w:tcPr>
            <w:tcW w:type="dxa" w:w="2592"/>
            <w:vAlign w:val="center"/>
            <w:tcMar>
              <w:top w:w="55" w:type="dxa"/>
              <w:start w:w="70" w:type="dxa"/>
              <w:bottom w:w="55" w:type="dxa"/>
              <w:end w:w="70" w:type="dxa"/>
            </w:tcMar>
          </w:tcPr>
          <w:p>
            <w:pPr>
              <w:jc w:val="left"/>
            </w:pPr>
            <w:r/>
            <w:r>
              <w:rPr>
                <w:rFonts w:ascii="Aptos" w:hAnsi="Aptos"/>
                <w:b w:val="0"/>
                <w:sz w:val="14"/>
              </w:rPr>
              <w:t>Produce records or issue one of the four authorized written responses.</w:t>
            </w:r>
          </w:p>
        </w:tc>
        <w:tc>
          <w:tcPr>
            <w:tcW w:type="dxa" w:w="2592"/>
            <w:vAlign w:val="center"/>
            <w:tcMar>
              <w:top w:w="55" w:type="dxa"/>
              <w:start w:w="70" w:type="dxa"/>
              <w:bottom w:w="55" w:type="dxa"/>
              <w:end w:w="70" w:type="dxa"/>
            </w:tcMar>
          </w:tcPr>
          <w:p>
            <w:pPr>
              <w:jc w:val="left"/>
            </w:pPr>
            <w:r/>
            <w:r>
              <w:rPr>
                <w:rFonts w:ascii="Aptos" w:hAnsi="Aptos"/>
                <w:b w:val="0"/>
                <w:sz w:val="14"/>
              </w:rPr>
              <w:t>Starts on receipt by the custodian public body.</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Full withholding</w:t>
            </w:r>
          </w:p>
        </w:tc>
        <w:tc>
          <w:tcPr>
            <w:tcW w:type="dxa" w:w="2592"/>
            <w:vAlign w:val="center"/>
            <w:tcMar>
              <w:top w:w="55" w:type="dxa"/>
              <w:start w:w="70" w:type="dxa"/>
              <w:bottom w:w="55" w:type="dxa"/>
              <w:end w:w="70" w:type="dxa"/>
            </w:tcMar>
            <w:shd w:fill="F2F2F2"/>
          </w:tcPr>
          <w:p>
            <w:pPr>
              <w:jc w:val="left"/>
            </w:pPr>
            <w:r/>
            <w:r>
              <w:rPr>
                <w:rFonts w:ascii="Aptos" w:hAnsi="Aptos"/>
                <w:b w:val="0"/>
                <w:sz w:val="14"/>
              </w:rPr>
              <w:t>Within five working days</w:t>
            </w:r>
          </w:p>
        </w:tc>
        <w:tc>
          <w:tcPr>
            <w:tcW w:type="dxa" w:w="2592"/>
            <w:vAlign w:val="center"/>
            <w:tcMar>
              <w:top w:w="55" w:type="dxa"/>
              <w:start w:w="70" w:type="dxa"/>
              <w:bottom w:w="55" w:type="dxa"/>
              <w:end w:w="70" w:type="dxa"/>
            </w:tcMar>
            <w:shd w:fill="F2F2F2"/>
          </w:tcPr>
          <w:p>
            <w:pPr>
              <w:jc w:val="left"/>
            </w:pPr>
            <w:r/>
            <w:r>
              <w:rPr>
                <w:rFonts w:ascii="Aptos" w:hAnsi="Aptos"/>
                <w:b w:val="0"/>
                <w:sz w:val="14"/>
              </w:rPr>
              <w:t>Identify with reasonable particularity the volume and subject matter; cite the specific Code section for each category.</w:t>
            </w:r>
          </w:p>
        </w:tc>
        <w:tc>
          <w:tcPr>
            <w:tcW w:type="dxa" w:w="2592"/>
            <w:vAlign w:val="center"/>
            <w:tcMar>
              <w:top w:w="55" w:type="dxa"/>
              <w:start w:w="70" w:type="dxa"/>
              <w:bottom w:w="55" w:type="dxa"/>
              <w:end w:w="70" w:type="dxa"/>
            </w:tcMar>
            <w:shd w:fill="F2F2F2"/>
          </w:tcPr>
          <w:p>
            <w:pPr>
              <w:jc w:val="left"/>
            </w:pPr>
            <w:r/>
            <w:r>
              <w:rPr>
                <w:rFonts w:ascii="Aptos" w:hAnsi="Aptos"/>
                <w:b w:val="0"/>
                <w:sz w:val="14"/>
              </w:rPr>
              <w:t>Satisfies initial response timer.</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Partial production/withholding</w:t>
            </w:r>
          </w:p>
        </w:tc>
        <w:tc>
          <w:tcPr>
            <w:tcW w:type="dxa" w:w="2592"/>
            <w:vAlign w:val="center"/>
            <w:tcMar>
              <w:top w:w="55" w:type="dxa"/>
              <w:start w:w="70" w:type="dxa"/>
              <w:bottom w:w="55" w:type="dxa"/>
              <w:end w:w="70" w:type="dxa"/>
            </w:tcMar>
          </w:tcPr>
          <w:p>
            <w:pPr>
              <w:jc w:val="left"/>
            </w:pPr>
            <w:r/>
            <w:r>
              <w:rPr>
                <w:rFonts w:ascii="Aptos" w:hAnsi="Aptos"/>
                <w:b w:val="0"/>
                <w:sz w:val="14"/>
              </w:rPr>
              <w:t>Within five working days</w:t>
            </w:r>
          </w:p>
        </w:tc>
        <w:tc>
          <w:tcPr>
            <w:tcW w:type="dxa" w:w="2592"/>
            <w:vAlign w:val="center"/>
            <w:tcMar>
              <w:top w:w="55" w:type="dxa"/>
              <w:start w:w="70" w:type="dxa"/>
              <w:bottom w:w="55" w:type="dxa"/>
              <w:end w:w="70" w:type="dxa"/>
            </w:tcMar>
          </w:tcPr>
          <w:p>
            <w:pPr>
              <w:jc w:val="left"/>
            </w:pPr>
            <w:r/>
            <w:r>
              <w:rPr>
                <w:rFonts w:ascii="Aptos" w:hAnsi="Aptos"/>
                <w:b w:val="0"/>
                <w:sz w:val="14"/>
              </w:rPr>
              <w:t>Provide nonexempt records; identify withheld subject matter and cite specific Code section for each category.</w:t>
            </w:r>
          </w:p>
        </w:tc>
        <w:tc>
          <w:tcPr>
            <w:tcW w:type="dxa" w:w="2592"/>
            <w:vAlign w:val="center"/>
            <w:tcMar>
              <w:top w:w="55" w:type="dxa"/>
              <w:start w:w="70" w:type="dxa"/>
              <w:bottom w:w="55" w:type="dxa"/>
              <w:end w:w="70" w:type="dxa"/>
            </w:tcMar>
          </w:tcPr>
          <w:p>
            <w:pPr>
              <w:jc w:val="left"/>
            </w:pPr>
            <w:r/>
            <w:r>
              <w:rPr>
                <w:rFonts w:ascii="Aptos" w:hAnsi="Aptos"/>
                <w:b w:val="0"/>
                <w:sz w:val="14"/>
              </w:rPr>
              <w:t>Satisfies initial response timer.</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Records unavailable/nonexistent</w:t>
            </w:r>
          </w:p>
        </w:tc>
        <w:tc>
          <w:tcPr>
            <w:tcW w:type="dxa" w:w="2592"/>
            <w:vAlign w:val="center"/>
            <w:tcMar>
              <w:top w:w="55" w:type="dxa"/>
              <w:start w:w="70" w:type="dxa"/>
              <w:bottom w:w="55" w:type="dxa"/>
              <w:end w:w="70" w:type="dxa"/>
            </w:tcMar>
            <w:shd w:fill="F2F2F2"/>
          </w:tcPr>
          <w:p>
            <w:pPr>
              <w:jc w:val="left"/>
            </w:pPr>
            <w:r/>
            <w:r>
              <w:rPr>
                <w:rFonts w:ascii="Aptos" w:hAnsi="Aptos"/>
                <w:b w:val="0"/>
                <w:sz w:val="14"/>
              </w:rPr>
              <w:t>Within five working days</w:t>
            </w:r>
          </w:p>
        </w:tc>
        <w:tc>
          <w:tcPr>
            <w:tcW w:type="dxa" w:w="2592"/>
            <w:vAlign w:val="center"/>
            <w:tcMar>
              <w:top w:w="55" w:type="dxa"/>
              <w:start w:w="70" w:type="dxa"/>
              <w:bottom w:w="55" w:type="dxa"/>
              <w:end w:w="70" w:type="dxa"/>
            </w:tcMar>
            <w:shd w:fill="F2F2F2"/>
          </w:tcPr>
          <w:p>
            <w:pPr>
              <w:jc w:val="left"/>
            </w:pPr>
            <w:r/>
            <w:r>
              <w:rPr>
                <w:rFonts w:ascii="Aptos" w:hAnsi="Aptos"/>
                <w:b w:val="0"/>
                <w:sz w:val="14"/>
              </w:rPr>
              <w:t>State records could not be found or do not exist; give other public body contact information if known.</w:t>
            </w:r>
          </w:p>
        </w:tc>
        <w:tc>
          <w:tcPr>
            <w:tcW w:type="dxa" w:w="2592"/>
            <w:vAlign w:val="center"/>
            <w:tcMar>
              <w:top w:w="55" w:type="dxa"/>
              <w:start w:w="70" w:type="dxa"/>
              <w:bottom w:w="55" w:type="dxa"/>
              <w:end w:w="70" w:type="dxa"/>
            </w:tcMar>
            <w:shd w:fill="F2F2F2"/>
          </w:tcPr>
          <w:p>
            <w:pPr>
              <w:jc w:val="left"/>
            </w:pPr>
            <w:r/>
            <w:r>
              <w:rPr>
                <w:rFonts w:ascii="Aptos" w:hAnsi="Aptos"/>
                <w:b w:val="0"/>
                <w:sz w:val="14"/>
              </w:rPr>
              <w:t>Satisfies initial response timer.</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Impracticable to produce or determine availability</w:t>
            </w:r>
          </w:p>
        </w:tc>
        <w:tc>
          <w:tcPr>
            <w:tcW w:type="dxa" w:w="2592"/>
            <w:vAlign w:val="center"/>
            <w:tcMar>
              <w:top w:w="55" w:type="dxa"/>
              <w:start w:w="70" w:type="dxa"/>
              <w:bottom w:w="55" w:type="dxa"/>
              <w:end w:w="70" w:type="dxa"/>
            </w:tcMar>
          </w:tcPr>
          <w:p>
            <w:pPr>
              <w:jc w:val="left"/>
            </w:pPr>
            <w:r/>
            <w:r>
              <w:rPr>
                <w:rFonts w:ascii="Aptos" w:hAnsi="Aptos"/>
                <w:b w:val="0"/>
                <w:sz w:val="14"/>
              </w:rPr>
              <w:t>Written response within five working days</w:t>
            </w:r>
          </w:p>
        </w:tc>
        <w:tc>
          <w:tcPr>
            <w:tcW w:type="dxa" w:w="2592"/>
            <w:vAlign w:val="center"/>
            <w:tcMar>
              <w:top w:w="55" w:type="dxa"/>
              <w:start w:w="70" w:type="dxa"/>
              <w:bottom w:w="55" w:type="dxa"/>
              <w:end w:w="70" w:type="dxa"/>
            </w:tcMar>
          </w:tcPr>
          <w:p>
            <w:pPr>
              <w:jc w:val="left"/>
            </w:pPr>
            <w:r/>
            <w:r>
              <w:rPr>
                <w:rFonts w:ascii="Aptos" w:hAnsi="Aptos"/>
                <w:b w:val="0"/>
                <w:sz w:val="14"/>
              </w:rPr>
              <w:t>Specify conditions making timely response impossible.</w:t>
            </w:r>
          </w:p>
        </w:tc>
        <w:tc>
          <w:tcPr>
            <w:tcW w:type="dxa" w:w="2592"/>
            <w:vAlign w:val="center"/>
            <w:tcMar>
              <w:top w:w="55" w:type="dxa"/>
              <w:start w:w="70" w:type="dxa"/>
              <w:bottom w:w="55" w:type="dxa"/>
              <w:end w:w="70" w:type="dxa"/>
            </w:tcMar>
          </w:tcPr>
          <w:p>
            <w:pPr>
              <w:jc w:val="left"/>
            </w:pPr>
            <w:r/>
            <w:r>
              <w:rPr>
                <w:rFonts w:ascii="Aptos" w:hAnsi="Aptos"/>
                <w:b w:val="0"/>
                <w:sz w:val="14"/>
              </w:rPr>
              <w:t>Adds seven work days; 60 work days for qualifying criminal investigative files.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Extraordinary volume/lengthy search</w:t>
            </w:r>
          </w:p>
        </w:tc>
        <w:tc>
          <w:tcPr>
            <w:tcW w:type="dxa" w:w="2592"/>
            <w:vAlign w:val="center"/>
            <w:tcMar>
              <w:top w:w="55" w:type="dxa"/>
              <w:start w:w="70" w:type="dxa"/>
              <w:bottom w:w="55" w:type="dxa"/>
              <w:end w:w="70" w:type="dxa"/>
            </w:tcMar>
            <w:shd w:fill="F2F2F2"/>
          </w:tcPr>
          <w:p>
            <w:pPr>
              <w:jc w:val="left"/>
            </w:pPr>
            <w:r/>
            <w:r>
              <w:rPr>
                <w:rFonts w:ascii="Aptos" w:hAnsi="Aptos"/>
                <w:b w:val="0"/>
                <w:sz w:val="14"/>
              </w:rPr>
              <w:t>After reasonable effort to agree with requester</w:t>
            </w:r>
          </w:p>
        </w:tc>
        <w:tc>
          <w:tcPr>
            <w:tcW w:type="dxa" w:w="2592"/>
            <w:vAlign w:val="center"/>
            <w:tcMar>
              <w:top w:w="55" w:type="dxa"/>
              <w:start w:w="70" w:type="dxa"/>
              <w:bottom w:w="55" w:type="dxa"/>
              <w:end w:w="70" w:type="dxa"/>
            </w:tcMar>
            <w:shd w:fill="F2F2F2"/>
          </w:tcPr>
          <w:p>
            <w:pPr>
              <w:jc w:val="left"/>
            </w:pPr>
            <w:r/>
            <w:r>
              <w:rPr>
                <w:rFonts w:ascii="Aptos" w:hAnsi="Aptos"/>
                <w:b w:val="0"/>
                <w:sz w:val="14"/>
              </w:rPr>
              <w:t>Court petition for additional time.</w:t>
            </w:r>
          </w:p>
        </w:tc>
        <w:tc>
          <w:tcPr>
            <w:tcW w:type="dxa" w:w="2592"/>
            <w:vAlign w:val="center"/>
            <w:tcMar>
              <w:top w:w="55" w:type="dxa"/>
              <w:start w:w="70" w:type="dxa"/>
              <w:bottom w:w="55" w:type="dxa"/>
              <w:end w:w="70" w:type="dxa"/>
            </w:tcMar>
            <w:shd w:fill="F2F2F2"/>
          </w:tcPr>
          <w:p>
            <w:pPr>
              <w:jc w:val="left"/>
            </w:pPr>
            <w:r/>
            <w:r>
              <w:rPr>
                <w:rFonts w:ascii="Aptos" w:hAnsi="Aptos"/>
                <w:b w:val="0"/>
                <w:sz w:val="14"/>
              </w:rPr>
              <w:t>Court-defined; no automatic extension without authorized response/petition.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Advance estimate requested</w:t>
            </w:r>
          </w:p>
        </w:tc>
        <w:tc>
          <w:tcPr>
            <w:tcW w:type="dxa" w:w="2592"/>
            <w:vAlign w:val="center"/>
            <w:tcMar>
              <w:top w:w="55" w:type="dxa"/>
              <w:start w:w="70" w:type="dxa"/>
              <w:bottom w:w="55" w:type="dxa"/>
              <w:end w:w="70" w:type="dxa"/>
            </w:tcMar>
          </w:tcPr>
          <w:p>
            <w:pPr>
              <w:jc w:val="left"/>
            </w:pPr>
            <w:r/>
            <w:r>
              <w:rPr>
                <w:rFonts w:ascii="Aptos" w:hAnsi="Aptos"/>
                <w:b w:val="0"/>
                <w:sz w:val="14"/>
              </w:rPr>
              <w:t>Before supply; after mandatory pre-search notice</w:t>
            </w:r>
          </w:p>
        </w:tc>
        <w:tc>
          <w:tcPr>
            <w:tcW w:type="dxa" w:w="2592"/>
            <w:vAlign w:val="center"/>
            <w:tcMar>
              <w:top w:w="55" w:type="dxa"/>
              <w:start w:w="70" w:type="dxa"/>
              <w:bottom w:w="55" w:type="dxa"/>
              <w:end w:w="70" w:type="dxa"/>
            </w:tcMar>
          </w:tcPr>
          <w:p>
            <w:pPr>
              <w:jc w:val="left"/>
            </w:pPr>
            <w:r/>
            <w:r>
              <w:rPr>
                <w:rFonts w:ascii="Aptos" w:hAnsi="Aptos"/>
                <w:b w:val="0"/>
                <w:sz w:val="14"/>
              </w:rPr>
              <w:t>Provide estimate.</w:t>
            </w:r>
          </w:p>
        </w:tc>
        <w:tc>
          <w:tcPr>
            <w:tcW w:type="dxa" w:w="2592"/>
            <w:vAlign w:val="center"/>
            <w:tcMar>
              <w:top w:w="55" w:type="dxa"/>
              <w:start w:w="70" w:type="dxa"/>
              <w:bottom w:w="55" w:type="dxa"/>
              <w:end w:w="70" w:type="dxa"/>
            </w:tcMar>
          </w:tcPr>
          <w:p>
            <w:pPr>
              <w:jc w:val="left"/>
            </w:pPr>
            <w:r/>
            <w:r>
              <w:rPr>
                <w:rFonts w:ascii="Aptos" w:hAnsi="Aptos"/>
                <w:b w:val="0"/>
                <w:sz w:val="14"/>
              </w:rPr>
              <w:t>Statutory response period tolled from estimate notice to requester response; no response in 30 days = withdrawn.</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Likely charges exceed $200 and deposit required</w:t>
            </w:r>
          </w:p>
        </w:tc>
        <w:tc>
          <w:tcPr>
            <w:tcW w:type="dxa" w:w="2592"/>
            <w:vAlign w:val="center"/>
            <w:tcMar>
              <w:top w:w="55" w:type="dxa"/>
              <w:start w:w="70" w:type="dxa"/>
              <w:bottom w:w="55" w:type="dxa"/>
              <w:end w:w="70" w:type="dxa"/>
            </w:tcMar>
            <w:shd w:fill="F2F2F2"/>
          </w:tcPr>
          <w:p>
            <w:pPr>
              <w:jc w:val="left"/>
            </w:pPr>
            <w:r/>
            <w:r>
              <w:rPr>
                <w:rFonts w:ascii="Aptos" w:hAnsi="Aptos"/>
                <w:b w:val="0"/>
                <w:sz w:val="14"/>
              </w:rPr>
              <w:t>Before continuing processing</w:t>
            </w:r>
          </w:p>
        </w:tc>
        <w:tc>
          <w:tcPr>
            <w:tcW w:type="dxa" w:w="2592"/>
            <w:vAlign w:val="center"/>
            <w:tcMar>
              <w:top w:w="55" w:type="dxa"/>
              <w:start w:w="70" w:type="dxa"/>
              <w:bottom w:w="55" w:type="dxa"/>
              <w:end w:w="70" w:type="dxa"/>
            </w:tcMar>
            <w:shd w:fill="F2F2F2"/>
          </w:tcPr>
          <w:p>
            <w:pPr>
              <w:jc w:val="left"/>
            </w:pPr>
            <w:r/>
            <w:r>
              <w:rPr>
                <w:rFonts w:ascii="Aptos" w:hAnsi="Aptos"/>
                <w:b w:val="0"/>
                <w:sz w:val="14"/>
              </w:rPr>
              <w:t>Notify requester of advance determination/deposit.</w:t>
            </w:r>
          </w:p>
        </w:tc>
        <w:tc>
          <w:tcPr>
            <w:tcW w:type="dxa" w:w="2592"/>
            <w:vAlign w:val="center"/>
            <w:tcMar>
              <w:top w:w="55" w:type="dxa"/>
              <w:start w:w="70" w:type="dxa"/>
              <w:bottom w:w="55" w:type="dxa"/>
              <w:end w:w="70" w:type="dxa"/>
            </w:tcMar>
            <w:shd w:fill="F2F2F2"/>
          </w:tcPr>
          <w:p>
            <w:pPr>
              <w:jc w:val="left"/>
            </w:pPr>
            <w:r/>
            <w:r>
              <w:rPr>
                <w:rFonts w:ascii="Aptos" w:hAnsi="Aptos"/>
                <w:b w:val="0"/>
                <w:sz w:val="14"/>
              </w:rPr>
              <w:t>Response period tolled until requester responds.</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Failure to respond</w:t>
            </w:r>
          </w:p>
        </w:tc>
        <w:tc>
          <w:tcPr>
            <w:tcW w:type="dxa" w:w="2592"/>
            <w:vAlign w:val="center"/>
            <w:tcMar>
              <w:top w:w="55" w:type="dxa"/>
              <w:start w:w="70" w:type="dxa"/>
              <w:bottom w:w="55" w:type="dxa"/>
              <w:end w:w="70" w:type="dxa"/>
            </w:tcMar>
          </w:tcPr>
          <w:p>
            <w:pPr>
              <w:jc w:val="left"/>
            </w:pPr>
            <w:r/>
            <w:r>
              <w:rPr>
                <w:rFonts w:ascii="Aptos" w:hAnsi="Aptos"/>
                <w:b w:val="0"/>
                <w:sz w:val="14"/>
              </w:rPr>
              <w:t>At expiration of applicable period</w:t>
            </w:r>
          </w:p>
        </w:tc>
        <w:tc>
          <w:tcPr>
            <w:tcW w:type="dxa" w:w="2592"/>
            <w:vAlign w:val="center"/>
            <w:tcMar>
              <w:top w:w="55" w:type="dxa"/>
              <w:start w:w="70" w:type="dxa"/>
              <w:bottom w:w="55" w:type="dxa"/>
              <w:end w:w="70" w:type="dxa"/>
            </w:tcMar>
          </w:tcPr>
          <w:p>
            <w:pPr>
              <w:jc w:val="left"/>
            </w:pPr>
            <w:r/>
            <w:r>
              <w:rPr>
                <w:rFonts w:ascii="Aptos" w:hAnsi="Aptos"/>
                <w:b w:val="0"/>
                <w:sz w:val="14"/>
              </w:rPr>
              <w:t>No communication is legally insufficient.</w:t>
            </w:r>
          </w:p>
        </w:tc>
        <w:tc>
          <w:tcPr>
            <w:tcW w:type="dxa" w:w="2592"/>
            <w:vAlign w:val="center"/>
            <w:tcMar>
              <w:top w:w="55" w:type="dxa"/>
              <w:start w:w="70" w:type="dxa"/>
              <w:bottom w:w="55" w:type="dxa"/>
              <w:end w:w="70" w:type="dxa"/>
            </w:tcMar>
          </w:tcPr>
          <w:p>
            <w:pPr>
              <w:jc w:val="left"/>
            </w:pPr>
            <w:r/>
            <w:r>
              <w:rPr>
                <w:rFonts w:ascii="Aptos" w:hAnsi="Aptos"/>
                <w:b w:val="0"/>
                <w:sz w:val="14"/>
              </w:rPr>
              <w:t>Deemed denial and statutory violation.</w:t>
            </w:r>
          </w:p>
        </w:tc>
      </w:tr>
    </w:tbl>
    <w:p>
      <w:pPr>
        <w:spacing w:after="20"/>
      </w:pPr>
    </w:p>
    <w:p>
      <w:pPr>
        <w:pStyle w:val="Heading1"/>
      </w:pPr>
      <w:r>
        <w:t>5. Vague, Unclear, or Overly Broad Requests</w:t>
      </w:r>
    </w:p>
    <w:p>
      <w:r>
        <w:t>Virginia requires the request to identify records with reasonable specificity. This is a legal sufficiency standard, not a numeric configuration value. The engine should require a documented human determination explaining what is missing, such as record type, custodian, subject, sender/recipient, or time range.</w:t>
      </w:r>
    </w:p>
    <w:p>
      <w:r>
        <w:t>The statute does not state that a clarification request automatically pauses the five-working-day response period. The engine therefore should not apply a statewide clarification toll. A city may configure a local clarification workflow, but it should preserve the running legal timer unless the request is determined not to meet the statutory specificity requirement, the requester agrees to a revised request, or another express statutory toll applies.</w:t>
      </w:r>
    </w:p>
    <w:p>
      <w:r>
        <w:t>Virginia has an express requester-nonresponse rule only for an issued cost estimate: no response within 30 days makes the request withdrawn. That rule should not be generalized to all clarification communications.</w:t>
      </w:r>
    </w:p>
    <w:p>
      <w:pPr>
        <w:pStyle w:val="Heading1"/>
      </w:pPr>
      <w:r>
        <w:t>6. Denial and Partial-Denial Process</w:t>
      </w:r>
    </w:p>
    <w:p>
      <w:r>
        <w:t>A full denial must be in writing within the applicable response period. It must identify with reasonable particularity the volume and subject matter of the withheld records and cite, for each category, the specific Code section authorizing withholding.</w:t>
      </w:r>
    </w:p>
    <w:p>
      <w:r>
        <w:t>A partial denial must provide the nonexempt material and identify with reasonable particularity the subject matter of withheld portions, with the specific Code section for each withheld category.</w:t>
      </w:r>
    </w:p>
    <w:p>
      <w:r>
        <w:t>Failure to respond is itself deemed a denial and a violation. The workflow should prevent closure without a production, authorized written response, or documented superseding event such as withdrawal after a cost estimate.</w:t>
      </w:r>
    </w:p>
    <w:p>
      <w:pPr>
        <w:pStyle w:val="Heading1"/>
      </w:pPr>
      <w:r>
        <w:t>7. Legal Classifications, Processing Tracks, and Operational Classifications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Classification / track</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Legal or operational?</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Trigger / criteria</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Effect on workflow</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Standard five-day track</w:t>
            </w:r>
          </w:p>
        </w:tc>
        <w:tc>
          <w:tcPr>
            <w:tcW w:type="dxa" w:w="2592"/>
            <w:vAlign w:val="center"/>
            <w:tcMar>
              <w:top w:w="55" w:type="dxa"/>
              <w:start w:w="70" w:type="dxa"/>
              <w:bottom w:w="55" w:type="dxa"/>
              <w:end w:w="70" w:type="dxa"/>
            </w:tcMar>
          </w:tcPr>
          <w:p>
            <w:pPr>
              <w:jc w:val="left"/>
            </w:pPr>
            <w:r/>
            <w:r>
              <w:rPr>
                <w:rFonts w:ascii="Aptos" w:hAnsi="Aptos"/>
                <w:b w:val="0"/>
                <w:sz w:val="14"/>
              </w:rPr>
              <w:t>Legal</w:t>
            </w:r>
          </w:p>
        </w:tc>
        <w:tc>
          <w:tcPr>
            <w:tcW w:type="dxa" w:w="2592"/>
            <w:vAlign w:val="center"/>
            <w:tcMar>
              <w:top w:w="55" w:type="dxa"/>
              <w:start w:w="70" w:type="dxa"/>
              <w:bottom w:w="55" w:type="dxa"/>
              <w:end w:w="70" w:type="dxa"/>
            </w:tcMar>
          </w:tcPr>
          <w:p>
            <w:pPr>
              <w:jc w:val="left"/>
            </w:pPr>
            <w:r/>
            <w:r>
              <w:rPr>
                <w:rFonts w:ascii="Aptos" w:hAnsi="Aptos"/>
                <w:b w:val="0"/>
                <w:sz w:val="14"/>
              </w:rPr>
              <w:t>Qualifying request; no special branch</w:t>
            </w:r>
          </w:p>
        </w:tc>
        <w:tc>
          <w:tcPr>
            <w:tcW w:type="dxa" w:w="2592"/>
            <w:vAlign w:val="center"/>
            <w:tcMar>
              <w:top w:w="55" w:type="dxa"/>
              <w:start w:w="70" w:type="dxa"/>
              <w:bottom w:w="55" w:type="dxa"/>
              <w:end w:w="70" w:type="dxa"/>
            </w:tcMar>
          </w:tcPr>
          <w:p>
            <w:pPr>
              <w:jc w:val="left"/>
            </w:pPr>
            <w:r/>
            <w:r>
              <w:rPr>
                <w:rFonts w:ascii="Aptos" w:hAnsi="Aptos"/>
                <w:b w:val="0"/>
                <w:sz w:val="14"/>
              </w:rPr>
              <w:t>Produce or issue one of four written responses within five working days.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Impracticability extension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w:t>
            </w:r>
          </w:p>
        </w:tc>
        <w:tc>
          <w:tcPr>
            <w:tcW w:type="dxa" w:w="2592"/>
            <w:vAlign w:val="center"/>
            <w:tcMar>
              <w:top w:w="55" w:type="dxa"/>
              <w:start w:w="70" w:type="dxa"/>
              <w:bottom w:w="55" w:type="dxa"/>
              <w:end w:w="70" w:type="dxa"/>
            </w:tcMar>
            <w:shd w:fill="F2F2F2"/>
          </w:tcPr>
          <w:p>
            <w:pPr>
              <w:jc w:val="left"/>
            </w:pPr>
            <w:r/>
            <w:r>
              <w:rPr>
                <w:rFonts w:ascii="Aptos" w:hAnsi="Aptos"/>
                <w:b w:val="0"/>
                <w:sz w:val="14"/>
              </w:rPr>
              <w:t>Not practically possible to produce or determine availability within five days</w:t>
            </w:r>
          </w:p>
        </w:tc>
        <w:tc>
          <w:tcPr>
            <w:tcW w:type="dxa" w:w="2592"/>
            <w:vAlign w:val="center"/>
            <w:tcMar>
              <w:top w:w="55" w:type="dxa"/>
              <w:start w:w="70" w:type="dxa"/>
              <w:bottom w:w="55" w:type="dxa"/>
              <w:end w:w="70" w:type="dxa"/>
            </w:tcMar>
            <w:shd w:fill="F2F2F2"/>
          </w:tcPr>
          <w:p>
            <w:pPr>
              <w:jc w:val="left"/>
            </w:pPr>
            <w:r/>
            <w:r>
              <w:rPr>
                <w:rFonts w:ascii="Aptos" w:hAnsi="Aptos"/>
                <w:b w:val="0"/>
                <w:sz w:val="14"/>
              </w:rPr>
              <w:t>Written conditions notice; additional seven work days.</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Criminal investigative file extension</w:t>
            </w:r>
          </w:p>
        </w:tc>
        <w:tc>
          <w:tcPr>
            <w:tcW w:type="dxa" w:w="2592"/>
            <w:vAlign w:val="center"/>
            <w:tcMar>
              <w:top w:w="55" w:type="dxa"/>
              <w:start w:w="70" w:type="dxa"/>
              <w:bottom w:w="55" w:type="dxa"/>
              <w:end w:w="70" w:type="dxa"/>
            </w:tcMar>
          </w:tcPr>
          <w:p>
            <w:pPr>
              <w:jc w:val="left"/>
            </w:pPr>
            <w:r/>
            <w:r>
              <w:rPr>
                <w:rFonts w:ascii="Aptos" w:hAnsi="Aptos"/>
                <w:b w:val="0"/>
                <w:sz w:val="14"/>
              </w:rPr>
              <w:t>Legal</w:t>
            </w:r>
          </w:p>
        </w:tc>
        <w:tc>
          <w:tcPr>
            <w:tcW w:type="dxa" w:w="2592"/>
            <w:vAlign w:val="center"/>
            <w:tcMar>
              <w:top w:w="55" w:type="dxa"/>
              <w:start w:w="70" w:type="dxa"/>
              <w:bottom w:w="55" w:type="dxa"/>
              <w:end w:w="70" w:type="dxa"/>
            </w:tcMar>
          </w:tcPr>
          <w:p>
            <w:pPr>
              <w:jc w:val="left"/>
            </w:pPr>
            <w:r/>
            <w:r>
              <w:rPr>
                <w:rFonts w:ascii="Aptos" w:hAnsi="Aptos"/>
                <w:b w:val="0"/>
                <w:sz w:val="14"/>
              </w:rPr>
              <w:t>Qualifying request under § 2.2-3706.1</w:t>
            </w:r>
          </w:p>
        </w:tc>
        <w:tc>
          <w:tcPr>
            <w:tcW w:type="dxa" w:w="2592"/>
            <w:vAlign w:val="center"/>
            <w:tcMar>
              <w:top w:w="55" w:type="dxa"/>
              <w:start w:w="70" w:type="dxa"/>
              <w:bottom w:w="55" w:type="dxa"/>
              <w:end w:w="70" w:type="dxa"/>
            </w:tcMar>
          </w:tcPr>
          <w:p>
            <w:pPr>
              <w:jc w:val="left"/>
            </w:pPr>
            <w:r/>
            <w:r>
              <w:rPr>
                <w:rFonts w:ascii="Aptos" w:hAnsi="Aptos"/>
                <w:b w:val="0"/>
                <w:sz w:val="14"/>
              </w:rPr>
              <w:t>Written conditions notice; additional 60 work days.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Extraordinary-volume court track</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w:t>
            </w:r>
          </w:p>
        </w:tc>
        <w:tc>
          <w:tcPr>
            <w:tcW w:type="dxa" w:w="2592"/>
            <w:vAlign w:val="center"/>
            <w:tcMar>
              <w:top w:w="55" w:type="dxa"/>
              <w:start w:w="70" w:type="dxa"/>
              <w:bottom w:w="55" w:type="dxa"/>
              <w:end w:w="70" w:type="dxa"/>
            </w:tcMar>
            <w:shd w:fill="F2F2F2"/>
          </w:tcPr>
          <w:p>
            <w:pPr>
              <w:jc w:val="left"/>
            </w:pPr>
            <w:r/>
            <w:r>
              <w:rPr>
                <w:rFonts w:ascii="Aptos" w:hAnsi="Aptos"/>
                <w:b w:val="0"/>
                <w:sz w:val="14"/>
              </w:rPr>
              <w:t>Extraordinary volume/lengthy search would prevent operational duties</w:t>
            </w:r>
          </w:p>
        </w:tc>
        <w:tc>
          <w:tcPr>
            <w:tcW w:type="dxa" w:w="2592"/>
            <w:vAlign w:val="center"/>
            <w:tcMar>
              <w:top w:w="55" w:type="dxa"/>
              <w:start w:w="70" w:type="dxa"/>
              <w:bottom w:w="55" w:type="dxa"/>
              <w:end w:w="70" w:type="dxa"/>
            </w:tcMar>
            <w:shd w:fill="F2F2F2"/>
          </w:tcPr>
          <w:p>
            <w:pPr>
              <w:jc w:val="left"/>
            </w:pPr>
            <w:r/>
            <w:r>
              <w:rPr>
                <w:rFonts w:ascii="Aptos" w:hAnsi="Aptos"/>
                <w:b w:val="0"/>
                <w:sz w:val="14"/>
              </w:rPr>
              <w:t>Reasonable effort to agree, then possible court petition.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Estimate-waiting track</w:t>
            </w:r>
          </w:p>
        </w:tc>
        <w:tc>
          <w:tcPr>
            <w:tcW w:type="dxa" w:w="2592"/>
            <w:vAlign w:val="center"/>
            <w:tcMar>
              <w:top w:w="55" w:type="dxa"/>
              <w:start w:w="70" w:type="dxa"/>
              <w:bottom w:w="55" w:type="dxa"/>
              <w:end w:w="70" w:type="dxa"/>
            </w:tcMar>
          </w:tcPr>
          <w:p>
            <w:pPr>
              <w:jc w:val="left"/>
            </w:pPr>
            <w:r/>
            <w:r>
              <w:rPr>
                <w:rFonts w:ascii="Aptos" w:hAnsi="Aptos"/>
                <w:b w:val="0"/>
                <w:sz w:val="14"/>
              </w:rPr>
              <w:t>Legal</w:t>
            </w:r>
          </w:p>
        </w:tc>
        <w:tc>
          <w:tcPr>
            <w:tcW w:type="dxa" w:w="2592"/>
            <w:vAlign w:val="center"/>
            <w:tcMar>
              <w:top w:w="55" w:type="dxa"/>
              <w:start w:w="70" w:type="dxa"/>
              <w:bottom w:w="55" w:type="dxa"/>
              <w:end w:w="70" w:type="dxa"/>
            </w:tcMar>
          </w:tcPr>
          <w:p>
            <w:pPr>
              <w:jc w:val="left"/>
            </w:pPr>
            <w:r/>
            <w:r>
              <w:rPr>
                <w:rFonts w:ascii="Aptos" w:hAnsi="Aptos"/>
                <w:b w:val="0"/>
                <w:sz w:val="14"/>
              </w:rPr>
              <w:t>Requester asks for estimate after charge notice</w:t>
            </w:r>
          </w:p>
        </w:tc>
        <w:tc>
          <w:tcPr>
            <w:tcW w:type="dxa" w:w="2592"/>
            <w:vAlign w:val="center"/>
            <w:tcMar>
              <w:top w:w="55" w:type="dxa"/>
              <w:start w:w="70" w:type="dxa"/>
              <w:bottom w:w="55" w:type="dxa"/>
              <w:end w:w="70" w:type="dxa"/>
            </w:tcMar>
          </w:tcPr>
          <w:p>
            <w:pPr>
              <w:jc w:val="left"/>
            </w:pPr>
            <w:r/>
            <w:r>
              <w:rPr>
                <w:rFonts w:ascii="Aptos" w:hAnsi="Aptos"/>
                <w:b w:val="0"/>
                <w:sz w:val="14"/>
              </w:rPr>
              <w:t>Timer toll; 30-day nonresponse withdrawal.</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Deposit-waiting track</w:t>
            </w:r>
          </w:p>
        </w:tc>
        <w:tc>
          <w:tcPr>
            <w:tcW w:type="dxa" w:w="2592"/>
            <w:vAlign w:val="center"/>
            <w:tcMar>
              <w:top w:w="55" w:type="dxa"/>
              <w:start w:w="70" w:type="dxa"/>
              <w:bottom w:w="55" w:type="dxa"/>
              <w:end w:w="70" w:type="dxa"/>
            </w:tcMar>
            <w:shd w:fill="F2F2F2"/>
          </w:tcPr>
          <w:p>
            <w:pPr>
              <w:jc w:val="left"/>
            </w:pPr>
            <w:r/>
            <w:r>
              <w:rPr>
                <w:rFonts w:ascii="Aptos" w:hAnsi="Aptos"/>
                <w:b w:val="0"/>
                <w:sz w:val="14"/>
              </w:rPr>
              <w:t>Legal/discretionary</w:t>
            </w:r>
          </w:p>
        </w:tc>
        <w:tc>
          <w:tcPr>
            <w:tcW w:type="dxa" w:w="2592"/>
            <w:vAlign w:val="center"/>
            <w:tcMar>
              <w:top w:w="55" w:type="dxa"/>
              <w:start w:w="70" w:type="dxa"/>
              <w:bottom w:w="55" w:type="dxa"/>
              <w:end w:w="70" w:type="dxa"/>
            </w:tcMar>
            <w:shd w:fill="F2F2F2"/>
          </w:tcPr>
          <w:p>
            <w:pPr>
              <w:jc w:val="left"/>
            </w:pPr>
            <w:r/>
            <w:r>
              <w:rPr>
                <w:rFonts w:ascii="Aptos" w:hAnsi="Aptos"/>
                <w:b w:val="0"/>
                <w:sz w:val="14"/>
              </w:rPr>
              <w:t>Likely charges exceed $200 and city elects deposit</w:t>
            </w:r>
          </w:p>
        </w:tc>
        <w:tc>
          <w:tcPr>
            <w:tcW w:type="dxa" w:w="2592"/>
            <w:vAlign w:val="center"/>
            <w:tcMar>
              <w:top w:w="55" w:type="dxa"/>
              <w:start w:w="70" w:type="dxa"/>
              <w:bottom w:w="55" w:type="dxa"/>
              <w:end w:w="70" w:type="dxa"/>
            </w:tcMar>
            <w:shd w:fill="F2F2F2"/>
          </w:tcPr>
          <w:p>
            <w:pPr>
              <w:jc w:val="left"/>
            </w:pPr>
            <w:r/>
            <w:r>
              <w:rPr>
                <w:rFonts w:ascii="Aptos" w:hAnsi="Aptos"/>
                <w:b w:val="0"/>
                <w:sz w:val="14"/>
              </w:rPr>
              <w:t>Processing may pause; timer toll until response.</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Simple/standard/complex</w:t>
            </w:r>
          </w:p>
        </w:tc>
        <w:tc>
          <w:tcPr>
            <w:tcW w:type="dxa" w:w="2592"/>
            <w:vAlign w:val="center"/>
            <w:tcMar>
              <w:top w:w="55" w:type="dxa"/>
              <w:start w:w="70" w:type="dxa"/>
              <w:bottom w:w="55" w:type="dxa"/>
              <w:end w:w="70" w:type="dxa"/>
            </w:tcMar>
          </w:tcPr>
          <w:p>
            <w:pPr>
              <w:jc w:val="left"/>
            </w:pPr>
            <w:r/>
            <w:r>
              <w:rPr>
                <w:rFonts w:ascii="Aptos" w:hAnsi="Aptos"/>
                <w:b w:val="0"/>
                <w:sz w:val="14"/>
              </w:rPr>
              <w:t>Operational only</w:t>
            </w:r>
          </w:p>
        </w:tc>
        <w:tc>
          <w:tcPr>
            <w:tcW w:type="dxa" w:w="2592"/>
            <w:vAlign w:val="center"/>
            <w:tcMar>
              <w:top w:w="55" w:type="dxa"/>
              <w:start w:w="70" w:type="dxa"/>
              <w:bottom w:w="55" w:type="dxa"/>
              <w:end w:w="70" w:type="dxa"/>
            </w:tcMar>
          </w:tcPr>
          <w:p>
            <w:pPr>
              <w:jc w:val="left"/>
            </w:pPr>
            <w:r/>
            <w:r>
              <w:rPr>
                <w:rFonts w:ascii="Aptos" w:hAnsi="Aptos"/>
                <w:b w:val="0"/>
                <w:sz w:val="14"/>
              </w:rPr>
              <w:t>Local workload criteria</w:t>
            </w:r>
          </w:p>
        </w:tc>
        <w:tc>
          <w:tcPr>
            <w:tcW w:type="dxa" w:w="2592"/>
            <w:vAlign w:val="center"/>
            <w:tcMar>
              <w:top w:w="55" w:type="dxa"/>
              <w:start w:w="70" w:type="dxa"/>
              <w:bottom w:w="55" w:type="dxa"/>
              <w:end w:w="70" w:type="dxa"/>
            </w:tcMar>
          </w:tcPr>
          <w:p>
            <w:pPr>
              <w:jc w:val="left"/>
            </w:pPr>
            <w:r/>
            <w:r>
              <w:rPr>
                <w:rFonts w:ascii="Aptos" w:hAnsi="Aptos"/>
                <w:b w:val="0"/>
                <w:sz w:val="14"/>
              </w:rPr>
              <w:t>May drive assignment/escalation, but cannot replace legal timers or response categories.</w:t>
            </w:r>
          </w:p>
        </w:tc>
      </w:tr>
    </w:tbl>
    <w:p>
      <w:pPr>
        <w:spacing w:after="20"/>
      </w:pPr>
    </w:p>
    <w:p>
      <w:pPr>
        <w:pStyle w:val="Heading1"/>
      </w:pPr>
      <w:r>
        <w:t>8. Large Volume, Redaction, Programming, and Electronic Records</w:t>
      </w:r>
    </w:p>
    <w:p>
      <w:r>
        <w:t>Large volume does not create a general “complex request” deadline. The city must use the five-day impracticability response, the seven-day/60-day extension, or the extraordinary-volume court process as applicable.</w:t>
      </w:r>
    </w:p>
    <w:p>
      <w:r>
        <w:t>Redaction and legal review may support an impracticability response, but they do not create an independent statutory track. Partial production must be handled through the partial-response category.</w:t>
      </w:r>
    </w:p>
    <w:p>
      <w:r>
        <w:t>Electronic database records must be provided at reasonable actual cost. Excision of exempt fields and conversion from one available format to another are not treated as creation of a new record. A city need not produce a format it does not regularly use, but must make reasonable efforts to agree on another format and costs.</w:t>
      </w:r>
    </w:p>
    <w:p>
      <w:r>
        <w:t>Records transferred to another entity for storage, maintenance, or archiving generally remain the transferring public body’s responsibility, so the workflow must distinguish physical possession from legal custody.</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Fee event</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Statewide rule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Timing / requester choice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Configuration implication</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Pre-search fee notice</w:t>
            </w:r>
          </w:p>
        </w:tc>
        <w:tc>
          <w:tcPr>
            <w:tcW w:type="dxa" w:w="2592"/>
            <w:vAlign w:val="center"/>
            <w:tcMar>
              <w:top w:w="55" w:type="dxa"/>
              <w:start w:w="70" w:type="dxa"/>
              <w:bottom w:w="55" w:type="dxa"/>
              <w:end w:w="70" w:type="dxa"/>
            </w:tcMar>
          </w:tcPr>
          <w:p>
            <w:pPr>
              <w:jc w:val="left"/>
            </w:pPr>
            <w:r/>
            <w:r>
              <w:rPr>
                <w:rFonts w:ascii="Aptos" w:hAnsi="Aptos"/>
                <w:b w:val="0"/>
                <w:sz w:val="14"/>
              </w:rPr>
              <w:t>Before search, written notice that reasonable actual-cost charges may apply and inquiry whether estimate is desired.</w:t>
            </w:r>
          </w:p>
        </w:tc>
        <w:tc>
          <w:tcPr>
            <w:tcW w:type="dxa" w:w="2592"/>
            <w:vAlign w:val="center"/>
            <w:tcMar>
              <w:top w:w="55" w:type="dxa"/>
              <w:start w:w="70" w:type="dxa"/>
              <w:bottom w:w="55" w:type="dxa"/>
              <w:end w:w="70" w:type="dxa"/>
            </w:tcMar>
          </w:tcPr>
          <w:p>
            <w:pPr>
              <w:jc w:val="left"/>
            </w:pPr>
            <w:r/>
            <w:r>
              <w:rPr>
                <w:rFonts w:ascii="Aptos" w:hAnsi="Aptos"/>
                <w:b w:val="0"/>
                <w:sz w:val="14"/>
              </w:rPr>
              <w:t>Requester may ask for estimate.</w:t>
            </w:r>
          </w:p>
        </w:tc>
        <w:tc>
          <w:tcPr>
            <w:tcW w:type="dxa" w:w="2592"/>
            <w:vAlign w:val="center"/>
            <w:tcMar>
              <w:top w:w="55" w:type="dxa"/>
              <w:start w:w="70" w:type="dxa"/>
              <w:bottom w:w="55" w:type="dxa"/>
              <w:end w:w="70" w:type="dxa"/>
            </w:tcMar>
          </w:tcPr>
          <w:p>
            <w:pPr>
              <w:jc w:val="left"/>
            </w:pPr>
            <w:r/>
            <w:r>
              <w:rPr>
                <w:rFonts w:ascii="Aptos" w:hAnsi="Aptos"/>
                <w:b w:val="0"/>
                <w:sz w:val="14"/>
              </w:rPr>
              <w:t>Mandatory communication template and timestamp.</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Advance estimate</w:t>
            </w:r>
          </w:p>
        </w:tc>
        <w:tc>
          <w:tcPr>
            <w:tcW w:type="dxa" w:w="2592"/>
            <w:vAlign w:val="center"/>
            <w:tcMar>
              <w:top w:w="55" w:type="dxa"/>
              <w:start w:w="70" w:type="dxa"/>
              <w:bottom w:w="55" w:type="dxa"/>
              <w:end w:w="70" w:type="dxa"/>
            </w:tcMar>
            <w:shd w:fill="F2F2F2"/>
          </w:tcPr>
          <w:p>
            <w:pPr>
              <w:jc w:val="left"/>
            </w:pPr>
            <w:r/>
            <w:r>
              <w:rPr>
                <w:rFonts w:ascii="Aptos" w:hAnsi="Aptos"/>
                <w:b w:val="0"/>
                <w:sz w:val="14"/>
              </w:rPr>
              <w:t>Required only if requester asks. Estimating cost counts toward final charges.</w:t>
            </w:r>
          </w:p>
        </w:tc>
        <w:tc>
          <w:tcPr>
            <w:tcW w:type="dxa" w:w="2592"/>
            <w:vAlign w:val="center"/>
            <w:tcMar>
              <w:top w:w="55" w:type="dxa"/>
              <w:start w:w="70" w:type="dxa"/>
              <w:bottom w:w="55" w:type="dxa"/>
              <w:end w:w="70" w:type="dxa"/>
            </w:tcMar>
            <w:shd w:fill="F2F2F2"/>
          </w:tcPr>
          <w:p>
            <w:pPr>
              <w:jc w:val="left"/>
            </w:pPr>
            <w:r/>
            <w:r>
              <w:rPr>
                <w:rFonts w:ascii="Aptos" w:hAnsi="Aptos"/>
                <w:b w:val="0"/>
                <w:sz w:val="14"/>
              </w:rPr>
              <w:t>Timer tolls during requester response; 30-day silence = withdrawn.</w:t>
            </w:r>
          </w:p>
        </w:tc>
        <w:tc>
          <w:tcPr>
            <w:tcW w:type="dxa" w:w="2592"/>
            <w:vAlign w:val="center"/>
            <w:tcMar>
              <w:top w:w="55" w:type="dxa"/>
              <w:start w:w="70" w:type="dxa"/>
              <w:bottom w:w="55" w:type="dxa"/>
              <w:end w:w="70" w:type="dxa"/>
            </w:tcMar>
            <w:shd w:fill="F2F2F2"/>
          </w:tcPr>
          <w:p>
            <w:pPr>
              <w:jc w:val="left"/>
            </w:pPr>
            <w:r/>
            <w:r>
              <w:rPr>
                <w:rFonts w:ascii="Aptos" w:hAnsi="Aptos"/>
                <w:b w:val="0"/>
                <w:sz w:val="14"/>
              </w:rPr>
              <w:t>Estimate acceptance/decline/modify branch plus automatic withdrawal event.</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Deposit</w:t>
            </w:r>
          </w:p>
        </w:tc>
        <w:tc>
          <w:tcPr>
            <w:tcW w:type="dxa" w:w="2592"/>
            <w:vAlign w:val="center"/>
            <w:tcMar>
              <w:top w:w="55" w:type="dxa"/>
              <w:start w:w="70" w:type="dxa"/>
              <w:bottom w:w="55" w:type="dxa"/>
              <w:end w:w="70" w:type="dxa"/>
            </w:tcMar>
          </w:tcPr>
          <w:p>
            <w:pPr>
              <w:jc w:val="left"/>
            </w:pPr>
            <w:r/>
            <w:r>
              <w:rPr>
                <w:rFonts w:ascii="Aptos" w:hAnsi="Aptos"/>
                <w:b w:val="0"/>
                <w:sz w:val="14"/>
              </w:rPr>
              <w:t>Optional if likely charges exceed $200; amount cannot exceed advance determination.</w:t>
            </w:r>
          </w:p>
        </w:tc>
        <w:tc>
          <w:tcPr>
            <w:tcW w:type="dxa" w:w="2592"/>
            <w:vAlign w:val="center"/>
            <w:tcMar>
              <w:top w:w="55" w:type="dxa"/>
              <w:start w:w="70" w:type="dxa"/>
              <w:bottom w:w="55" w:type="dxa"/>
              <w:end w:w="70" w:type="dxa"/>
            </w:tcMar>
          </w:tcPr>
          <w:p>
            <w:pPr>
              <w:jc w:val="left"/>
            </w:pPr>
            <w:r/>
            <w:r>
              <w:rPr>
                <w:rFonts w:ascii="Aptos" w:hAnsi="Aptos"/>
                <w:b w:val="0"/>
                <w:sz w:val="14"/>
              </w:rPr>
              <w:t>May be required before continuing; timer tolls until response.</w:t>
            </w:r>
          </w:p>
        </w:tc>
        <w:tc>
          <w:tcPr>
            <w:tcW w:type="dxa" w:w="2592"/>
            <w:vAlign w:val="center"/>
            <w:tcMar>
              <w:top w:w="55" w:type="dxa"/>
              <w:start w:w="70" w:type="dxa"/>
              <w:bottom w:w="55" w:type="dxa"/>
              <w:end w:w="70" w:type="dxa"/>
            </w:tcMar>
          </w:tcPr>
          <w:p>
            <w:pPr>
              <w:jc w:val="left"/>
            </w:pPr>
            <w:r/>
            <w:r>
              <w:rPr>
                <w:rFonts w:ascii="Aptos" w:hAnsi="Aptos"/>
                <w:b w:val="0"/>
                <w:sz w:val="14"/>
              </w:rPr>
              <w:t>Configurable exercise of statutory discretion, but threshold/value statewide.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Actual charges</w:t>
            </w:r>
          </w:p>
        </w:tc>
        <w:tc>
          <w:tcPr>
            <w:tcW w:type="dxa" w:w="2592"/>
            <w:vAlign w:val="center"/>
            <w:tcMar>
              <w:top w:w="55" w:type="dxa"/>
              <w:start w:w="70" w:type="dxa"/>
              <w:bottom w:w="55" w:type="dxa"/>
              <w:end w:w="70" w:type="dxa"/>
            </w:tcMar>
            <w:shd w:fill="F2F2F2"/>
          </w:tcPr>
          <w:p>
            <w:pPr>
              <w:jc w:val="left"/>
            </w:pPr>
            <w:r/>
            <w:r>
              <w:rPr>
                <w:rFonts w:ascii="Aptos" w:hAnsi="Aptos"/>
                <w:b w:val="0"/>
                <w:sz w:val="14"/>
              </w:rPr>
              <w:t>Reasonable, not above actual cost of access, duplication, supply, or search; no surplus overhead.</w:t>
            </w:r>
          </w:p>
        </w:tc>
        <w:tc>
          <w:tcPr>
            <w:tcW w:type="dxa" w:w="2592"/>
            <w:vAlign w:val="center"/>
            <w:tcMar>
              <w:top w:w="55" w:type="dxa"/>
              <w:start w:w="70" w:type="dxa"/>
              <w:bottom w:w="55" w:type="dxa"/>
              <w:end w:w="70" w:type="dxa"/>
            </w:tcMar>
            <w:shd w:fill="F2F2F2"/>
          </w:tcPr>
          <w:p>
            <w:pPr>
              <w:jc w:val="left"/>
            </w:pPr>
            <w:r/>
            <w:r>
              <w:rPr>
                <w:rFonts w:ascii="Aptos" w:hAnsi="Aptos"/>
                <w:b w:val="0"/>
                <w:sz w:val="14"/>
              </w:rPr>
              <w:t>Final amount reconciled with estimate/deposit.</w:t>
            </w:r>
          </w:p>
        </w:tc>
        <w:tc>
          <w:tcPr>
            <w:tcW w:type="dxa" w:w="2592"/>
            <w:vAlign w:val="center"/>
            <w:tcMar>
              <w:top w:w="55" w:type="dxa"/>
              <w:start w:w="70" w:type="dxa"/>
              <w:bottom w:w="55" w:type="dxa"/>
              <w:end w:w="70" w:type="dxa"/>
            </w:tcMar>
            <w:shd w:fill="F2F2F2"/>
          </w:tcPr>
          <w:p>
            <w:pPr>
              <w:jc w:val="left"/>
            </w:pPr>
            <w:r/>
            <w:r>
              <w:rPr>
                <w:rFonts w:ascii="Aptos" w:hAnsi="Aptos"/>
                <w:b w:val="0"/>
                <w:sz w:val="14"/>
              </w:rPr>
              <w:t>Cost components and rates must be locally configured within actual-cost limit.</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Old unpaid charges</w:t>
            </w:r>
          </w:p>
        </w:tc>
        <w:tc>
          <w:tcPr>
            <w:tcW w:type="dxa" w:w="2592"/>
            <w:vAlign w:val="center"/>
            <w:tcMar>
              <w:top w:w="55" w:type="dxa"/>
              <w:start w:w="70" w:type="dxa"/>
              <w:bottom w:w="55" w:type="dxa"/>
              <w:end w:w="70" w:type="dxa"/>
            </w:tcMar>
          </w:tcPr>
          <w:p>
            <w:pPr>
              <w:jc w:val="left"/>
            </w:pPr>
            <w:r/>
            <w:r>
              <w:rPr>
                <w:rFonts w:ascii="Aptos" w:hAnsi="Aptos"/>
                <w:b w:val="0"/>
                <w:sz w:val="14"/>
              </w:rPr>
              <w:t>City may require payment of amounts unpaid 30 or more days after billing before processing new request.</w:t>
            </w:r>
          </w:p>
        </w:tc>
        <w:tc>
          <w:tcPr>
            <w:tcW w:type="dxa" w:w="2592"/>
            <w:vAlign w:val="center"/>
            <w:tcMar>
              <w:top w:w="55" w:type="dxa"/>
              <w:start w:w="70" w:type="dxa"/>
              <w:bottom w:w="55" w:type="dxa"/>
              <w:end w:w="70" w:type="dxa"/>
            </w:tcMar>
          </w:tcPr>
          <w:p>
            <w:pPr>
              <w:jc w:val="left"/>
            </w:pPr>
            <w:r/>
            <w:r>
              <w:rPr>
                <w:rFonts w:ascii="Aptos" w:hAnsi="Aptos"/>
                <w:b w:val="0"/>
                <w:sz w:val="14"/>
              </w:rPr>
              <w:t>Pre-processing hold.</w:t>
            </w:r>
          </w:p>
        </w:tc>
        <w:tc>
          <w:tcPr>
            <w:tcW w:type="dxa" w:w="2592"/>
            <w:vAlign w:val="center"/>
            <w:tcMar>
              <w:top w:w="55" w:type="dxa"/>
              <w:start w:w="70" w:type="dxa"/>
              <w:bottom w:w="55" w:type="dxa"/>
              <w:end w:w="70" w:type="dxa"/>
            </w:tcMar>
          </w:tcPr>
          <w:p>
            <w:pPr>
              <w:jc w:val="left"/>
            </w:pPr>
            <w:r/>
            <w:r>
              <w:rPr>
                <w:rFonts w:ascii="Aptos" w:hAnsi="Aptos"/>
                <w:b w:val="0"/>
                <w:sz w:val="14"/>
              </w:rPr>
              <w:t>Aging and balance validation required.</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Electronic payment</w:t>
            </w:r>
          </w:p>
        </w:tc>
        <w:tc>
          <w:tcPr>
            <w:tcW w:type="dxa" w:w="2592"/>
            <w:vAlign w:val="center"/>
            <w:tcMar>
              <w:top w:w="55" w:type="dxa"/>
              <w:start w:w="70" w:type="dxa"/>
              <w:bottom w:w="55" w:type="dxa"/>
              <w:end w:w="70" w:type="dxa"/>
            </w:tcMar>
            <w:shd w:fill="F2F2F2"/>
          </w:tcPr>
          <w:p>
            <w:pPr>
              <w:jc w:val="left"/>
            </w:pPr>
            <w:r/>
            <w:r>
              <w:rPr>
                <w:rFonts w:ascii="Aptos" w:hAnsi="Aptos"/>
                <w:b w:val="0"/>
                <w:sz w:val="14"/>
              </w:rPr>
              <w:t>Local public body may offer noncash electronic payment.</w:t>
            </w:r>
          </w:p>
        </w:tc>
        <w:tc>
          <w:tcPr>
            <w:tcW w:type="dxa" w:w="2592"/>
            <w:vAlign w:val="center"/>
            <w:tcMar>
              <w:top w:w="55" w:type="dxa"/>
              <w:start w:w="70" w:type="dxa"/>
              <w:bottom w:w="55" w:type="dxa"/>
              <w:end w:w="70" w:type="dxa"/>
            </w:tcMar>
            <w:shd w:fill="F2F2F2"/>
          </w:tcPr>
          <w:p>
            <w:pPr>
              <w:jc w:val="left"/>
            </w:pPr>
            <w:r/>
            <w:r>
              <w:rPr>
                <w:rFonts w:ascii="Aptos" w:hAnsi="Aptos"/>
                <w:b w:val="0"/>
                <w:sz w:val="14"/>
              </w:rPr>
              <w:t>Local option.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Payment-channel configuration.</w:t>
            </w:r>
          </w:p>
        </w:tc>
      </w:tr>
    </w:tbl>
    <w:p>
      <w:pPr>
        <w:spacing w:after="20"/>
      </w:pPr>
    </w:p>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3"/>
              </w:rPr>
              <w:t>Rule / domain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Trigger, condition, and action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Timer and required communication</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3"/>
              </w:rPr>
              <w:t>Configuration, applicability, and authority</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VA-01</w:t>
              <w:br/>
              <w:t>Intake</w:t>
            </w:r>
          </w:p>
        </w:tc>
        <w:tc>
          <w:tcPr>
            <w:tcW w:type="dxa" w:w="2592"/>
            <w:vAlign w:val="center"/>
            <w:tcMar>
              <w:top w:w="55" w:type="dxa"/>
              <w:start w:w="70" w:type="dxa"/>
              <w:bottom w:w="55" w:type="dxa"/>
              <w:end w:w="70" w:type="dxa"/>
            </w:tcMar>
          </w:tcPr>
          <w:p>
            <w:pPr>
              <w:jc w:val="left"/>
            </w:pPr>
            <w:r/>
            <w:r>
              <w:rPr>
                <w:rFonts w:ascii="Aptos" w:hAnsi="Aptos"/>
                <w:b w:val="0"/>
                <w:sz w:val="13"/>
              </w:rPr>
              <w:t>Trigger/condition: Written request received</w:t>
              <w:br/>
              <w:t>Action: Capture receipt and test reasonable specificity; optional requester name/legal-address validation.</w:t>
            </w:r>
          </w:p>
        </w:tc>
        <w:tc>
          <w:tcPr>
            <w:tcW w:type="dxa" w:w="2592"/>
            <w:vAlign w:val="center"/>
            <w:tcMar>
              <w:top w:w="55" w:type="dxa"/>
              <w:start w:w="70" w:type="dxa"/>
              <w:bottom w:w="55" w:type="dxa"/>
              <w:end w:w="70" w:type="dxa"/>
            </w:tcMar>
          </w:tcPr>
          <w:p>
            <w:pPr>
              <w:jc w:val="left"/>
            </w:pPr>
            <w:r/>
            <w:r>
              <w:rPr>
                <w:rFonts w:ascii="Aptos" w:hAnsi="Aptos"/>
                <w:b w:val="0"/>
                <w:sz w:val="13"/>
              </w:rPr>
              <w:t>Deadline/clock: Five-working-day timer begins for a qualifying request.</w:t>
              <w:br/>
              <w:t>Communication: No special acknowledgment required, but authorized response due.</w:t>
            </w:r>
          </w:p>
        </w:tc>
        <w:tc>
          <w:tcPr>
            <w:tcW w:type="dxa" w:w="2592"/>
            <w:vAlign w:val="center"/>
            <w:tcMar>
              <w:top w:w="55" w:type="dxa"/>
              <w:start w:w="70" w:type="dxa"/>
              <w:bottom w:w="55" w:type="dxa"/>
              <w:end w:w="70" w:type="dxa"/>
            </w:tcMar>
          </w:tcPr>
          <w:p>
            <w:pPr>
              <w:jc w:val="left"/>
            </w:pPr>
            <w:r/>
            <w:r>
              <w:rPr>
                <w:rFonts w:ascii="Aptos" w:hAnsi="Aptos"/>
                <w:b w:val="0"/>
                <w:sz w:val="13"/>
              </w:rPr>
              <w:t>Source: State law + human determination</w:t>
              <w:br/>
              <w:t>Status/applicability: Mandatory; cities unless noted</w:t>
              <w:br/>
              <w:t>Authority: Va. Code § 2.2-3704(A)-(B)</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VA-02</w:t>
              <w:br/>
              <w:t>Initial response</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Qualifying request in city custody</w:t>
              <w:br/>
              <w:t>Action: Produce or select one of four statutory written responses.</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Promptly, no later than five working days.</w:t>
              <w:br/>
              <w:t>Communication: Production, full denial, partial denial, no records/other custodian, or impracticability notice.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w:t>
              <w:br/>
              <w:t>Status/applicability: Mandatory; cities unless noted</w:t>
              <w:br/>
              <w:t>Authority: Va. Code § 2.2-3704(B)</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VA-03</w:t>
              <w:br/>
              <w:t>Full denial</w:t>
            </w:r>
          </w:p>
        </w:tc>
        <w:tc>
          <w:tcPr>
            <w:tcW w:type="dxa" w:w="2592"/>
            <w:vAlign w:val="center"/>
            <w:tcMar>
              <w:top w:w="55" w:type="dxa"/>
              <w:start w:w="70" w:type="dxa"/>
              <w:bottom w:w="55" w:type="dxa"/>
              <w:end w:w="70" w:type="dxa"/>
            </w:tcMar>
          </w:tcPr>
          <w:p>
            <w:pPr>
              <w:jc w:val="left"/>
            </w:pPr>
            <w:r/>
            <w:r>
              <w:rPr>
                <w:rFonts w:ascii="Aptos" w:hAnsi="Aptos"/>
                <w:b w:val="0"/>
                <w:sz w:val="13"/>
              </w:rPr>
              <w:t>Trigger/condition: All responsive records withheld</w:t>
              <w:br/>
              <w:t>Action: Document volume/subject and authority by category.</w:t>
            </w:r>
          </w:p>
        </w:tc>
        <w:tc>
          <w:tcPr>
            <w:tcW w:type="dxa" w:w="2592"/>
            <w:vAlign w:val="center"/>
            <w:tcMar>
              <w:top w:w="55" w:type="dxa"/>
              <w:start w:w="70" w:type="dxa"/>
              <w:bottom w:w="55" w:type="dxa"/>
              <w:end w:w="70" w:type="dxa"/>
            </w:tcMar>
          </w:tcPr>
          <w:p>
            <w:pPr>
              <w:jc w:val="left"/>
            </w:pPr>
            <w:r/>
            <w:r>
              <w:rPr>
                <w:rFonts w:ascii="Aptos" w:hAnsi="Aptos"/>
                <w:b w:val="0"/>
                <w:sz w:val="13"/>
              </w:rPr>
              <w:t>Deadline/clock: Within applicable response period.</w:t>
              <w:br/>
              <w:t>Communication: Written denial with specific Code section.</w:t>
            </w:r>
          </w:p>
        </w:tc>
        <w:tc>
          <w:tcPr>
            <w:tcW w:type="dxa" w:w="2592"/>
            <w:vAlign w:val="center"/>
            <w:tcMar>
              <w:top w:w="55" w:type="dxa"/>
              <w:start w:w="70" w:type="dxa"/>
              <w:bottom w:w="55" w:type="dxa"/>
              <w:end w:w="70" w:type="dxa"/>
            </w:tcMar>
          </w:tcPr>
          <w:p>
            <w:pPr>
              <w:jc w:val="left"/>
            </w:pPr>
            <w:r/>
            <w:r>
              <w:rPr>
                <w:rFonts w:ascii="Aptos" w:hAnsi="Aptos"/>
                <w:b w:val="0"/>
                <w:sz w:val="13"/>
              </w:rPr>
              <w:t>Source: Statewide</w:t>
              <w:br/>
              <w:t>Status/applicability: Mandatory; cities unless noted</w:t>
              <w:br/>
              <w:t>Authority: Va. Code § 2.2-3704(B)(1)</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VA-04</w:t>
              <w:br/>
              <w:t>Partial denial</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Some material releasable and some withheld</w:t>
              <w:br/>
              <w:t>Action: Release nonexempt portions and document withheld subject/authority.</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Within applicable response period.</w:t>
              <w:br/>
              <w:t>Communication: Written partial-withholding response.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w:t>
              <w:br/>
              <w:t>Status/applicability: Mandatory; cities unless noted</w:t>
              <w:br/>
              <w:t>Authority: Va. Code § 2.2-3704(B)(2)</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VA-05</w:t>
              <w:br/>
              <w:t>No records / routing</w:t>
            </w:r>
          </w:p>
        </w:tc>
        <w:tc>
          <w:tcPr>
            <w:tcW w:type="dxa" w:w="2592"/>
            <w:vAlign w:val="center"/>
            <w:tcMar>
              <w:top w:w="55" w:type="dxa"/>
              <w:start w:w="70" w:type="dxa"/>
              <w:bottom w:w="55" w:type="dxa"/>
              <w:end w:w="70" w:type="dxa"/>
            </w:tcMar>
          </w:tcPr>
          <w:p>
            <w:pPr>
              <w:jc w:val="left"/>
            </w:pPr>
            <w:r/>
            <w:r>
              <w:rPr>
                <w:rFonts w:ascii="Aptos" w:hAnsi="Aptos"/>
                <w:b w:val="0"/>
                <w:sz w:val="13"/>
              </w:rPr>
              <w:t>Trigger/condition: Records cannot be found or do not exist</w:t>
              <w:br/>
              <w:t>Action: State result; include other public body contact if known.</w:t>
            </w:r>
          </w:p>
        </w:tc>
        <w:tc>
          <w:tcPr>
            <w:tcW w:type="dxa" w:w="2592"/>
            <w:vAlign w:val="center"/>
            <w:tcMar>
              <w:top w:w="55" w:type="dxa"/>
              <w:start w:w="70" w:type="dxa"/>
              <w:bottom w:w="55" w:type="dxa"/>
              <w:end w:w="70" w:type="dxa"/>
            </w:tcMar>
          </w:tcPr>
          <w:p>
            <w:pPr>
              <w:jc w:val="left"/>
            </w:pPr>
            <w:r/>
            <w:r>
              <w:rPr>
                <w:rFonts w:ascii="Aptos" w:hAnsi="Aptos"/>
                <w:b w:val="0"/>
                <w:sz w:val="13"/>
              </w:rPr>
              <w:t>Deadline/clock: Within applicable response period.</w:t>
              <w:br/>
              <w:t>Communication: Written no-records/routing response.</w:t>
            </w:r>
          </w:p>
        </w:tc>
        <w:tc>
          <w:tcPr>
            <w:tcW w:type="dxa" w:w="2592"/>
            <w:vAlign w:val="center"/>
            <w:tcMar>
              <w:top w:w="55" w:type="dxa"/>
              <w:start w:w="70" w:type="dxa"/>
              <w:bottom w:w="55" w:type="dxa"/>
              <w:end w:w="70" w:type="dxa"/>
            </w:tcMar>
          </w:tcPr>
          <w:p>
            <w:pPr>
              <w:jc w:val="left"/>
            </w:pPr>
            <w:r/>
            <w:r>
              <w:rPr>
                <w:rFonts w:ascii="Aptos" w:hAnsi="Aptos"/>
                <w:b w:val="0"/>
                <w:sz w:val="13"/>
              </w:rPr>
              <w:t>Source: Statewide</w:t>
              <w:br/>
              <w:t>Status/applicability: Mandatory; cities unless noted</w:t>
              <w:br/>
              <w:t>Authority: Va. Code § 2.2-3704(B)(3)</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VA-06</w:t>
              <w:br/>
              <w:t>Extension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Not practically possible within five days</w:t>
              <w:br/>
              <w:t>Action: Specify conditions and invoke statutory additional period.</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Notice within five days; +7 work days or +60 for qualifying criminal investigative files.</w:t>
              <w:br/>
              <w:t>Communication: Written impracticability notice.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 human determination</w:t>
              <w:br/>
              <w:t>Status/applicability: Mandatory; cities unless noted</w:t>
              <w:br/>
              <w:t>Authority: Va. Code § 2.2-3704(B)(4)</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VA-07</w:t>
              <w:br/>
              <w:t>Court extension</w:t>
            </w:r>
          </w:p>
        </w:tc>
        <w:tc>
          <w:tcPr>
            <w:tcW w:type="dxa" w:w="2592"/>
            <w:vAlign w:val="center"/>
            <w:tcMar>
              <w:top w:w="55" w:type="dxa"/>
              <w:start w:w="70" w:type="dxa"/>
              <w:bottom w:w="55" w:type="dxa"/>
              <w:end w:w="70" w:type="dxa"/>
            </w:tcMar>
          </w:tcPr>
          <w:p>
            <w:pPr>
              <w:jc w:val="left"/>
            </w:pPr>
            <w:r/>
            <w:r>
              <w:rPr>
                <w:rFonts w:ascii="Aptos" w:hAnsi="Aptos"/>
                <w:b w:val="0"/>
                <w:sz w:val="13"/>
              </w:rPr>
              <w:t>Trigger/condition: Extraordinary volume/lengthy search threatens operations</w:t>
              <w:br/>
              <w:t>Action: Attempt agreement, then petition court if needed.</w:t>
            </w:r>
          </w:p>
        </w:tc>
        <w:tc>
          <w:tcPr>
            <w:tcW w:type="dxa" w:w="2592"/>
            <w:vAlign w:val="center"/>
            <w:tcMar>
              <w:top w:w="55" w:type="dxa"/>
              <w:start w:w="70" w:type="dxa"/>
              <w:bottom w:w="55" w:type="dxa"/>
              <w:end w:w="70" w:type="dxa"/>
            </w:tcMar>
          </w:tcPr>
          <w:p>
            <w:pPr>
              <w:jc w:val="left"/>
            </w:pPr>
            <w:r/>
            <w:r>
              <w:rPr>
                <w:rFonts w:ascii="Aptos" w:hAnsi="Aptos"/>
                <w:b w:val="0"/>
                <w:sz w:val="13"/>
              </w:rPr>
              <w:t>Deadline/clock: Court-defined.</w:t>
              <w:br/>
              <w:t>Communication: Agreement outreach and court filing.</w:t>
            </w:r>
          </w:p>
        </w:tc>
        <w:tc>
          <w:tcPr>
            <w:tcW w:type="dxa" w:w="2592"/>
            <w:vAlign w:val="center"/>
            <w:tcMar>
              <w:top w:w="55" w:type="dxa"/>
              <w:start w:w="70" w:type="dxa"/>
              <w:bottom w:w="55" w:type="dxa"/>
              <w:end w:w="70" w:type="dxa"/>
            </w:tcMar>
          </w:tcPr>
          <w:p>
            <w:pPr>
              <w:jc w:val="left"/>
            </w:pPr>
            <w:r/>
            <w:r>
              <w:rPr>
                <w:rFonts w:ascii="Aptos" w:hAnsi="Aptos"/>
                <w:b w:val="0"/>
                <w:sz w:val="13"/>
              </w:rPr>
              <w:t>Source: Human determination</w:t>
              <w:br/>
              <w:t>Status/applicability: Mandatory; cities unless noted</w:t>
              <w:br/>
              <w:t>Authority: Va. Code § 2.2-3704(C)</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VA-08</w:t>
              <w:br/>
              <w:t>Record creation</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Requested record does not exist</w:t>
              <w:br/>
              <w:t>Action: Do not create; optional summary by agreement.</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None beyond response duties.</w:t>
              <w:br/>
              <w:t>Communication: Explain no existing record/optional agreement.</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w:t>
              <w:br/>
              <w:t>Status/applicability: Mandatory; cities unless noted</w:t>
              <w:br/>
              <w:t>Authority: Va. Code § 2.2-3704(D)</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VA-09</w:t>
              <w:br/>
              <w:t>Fee notice</w:t>
            </w:r>
          </w:p>
        </w:tc>
        <w:tc>
          <w:tcPr>
            <w:tcW w:type="dxa" w:w="2592"/>
            <w:vAlign w:val="center"/>
            <w:tcMar>
              <w:top w:w="55" w:type="dxa"/>
              <w:start w:w="70" w:type="dxa"/>
              <w:bottom w:w="55" w:type="dxa"/>
              <w:end w:w="70" w:type="dxa"/>
            </w:tcMar>
          </w:tcPr>
          <w:p>
            <w:pPr>
              <w:jc w:val="left"/>
            </w:pPr>
            <w:r/>
            <w:r>
              <w:rPr>
                <w:rFonts w:ascii="Aptos" w:hAnsi="Aptos"/>
                <w:b w:val="0"/>
                <w:sz w:val="13"/>
              </w:rPr>
              <w:t>Trigger/condition: Before conducting search</w:t>
              <w:br/>
              <w:t>Action: Warn in writing of possible actual-cost charges and ask whether estimate is wanted.</w:t>
            </w:r>
          </w:p>
        </w:tc>
        <w:tc>
          <w:tcPr>
            <w:tcW w:type="dxa" w:w="2592"/>
            <w:vAlign w:val="center"/>
            <w:tcMar>
              <w:top w:w="55" w:type="dxa"/>
              <w:start w:w="70" w:type="dxa"/>
              <w:bottom w:w="55" w:type="dxa"/>
              <w:end w:w="70" w:type="dxa"/>
            </w:tcMar>
          </w:tcPr>
          <w:p>
            <w:pPr>
              <w:jc w:val="left"/>
            </w:pPr>
            <w:r/>
            <w:r>
              <w:rPr>
                <w:rFonts w:ascii="Aptos" w:hAnsi="Aptos"/>
                <w:b w:val="0"/>
                <w:sz w:val="13"/>
              </w:rPr>
              <w:t>Deadline/clock: Before search.</w:t>
              <w:br/>
              <w:t>Communication: Mandatory fee/estimate-option notice.</w:t>
            </w:r>
          </w:p>
        </w:tc>
        <w:tc>
          <w:tcPr>
            <w:tcW w:type="dxa" w:w="2592"/>
            <w:vAlign w:val="center"/>
            <w:tcMar>
              <w:top w:w="55" w:type="dxa"/>
              <w:start w:w="70" w:type="dxa"/>
              <w:bottom w:w="55" w:type="dxa"/>
              <w:end w:w="70" w:type="dxa"/>
            </w:tcMar>
          </w:tcPr>
          <w:p>
            <w:pPr>
              <w:jc w:val="left"/>
            </w:pPr>
            <w:r/>
            <w:r>
              <w:rPr>
                <w:rFonts w:ascii="Aptos" w:hAnsi="Aptos"/>
                <w:b w:val="0"/>
                <w:sz w:val="13"/>
              </w:rPr>
              <w:t>Source: Statewide template + local rates</w:t>
              <w:br/>
              <w:t>Status/applicability: Mandatory; cities unless noted</w:t>
              <w:br/>
              <w:t>Authority: Va. Code § 2.2-3704(F)</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VA-10</w:t>
              <w:br/>
              <w:t>Estimate</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Requester asks for estimate</w:t>
              <w:br/>
              <w:t>Action: Prepare/send estimate; wait for response.</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Legal timer tolls; 30-day nonresponse = withdrawn.</w:t>
              <w:br/>
              <w:t>Communication: Estimate and requester options.</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w:t>
              <w:br/>
              <w:t>Status/applicability: Mandatory; cities unless noted</w:t>
              <w:br/>
              <w:t>Authority: Va. Code § 2.2-3704(F)</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VA-11</w:t>
              <w:br/>
              <w:t>Deposit</w:t>
            </w:r>
          </w:p>
        </w:tc>
        <w:tc>
          <w:tcPr>
            <w:tcW w:type="dxa" w:w="2592"/>
            <w:vAlign w:val="center"/>
            <w:tcMar>
              <w:top w:w="55" w:type="dxa"/>
              <w:start w:w="70" w:type="dxa"/>
              <w:bottom w:w="55" w:type="dxa"/>
              <w:end w:w="70" w:type="dxa"/>
            </w:tcMar>
          </w:tcPr>
          <w:p>
            <w:pPr>
              <w:jc w:val="left"/>
            </w:pPr>
            <w:r/>
            <w:r>
              <w:rPr>
                <w:rFonts w:ascii="Aptos" w:hAnsi="Aptos"/>
                <w:b w:val="0"/>
                <w:sz w:val="13"/>
              </w:rPr>
              <w:t>Trigger/condition: Likely charges &gt; $200 and city elects deposit</w:t>
              <w:br/>
              <w:t>Action: Require deposit up to advance determination; credit final bill.</w:t>
            </w:r>
          </w:p>
        </w:tc>
        <w:tc>
          <w:tcPr>
            <w:tcW w:type="dxa" w:w="2592"/>
            <w:vAlign w:val="center"/>
            <w:tcMar>
              <w:top w:w="55" w:type="dxa"/>
              <w:start w:w="70" w:type="dxa"/>
              <w:bottom w:w="55" w:type="dxa"/>
              <w:end w:w="70" w:type="dxa"/>
            </w:tcMar>
          </w:tcPr>
          <w:p>
            <w:pPr>
              <w:jc w:val="left"/>
            </w:pPr>
            <w:r/>
            <w:r>
              <w:rPr>
                <w:rFonts w:ascii="Aptos" w:hAnsi="Aptos"/>
                <w:b w:val="0"/>
                <w:sz w:val="13"/>
              </w:rPr>
              <w:t>Deadline/clock: Tolls from notice to requester response.</w:t>
              <w:br/>
              <w:t>Communication: Deposit notice/payment instruction.</w:t>
            </w:r>
          </w:p>
        </w:tc>
        <w:tc>
          <w:tcPr>
            <w:tcW w:type="dxa" w:w="2592"/>
            <w:vAlign w:val="center"/>
            <w:tcMar>
              <w:top w:w="55" w:type="dxa"/>
              <w:start w:w="70" w:type="dxa"/>
              <w:bottom w:w="55" w:type="dxa"/>
              <w:end w:w="70" w:type="dxa"/>
            </w:tcMar>
          </w:tcPr>
          <w:p>
            <w:pPr>
              <w:jc w:val="left"/>
            </w:pPr>
            <w:r/>
            <w:r>
              <w:rPr>
                <w:rFonts w:ascii="Aptos" w:hAnsi="Aptos"/>
                <w:b w:val="0"/>
                <w:sz w:val="13"/>
              </w:rPr>
              <w:t>Source: Statewide threshold + local discretion</w:t>
              <w:br/>
              <w:t>Status/applicability: Mandatory; cities unless noted</w:t>
              <w:br/>
              <w:t>Authority: Va. Code § 2.2-3704(H)</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VA-12</w:t>
              <w:br/>
              <w:t>Prior debt</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Requester owes prior bill 30+ days</w:t>
              <w:br/>
              <w:t>Action: May require payment before processing new request.</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Pre-processing hold.</w:t>
              <w:br/>
              <w:t>Communication: Balance/payment notice.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 authorization + local exercise</w:t>
              <w:br/>
              <w:t>Status/applicability: Mandatory; cities unless noted</w:t>
              <w:br/>
              <w:t>Authority: Va. Code § 2.2-3704(I)</w:t>
              <w:br/>
              <w:t>Confidence/open issue: High</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3"/>
              </w:rPr>
              <w:t>VA-13</w:t>
              <w:br/>
              <w:t>Electronic format</w:t>
            </w:r>
          </w:p>
        </w:tc>
        <w:tc>
          <w:tcPr>
            <w:tcW w:type="dxa" w:w="2592"/>
            <w:vAlign w:val="center"/>
            <w:tcMar>
              <w:top w:w="55" w:type="dxa"/>
              <w:start w:w="70" w:type="dxa"/>
              <w:bottom w:w="55" w:type="dxa"/>
              <w:end w:w="70" w:type="dxa"/>
            </w:tcMar>
          </w:tcPr>
          <w:p>
            <w:pPr>
              <w:jc w:val="left"/>
            </w:pPr>
            <w:r/>
            <w:r>
              <w:rPr>
                <w:rFonts w:ascii="Aptos" w:hAnsi="Aptos"/>
                <w:b w:val="0"/>
                <w:sz w:val="13"/>
              </w:rPr>
              <w:t>Trigger/condition: Responsive records in database</w:t>
              <w:br/>
              <w:t>Action: Provide nonexempt data in regularly used medium; reasonable efforts for agreed alternate.</w:t>
            </w:r>
          </w:p>
        </w:tc>
        <w:tc>
          <w:tcPr>
            <w:tcW w:type="dxa" w:w="2592"/>
            <w:vAlign w:val="center"/>
            <w:tcMar>
              <w:top w:w="55" w:type="dxa"/>
              <w:start w:w="70" w:type="dxa"/>
              <w:bottom w:w="55" w:type="dxa"/>
              <w:end w:w="70" w:type="dxa"/>
            </w:tcMar>
          </w:tcPr>
          <w:p>
            <w:pPr>
              <w:jc w:val="left"/>
            </w:pPr>
            <w:r/>
            <w:r>
              <w:rPr>
                <w:rFonts w:ascii="Aptos" w:hAnsi="Aptos"/>
                <w:b w:val="0"/>
                <w:sz w:val="13"/>
              </w:rPr>
              <w:t>Deadline/clock: Underlying response timer.</w:t>
              <w:br/>
              <w:t>Communication: Format availability/terms if needed.</w:t>
            </w:r>
          </w:p>
        </w:tc>
        <w:tc>
          <w:tcPr>
            <w:tcW w:type="dxa" w:w="2592"/>
            <w:vAlign w:val="center"/>
            <w:tcMar>
              <w:top w:w="55" w:type="dxa"/>
              <w:start w:w="70" w:type="dxa"/>
              <w:bottom w:w="55" w:type="dxa"/>
              <w:end w:w="70" w:type="dxa"/>
            </w:tcMar>
          </w:tcPr>
          <w:p>
            <w:pPr>
              <w:jc w:val="left"/>
            </w:pPr>
            <w:r/>
            <w:r>
              <w:rPr>
                <w:rFonts w:ascii="Aptos" w:hAnsi="Aptos"/>
                <w:b w:val="0"/>
                <w:sz w:val="13"/>
              </w:rPr>
              <w:t>Source: Statewide + capability data</w:t>
              <w:br/>
              <w:t>Status/applicability: Mandatory; cities unless noted</w:t>
              <w:br/>
              <w:t>Authority: Va. Code § 2.2-3704(G)</w:t>
              <w:br/>
              <w:t>Confidence/open issue: High</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3"/>
              </w:rPr>
              <w:t>VA-14</w:t>
              <w:br/>
              <w:t>Stored records</w:t>
            </w:r>
          </w:p>
        </w:tc>
        <w:tc>
          <w:tcPr>
            <w:tcW w:type="dxa" w:w="2592"/>
            <w:vAlign w:val="center"/>
            <w:tcMar>
              <w:top w:w="55" w:type="dxa"/>
              <w:start w:w="70" w:type="dxa"/>
              <w:bottom w:w="55" w:type="dxa"/>
              <w:end w:w="70" w:type="dxa"/>
            </w:tcMar>
            <w:shd w:fill="F2F2F2"/>
          </w:tcPr>
          <w:p>
            <w:pPr>
              <w:jc w:val="left"/>
            </w:pPr>
            <w:r/>
            <w:r>
              <w:rPr>
                <w:rFonts w:ascii="Aptos" w:hAnsi="Aptos"/>
                <w:b w:val="0"/>
                <w:sz w:val="13"/>
              </w:rPr>
              <w:t>Trigger/condition: Records transferred to another entity</w:t>
              <w:br/>
              <w:t>Action: Treat transferring city as custodian and retrieve/supply.</w:t>
            </w:r>
          </w:p>
        </w:tc>
        <w:tc>
          <w:tcPr>
            <w:tcW w:type="dxa" w:w="2592"/>
            <w:vAlign w:val="center"/>
            <w:tcMar>
              <w:top w:w="55" w:type="dxa"/>
              <w:start w:w="70" w:type="dxa"/>
              <w:bottom w:w="55" w:type="dxa"/>
              <w:end w:w="70" w:type="dxa"/>
            </w:tcMar>
            <w:shd w:fill="F2F2F2"/>
          </w:tcPr>
          <w:p>
            <w:pPr>
              <w:jc w:val="left"/>
            </w:pPr>
            <w:r/>
            <w:r>
              <w:rPr>
                <w:rFonts w:ascii="Aptos" w:hAnsi="Aptos"/>
                <w:b w:val="0"/>
                <w:sz w:val="13"/>
              </w:rPr>
              <w:t>Deadline/clock: Underlying response timer.</w:t>
              <w:br/>
              <w:t>Communication: Normal response; do not misroute solely due to physical storage.</w:t>
            </w:r>
          </w:p>
        </w:tc>
        <w:tc>
          <w:tcPr>
            <w:tcW w:type="dxa" w:w="2592"/>
            <w:vAlign w:val="center"/>
            <w:tcMar>
              <w:top w:w="55" w:type="dxa"/>
              <w:start w:w="70" w:type="dxa"/>
              <w:bottom w:w="55" w:type="dxa"/>
              <w:end w:w="70" w:type="dxa"/>
            </w:tcMar>
            <w:shd w:fill="F2F2F2"/>
          </w:tcPr>
          <w:p>
            <w:pPr>
              <w:jc w:val="left"/>
            </w:pPr>
            <w:r/>
            <w:r>
              <w:rPr>
                <w:rFonts w:ascii="Aptos" w:hAnsi="Aptos"/>
                <w:b w:val="0"/>
                <w:sz w:val="13"/>
              </w:rPr>
              <w:t>Source: Statewide</w:t>
              <w:br/>
              <w:t>Status/applicability: Mandatory; cities unless noted</w:t>
              <w:br/>
              <w:t>Authority: Va. Code § 2.2-3704(J)</w:t>
              <w:br/>
              <w:t>Confidence/open issue: High</w:t>
            </w:r>
          </w:p>
        </w:tc>
      </w:tr>
    </w:tbl>
    <w:p>
      <w:pPr>
        <w:spacing w:after="20"/>
      </w:pPr>
    </w:p>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center"/>
            <w:tcMar>
              <w:top w:w="55" w:type="dxa"/>
              <w:start w:w="70" w:type="dxa"/>
              <w:bottom w:w="55" w:type="dxa"/>
              <w:end w:w="70" w:type="dxa"/>
            </w:tcMar>
            <w:shd w:fill="17365D"/>
          </w:tcPr>
          <w:p>
            <w:pPr>
              <w:jc w:val="center"/>
            </w:pPr>
            <w:r/>
            <w:r>
              <w:rPr>
                <w:rFonts w:ascii="Aptos" w:hAnsi="Aptos"/>
                <w:b/>
                <w:color w:val="FFFFFF"/>
                <w:sz w:val="14"/>
              </w:rPr>
              <w:t>Configuration field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Source type</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Statewide value / legal standard</w:t>
            </w:r>
          </w:p>
        </w:tc>
        <w:tc>
          <w:tcPr>
            <w:tcW w:type="dxa" w:w="2592"/>
            <w:vAlign w:val="center"/>
            <w:tcMar>
              <w:top w:w="55" w:type="dxa"/>
              <w:start w:w="70" w:type="dxa"/>
              <w:bottom w:w="55" w:type="dxa"/>
              <w:end w:w="70" w:type="dxa"/>
            </w:tcMar>
            <w:shd w:fill="17365D"/>
          </w:tcPr>
          <w:p>
            <w:pPr>
              <w:jc w:val="center"/>
            </w:pPr>
            <w:r/>
            <w:r>
              <w:rPr>
                <w:rFonts w:ascii="Aptos" w:hAnsi="Aptos"/>
                <w:b/>
                <w:color w:val="FFFFFF"/>
                <w:sz w:val="14"/>
              </w:rPr>
              <w:t>Local configuration needed</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business_calendar</w:t>
            </w:r>
          </w:p>
        </w:tc>
        <w:tc>
          <w:tcPr>
            <w:tcW w:type="dxa" w:w="2592"/>
            <w:vAlign w:val="center"/>
            <w:tcMar>
              <w:top w:w="55" w:type="dxa"/>
              <w:start w:w="70" w:type="dxa"/>
              <w:bottom w:w="55" w:type="dxa"/>
              <w:end w:w="70" w:type="dxa"/>
            </w:tcMar>
          </w:tcPr>
          <w:p>
            <w:pPr>
              <w:jc w:val="left"/>
            </w:pPr>
            <w:r/>
            <w:r>
              <w:rPr>
                <w:rFonts w:ascii="Aptos" w:hAnsi="Aptos"/>
                <w:b w:val="0"/>
                <w:sz w:val="14"/>
              </w:rPr>
              <w:t>Statutory + local</w:t>
            </w:r>
          </w:p>
        </w:tc>
        <w:tc>
          <w:tcPr>
            <w:tcW w:type="dxa" w:w="2592"/>
            <w:vAlign w:val="center"/>
            <w:tcMar>
              <w:top w:w="55" w:type="dxa"/>
              <w:start w:w="70" w:type="dxa"/>
              <w:bottom w:w="55" w:type="dxa"/>
              <w:end w:w="70" w:type="dxa"/>
            </w:tcMar>
          </w:tcPr>
          <w:p>
            <w:pPr>
              <w:jc w:val="left"/>
            </w:pPr>
            <w:r/>
            <w:r>
              <w:rPr>
                <w:rFonts w:ascii="Aptos" w:hAnsi="Aptos"/>
                <w:b w:val="0"/>
                <w:sz w:val="14"/>
              </w:rPr>
              <w:t>Five working days; seven/60 additional work days</w:t>
            </w:r>
          </w:p>
        </w:tc>
        <w:tc>
          <w:tcPr>
            <w:tcW w:type="dxa" w:w="2592"/>
            <w:vAlign w:val="center"/>
            <w:tcMar>
              <w:top w:w="55" w:type="dxa"/>
              <w:start w:w="70" w:type="dxa"/>
              <w:bottom w:w="55" w:type="dxa"/>
              <w:end w:w="70" w:type="dxa"/>
            </w:tcMar>
          </w:tcPr>
          <w:p>
            <w:pPr>
              <w:jc w:val="left"/>
            </w:pPr>
            <w:r/>
            <w:r>
              <w:rPr>
                <w:rFonts w:ascii="Aptos" w:hAnsi="Aptos"/>
                <w:b w:val="0"/>
                <w:sz w:val="14"/>
              </w:rPr>
              <w:t>Define city workdays, holidays, receipt cutoff.</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requester_eligibility_validation</w:t>
            </w:r>
          </w:p>
        </w:tc>
        <w:tc>
          <w:tcPr>
            <w:tcW w:type="dxa" w:w="2592"/>
            <w:vAlign w:val="center"/>
            <w:tcMar>
              <w:top w:w="55" w:type="dxa"/>
              <w:start w:w="70" w:type="dxa"/>
              <w:bottom w:w="55" w:type="dxa"/>
              <w:end w:w="70" w:type="dxa"/>
            </w:tcMar>
            <w:shd w:fill="F2F2F2"/>
          </w:tcPr>
          <w:p>
            <w:pPr>
              <w:jc w:val="left"/>
            </w:pPr>
            <w:r/>
            <w:r>
              <w:rPr>
                <w:rFonts w:ascii="Aptos" w:hAnsi="Aptos"/>
                <w:b w:val="0"/>
                <w:sz w:val="14"/>
              </w:rPr>
              <w:t>Statutory/local choice</w:t>
            </w:r>
          </w:p>
        </w:tc>
        <w:tc>
          <w:tcPr>
            <w:tcW w:type="dxa" w:w="2592"/>
            <w:vAlign w:val="center"/>
            <w:tcMar>
              <w:top w:w="55" w:type="dxa"/>
              <w:start w:w="70" w:type="dxa"/>
              <w:bottom w:w="55" w:type="dxa"/>
              <w:end w:w="70" w:type="dxa"/>
            </w:tcMar>
            <w:shd w:fill="F2F2F2"/>
          </w:tcPr>
          <w:p>
            <w:pPr>
              <w:jc w:val="left"/>
            </w:pPr>
            <w:r/>
            <w:r>
              <w:rPr>
                <w:rFonts w:ascii="Aptos" w:hAnsi="Aptos"/>
                <w:b w:val="0"/>
                <w:sz w:val="14"/>
              </w:rPr>
              <w:t>Virginia citizens and specified media; name/legal address may be required</w:t>
            </w:r>
          </w:p>
        </w:tc>
        <w:tc>
          <w:tcPr>
            <w:tcW w:type="dxa" w:w="2592"/>
            <w:vAlign w:val="center"/>
            <w:tcMar>
              <w:top w:w="55" w:type="dxa"/>
              <w:start w:w="70" w:type="dxa"/>
              <w:bottom w:w="55" w:type="dxa"/>
              <w:end w:w="70" w:type="dxa"/>
            </w:tcMar>
            <w:shd w:fill="F2F2F2"/>
          </w:tcPr>
          <w:p>
            <w:pPr>
              <w:jc w:val="left"/>
            </w:pPr>
            <w:r/>
            <w:r>
              <w:rPr>
                <w:rFonts w:ascii="Aptos" w:hAnsi="Aptos"/>
                <w:b w:val="0"/>
                <w:sz w:val="14"/>
              </w:rPr>
              <w:t>Whether and how eligibility is validated.</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reasonable_specificity_assessment</w:t>
            </w:r>
          </w:p>
        </w:tc>
        <w:tc>
          <w:tcPr>
            <w:tcW w:type="dxa" w:w="2592"/>
            <w:vAlign w:val="center"/>
            <w:tcMar>
              <w:top w:w="55" w:type="dxa"/>
              <w:start w:w="70" w:type="dxa"/>
              <w:bottom w:w="55" w:type="dxa"/>
              <w:end w:w="70" w:type="dxa"/>
            </w:tcMar>
          </w:tcPr>
          <w:p>
            <w:pPr>
              <w:jc w:val="left"/>
            </w:pPr>
            <w:r/>
            <w:r>
              <w:rPr>
                <w:rFonts w:ascii="Aptos" w:hAnsi="Aptos"/>
                <w:b w:val="0"/>
                <w:sz w:val="14"/>
              </w:rPr>
              <w:t>Human determination</w:t>
            </w:r>
          </w:p>
        </w:tc>
        <w:tc>
          <w:tcPr>
            <w:tcW w:type="dxa" w:w="2592"/>
            <w:vAlign w:val="center"/>
            <w:tcMar>
              <w:top w:w="55" w:type="dxa"/>
              <w:start w:w="70" w:type="dxa"/>
              <w:bottom w:w="55" w:type="dxa"/>
              <w:end w:w="70" w:type="dxa"/>
            </w:tcMar>
          </w:tcPr>
          <w:p>
            <w:pPr>
              <w:jc w:val="left"/>
            </w:pPr>
            <w:r/>
            <w:r>
              <w:rPr>
                <w:rFonts w:ascii="Aptos" w:hAnsi="Aptos"/>
                <w:b w:val="0"/>
                <w:sz w:val="14"/>
              </w:rPr>
              <w:t>Request must identify records with reasonable specificity</w:t>
            </w:r>
          </w:p>
        </w:tc>
        <w:tc>
          <w:tcPr>
            <w:tcW w:type="dxa" w:w="2592"/>
            <w:vAlign w:val="center"/>
            <w:tcMar>
              <w:top w:w="55" w:type="dxa"/>
              <w:start w:w="70" w:type="dxa"/>
              <w:bottom w:w="55" w:type="dxa"/>
              <w:end w:w="70" w:type="dxa"/>
            </w:tcMar>
          </w:tcPr>
          <w:p>
            <w:pPr>
              <w:jc w:val="left"/>
            </w:pPr>
            <w:r/>
            <w:r>
              <w:rPr>
                <w:rFonts w:ascii="Aptos" w:hAnsi="Aptos"/>
                <w:b w:val="0"/>
                <w:sz w:val="14"/>
              </w:rPr>
              <w:t>Decision form, reviewer role, clarification template.</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pre_search_fee_notice</w:t>
            </w:r>
          </w:p>
        </w:tc>
        <w:tc>
          <w:tcPr>
            <w:tcW w:type="dxa" w:w="2592"/>
            <w:vAlign w:val="center"/>
            <w:tcMar>
              <w:top w:w="55" w:type="dxa"/>
              <w:start w:w="70" w:type="dxa"/>
              <w:bottom w:w="55" w:type="dxa"/>
              <w:end w:w="70" w:type="dxa"/>
            </w:tcMar>
            <w:shd w:fill="F2F2F2"/>
          </w:tcPr>
          <w:p>
            <w:pPr>
              <w:jc w:val="left"/>
            </w:pPr>
            <w:r/>
            <w:r>
              <w:rPr>
                <w:rFonts w:ascii="Aptos" w:hAnsi="Aptos"/>
                <w:b w:val="0"/>
                <w:sz w:val="14"/>
              </w:rPr>
              <w:t>Statutory</w:t>
            </w:r>
          </w:p>
        </w:tc>
        <w:tc>
          <w:tcPr>
            <w:tcW w:type="dxa" w:w="2592"/>
            <w:vAlign w:val="center"/>
            <w:tcMar>
              <w:top w:w="55" w:type="dxa"/>
              <w:start w:w="70" w:type="dxa"/>
              <w:bottom w:w="55" w:type="dxa"/>
              <w:end w:w="70" w:type="dxa"/>
            </w:tcMar>
            <w:shd w:fill="F2F2F2"/>
          </w:tcPr>
          <w:p>
            <w:pPr>
              <w:jc w:val="left"/>
            </w:pPr>
            <w:r/>
            <w:r>
              <w:rPr>
                <w:rFonts w:ascii="Aptos" w:hAnsi="Aptos"/>
                <w:b w:val="0"/>
                <w:sz w:val="14"/>
              </w:rPr>
              <w:t>Required before search</w:t>
            </w:r>
          </w:p>
        </w:tc>
        <w:tc>
          <w:tcPr>
            <w:tcW w:type="dxa" w:w="2592"/>
            <w:vAlign w:val="center"/>
            <w:tcMar>
              <w:top w:w="55" w:type="dxa"/>
              <w:start w:w="70" w:type="dxa"/>
              <w:bottom w:w="55" w:type="dxa"/>
              <w:end w:w="70" w:type="dxa"/>
            </w:tcMar>
            <w:shd w:fill="F2F2F2"/>
          </w:tcPr>
          <w:p>
            <w:pPr>
              <w:jc w:val="left"/>
            </w:pPr>
            <w:r/>
            <w:r>
              <w:rPr>
                <w:rFonts w:ascii="Aptos" w:hAnsi="Aptos"/>
                <w:b w:val="0"/>
                <w:sz w:val="14"/>
              </w:rPr>
              <w:t>Template and delivery channel.</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actual_cost_rates</w:t>
            </w:r>
          </w:p>
        </w:tc>
        <w:tc>
          <w:tcPr>
            <w:tcW w:type="dxa" w:w="2592"/>
            <w:vAlign w:val="center"/>
            <w:tcMar>
              <w:top w:w="55" w:type="dxa"/>
              <w:start w:w="70" w:type="dxa"/>
              <w:bottom w:w="55" w:type="dxa"/>
              <w:end w:w="70" w:type="dxa"/>
            </w:tcMar>
          </w:tcPr>
          <w:p>
            <w:pPr>
              <w:jc w:val="left"/>
            </w:pPr>
            <w:r/>
            <w:r>
              <w:rPr>
                <w:rFonts w:ascii="Aptos" w:hAnsi="Aptos"/>
                <w:b w:val="0"/>
                <w:sz w:val="14"/>
              </w:rPr>
              <w:t>Jurisdiction configured</w:t>
            </w:r>
          </w:p>
        </w:tc>
        <w:tc>
          <w:tcPr>
            <w:tcW w:type="dxa" w:w="2592"/>
            <w:vAlign w:val="center"/>
            <w:tcMar>
              <w:top w:w="55" w:type="dxa"/>
              <w:start w:w="70" w:type="dxa"/>
              <w:bottom w:w="55" w:type="dxa"/>
              <w:end w:w="70" w:type="dxa"/>
            </w:tcMar>
          </w:tcPr>
          <w:p>
            <w:pPr>
              <w:jc w:val="left"/>
            </w:pPr>
            <w:r/>
            <w:r>
              <w:rPr>
                <w:rFonts w:ascii="Aptos" w:hAnsi="Aptos"/>
                <w:b w:val="0"/>
                <w:sz w:val="14"/>
              </w:rPr>
              <w:t>Cannot exceed actual cost; no surplus overhead</w:t>
            </w:r>
          </w:p>
        </w:tc>
        <w:tc>
          <w:tcPr>
            <w:tcW w:type="dxa" w:w="2592"/>
            <w:vAlign w:val="center"/>
            <w:tcMar>
              <w:top w:w="55" w:type="dxa"/>
              <w:start w:w="70" w:type="dxa"/>
              <w:bottom w:w="55" w:type="dxa"/>
              <w:end w:w="70" w:type="dxa"/>
            </w:tcMar>
          </w:tcPr>
          <w:p>
            <w:pPr>
              <w:jc w:val="left"/>
            </w:pPr>
            <w:r/>
            <w:r>
              <w:rPr>
                <w:rFonts w:ascii="Aptos" w:hAnsi="Aptos"/>
                <w:b w:val="0"/>
                <w:sz w:val="14"/>
              </w:rPr>
              <w:t>Labor, duplication, media, GIS and payment fees.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estimate_requested_timer</w:t>
            </w:r>
          </w:p>
        </w:tc>
        <w:tc>
          <w:tcPr>
            <w:tcW w:type="dxa" w:w="2592"/>
            <w:vAlign w:val="center"/>
            <w:tcMar>
              <w:top w:w="55" w:type="dxa"/>
              <w:start w:w="70" w:type="dxa"/>
              <w:bottom w:w="55" w:type="dxa"/>
              <w:end w:w="70" w:type="dxa"/>
            </w:tcMar>
            <w:shd w:fill="F2F2F2"/>
          </w:tcPr>
          <w:p>
            <w:pPr>
              <w:jc w:val="left"/>
            </w:pPr>
            <w:r/>
            <w:r>
              <w:rPr>
                <w:rFonts w:ascii="Aptos" w:hAnsi="Aptos"/>
                <w:b w:val="0"/>
                <w:sz w:val="14"/>
              </w:rPr>
              <w:t>Statutory</w:t>
            </w:r>
          </w:p>
        </w:tc>
        <w:tc>
          <w:tcPr>
            <w:tcW w:type="dxa" w:w="2592"/>
            <w:vAlign w:val="center"/>
            <w:tcMar>
              <w:top w:w="55" w:type="dxa"/>
              <w:start w:w="70" w:type="dxa"/>
              <w:bottom w:w="55" w:type="dxa"/>
              <w:end w:w="70" w:type="dxa"/>
            </w:tcMar>
            <w:shd w:fill="F2F2F2"/>
          </w:tcPr>
          <w:p>
            <w:pPr>
              <w:jc w:val="left"/>
            </w:pPr>
            <w:r/>
            <w:r>
              <w:rPr>
                <w:rFonts w:ascii="Aptos" w:hAnsi="Aptos"/>
                <w:b w:val="0"/>
                <w:sz w:val="14"/>
              </w:rPr>
              <w:t>Toll; 30-day withdrawal</w:t>
            </w:r>
          </w:p>
        </w:tc>
        <w:tc>
          <w:tcPr>
            <w:tcW w:type="dxa" w:w="2592"/>
            <w:vAlign w:val="center"/>
            <w:tcMar>
              <w:top w:w="55" w:type="dxa"/>
              <w:start w:w="70" w:type="dxa"/>
              <w:bottom w:w="55" w:type="dxa"/>
              <w:end w:w="70" w:type="dxa"/>
            </w:tcMar>
            <w:shd w:fill="F2F2F2"/>
          </w:tcPr>
          <w:p>
            <w:pPr>
              <w:jc w:val="left"/>
            </w:pPr>
            <w:r/>
            <w:r>
              <w:rPr>
                <w:rFonts w:ascii="Aptos" w:hAnsi="Aptos"/>
                <w:b w:val="0"/>
                <w:sz w:val="14"/>
              </w:rPr>
              <w:t>Automated reminders and withdrawal event.</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deposit_policy</w:t>
            </w:r>
          </w:p>
        </w:tc>
        <w:tc>
          <w:tcPr>
            <w:tcW w:type="dxa" w:w="2592"/>
            <w:vAlign w:val="center"/>
            <w:tcMar>
              <w:top w:w="55" w:type="dxa"/>
              <w:start w:w="70" w:type="dxa"/>
              <w:bottom w:w="55" w:type="dxa"/>
              <w:end w:w="70" w:type="dxa"/>
            </w:tcMar>
          </w:tcPr>
          <w:p>
            <w:pPr>
              <w:jc w:val="left"/>
            </w:pPr>
            <w:r/>
            <w:r>
              <w:rPr>
                <w:rFonts w:ascii="Aptos" w:hAnsi="Aptos"/>
                <w:b w:val="0"/>
                <w:sz w:val="14"/>
              </w:rPr>
              <w:t>Local exercise of statutory option</w:t>
            </w:r>
          </w:p>
        </w:tc>
        <w:tc>
          <w:tcPr>
            <w:tcW w:type="dxa" w:w="2592"/>
            <w:vAlign w:val="center"/>
            <w:tcMar>
              <w:top w:w="55" w:type="dxa"/>
              <w:start w:w="70" w:type="dxa"/>
              <w:bottom w:w="55" w:type="dxa"/>
              <w:end w:w="70" w:type="dxa"/>
            </w:tcMar>
          </w:tcPr>
          <w:p>
            <w:pPr>
              <w:jc w:val="left"/>
            </w:pPr>
            <w:r/>
            <w:r>
              <w:rPr>
                <w:rFonts w:ascii="Aptos" w:hAnsi="Aptos"/>
                <w:b w:val="0"/>
                <w:sz w:val="14"/>
              </w:rPr>
              <w:t>Permitted when likely charges exceed $200</w:t>
            </w:r>
          </w:p>
        </w:tc>
        <w:tc>
          <w:tcPr>
            <w:tcW w:type="dxa" w:w="2592"/>
            <w:vAlign w:val="center"/>
            <w:tcMar>
              <w:top w:w="55" w:type="dxa"/>
              <w:start w:w="70" w:type="dxa"/>
              <w:bottom w:w="55" w:type="dxa"/>
              <w:end w:w="70" w:type="dxa"/>
            </w:tcMar>
          </w:tcPr>
          <w:p>
            <w:pPr>
              <w:jc w:val="left"/>
            </w:pPr>
            <w:r/>
            <w:r>
              <w:rPr>
                <w:rFonts w:ascii="Aptos" w:hAnsi="Aptos"/>
                <w:b w:val="0"/>
                <w:sz w:val="14"/>
              </w:rPr>
              <w:t>Whether city requires deposit and payment methods.</w:t>
            </w:r>
          </w:p>
        </w:tc>
      </w:tr>
      <w:tr>
        <w:trPr>
          <w:cantSplit/>
        </w:trPr>
        <w:tc>
          <w:tcPr>
            <w:tcW w:type="dxa" w:w="2592"/>
            <w:vAlign w:val="center"/>
            <w:tcMar>
              <w:top w:w="55" w:type="dxa"/>
              <w:start w:w="70" w:type="dxa"/>
              <w:bottom w:w="55" w:type="dxa"/>
              <w:end w:w="70" w:type="dxa"/>
            </w:tcMar>
            <w:shd w:fill="F2F2F2"/>
          </w:tcPr>
          <w:p>
            <w:pPr>
              <w:jc w:val="left"/>
            </w:pPr>
            <w:r/>
            <w:r>
              <w:rPr>
                <w:rFonts w:ascii="Aptos" w:hAnsi="Aptos"/>
                <w:b w:val="0"/>
                <w:sz w:val="14"/>
              </w:rPr>
              <w:t>operational_complexity_labels</w:t>
            </w:r>
          </w:p>
        </w:tc>
        <w:tc>
          <w:tcPr>
            <w:tcW w:type="dxa" w:w="2592"/>
            <w:vAlign w:val="center"/>
            <w:tcMar>
              <w:top w:w="55" w:type="dxa"/>
              <w:start w:w="70" w:type="dxa"/>
              <w:bottom w:w="55" w:type="dxa"/>
              <w:end w:w="70" w:type="dxa"/>
            </w:tcMar>
            <w:shd w:fill="F2F2F2"/>
          </w:tcPr>
          <w:p>
            <w:pPr>
              <w:jc w:val="left"/>
            </w:pPr>
            <w:r/>
            <w:r>
              <w:rPr>
                <w:rFonts w:ascii="Aptos" w:hAnsi="Aptos"/>
                <w:b w:val="0"/>
                <w:sz w:val="14"/>
              </w:rPr>
              <w:t>Operational</w:t>
            </w:r>
          </w:p>
        </w:tc>
        <w:tc>
          <w:tcPr>
            <w:tcW w:type="dxa" w:w="2592"/>
            <w:vAlign w:val="center"/>
            <w:tcMar>
              <w:top w:w="55" w:type="dxa"/>
              <w:start w:w="70" w:type="dxa"/>
              <w:bottom w:w="55" w:type="dxa"/>
              <w:end w:w="70" w:type="dxa"/>
            </w:tcMar>
            <w:shd w:fill="F2F2F2"/>
          </w:tcPr>
          <w:p>
            <w:pPr>
              <w:jc w:val="left"/>
            </w:pPr>
            <w:r/>
            <w:r>
              <w:rPr>
                <w:rFonts w:ascii="Aptos" w:hAnsi="Aptos"/>
                <w:b w:val="0"/>
                <w:sz w:val="14"/>
              </w:rPr>
              <w:t>No statutory simple/complex classes</w:t>
            </w:r>
          </w:p>
        </w:tc>
        <w:tc>
          <w:tcPr>
            <w:tcW w:type="dxa" w:w="2592"/>
            <w:vAlign w:val="center"/>
            <w:tcMar>
              <w:top w:w="55" w:type="dxa"/>
              <w:start w:w="70" w:type="dxa"/>
              <w:bottom w:w="55" w:type="dxa"/>
              <w:end w:w="70" w:type="dxa"/>
            </w:tcMar>
            <w:shd w:fill="F2F2F2"/>
          </w:tcPr>
          <w:p>
            <w:pPr>
              <w:jc w:val="left"/>
            </w:pPr>
            <w:r/>
            <w:r>
              <w:rPr>
                <w:rFonts w:ascii="Aptos" w:hAnsi="Aptos"/>
                <w:b w:val="0"/>
                <w:sz w:val="14"/>
              </w:rPr>
              <w:t>Optional labels and assignment thresholds.</w:t>
            </w:r>
          </w:p>
        </w:tc>
      </w:tr>
      <w:tr>
        <w:trPr>
          <w:cantSplit/>
        </w:trPr>
        <w:tc>
          <w:tcPr>
            <w:tcW w:type="dxa" w:w="2592"/>
            <w:vAlign w:val="center"/>
            <w:tcMar>
              <w:top w:w="55" w:type="dxa"/>
              <w:start w:w="70" w:type="dxa"/>
              <w:bottom w:w="55" w:type="dxa"/>
              <w:end w:w="70" w:type="dxa"/>
            </w:tcMar>
          </w:tcPr>
          <w:p>
            <w:pPr>
              <w:jc w:val="left"/>
            </w:pPr>
            <w:r/>
            <w:r>
              <w:rPr>
                <w:rFonts w:ascii="Aptos" w:hAnsi="Aptos"/>
                <w:b w:val="0"/>
                <w:sz w:val="14"/>
              </w:rPr>
              <w:t>court_extension_escalation</w:t>
            </w:r>
          </w:p>
        </w:tc>
        <w:tc>
          <w:tcPr>
            <w:tcW w:type="dxa" w:w="2592"/>
            <w:vAlign w:val="center"/>
            <w:tcMar>
              <w:top w:w="55" w:type="dxa"/>
              <w:start w:w="70" w:type="dxa"/>
              <w:bottom w:w="55" w:type="dxa"/>
              <w:end w:w="70" w:type="dxa"/>
            </w:tcMar>
          </w:tcPr>
          <w:p>
            <w:pPr>
              <w:jc w:val="left"/>
            </w:pPr>
            <w:r/>
            <w:r>
              <w:rPr>
                <w:rFonts w:ascii="Aptos" w:hAnsi="Aptos"/>
                <w:b w:val="0"/>
                <w:sz w:val="14"/>
              </w:rPr>
              <w:t>Human determination</w:t>
            </w:r>
          </w:p>
        </w:tc>
        <w:tc>
          <w:tcPr>
            <w:tcW w:type="dxa" w:w="2592"/>
            <w:vAlign w:val="center"/>
            <w:tcMar>
              <w:top w:w="55" w:type="dxa"/>
              <w:start w:w="70" w:type="dxa"/>
              <w:bottom w:w="55" w:type="dxa"/>
              <w:end w:w="70" w:type="dxa"/>
            </w:tcMar>
          </w:tcPr>
          <w:p>
            <w:pPr>
              <w:jc w:val="left"/>
            </w:pPr>
            <w:r/>
            <w:r>
              <w:rPr>
                <w:rFonts w:ascii="Aptos" w:hAnsi="Aptos"/>
                <w:b w:val="0"/>
                <w:sz w:val="14"/>
              </w:rPr>
              <w:t>Extraordinary burden standard</w:t>
            </w:r>
          </w:p>
        </w:tc>
        <w:tc>
          <w:tcPr>
            <w:tcW w:type="dxa" w:w="2592"/>
            <w:vAlign w:val="center"/>
            <w:tcMar>
              <w:top w:w="55" w:type="dxa"/>
              <w:start w:w="70" w:type="dxa"/>
              <w:bottom w:w="55" w:type="dxa"/>
              <w:end w:w="70" w:type="dxa"/>
            </w:tcMar>
          </w:tcPr>
          <w:p>
            <w:pPr>
              <w:jc w:val="left"/>
            </w:pPr>
            <w:r/>
            <w:r>
              <w:rPr>
                <w:rFonts w:ascii="Aptos" w:hAnsi="Aptos"/>
                <w:b w:val="0"/>
                <w:sz w:val="14"/>
              </w:rPr>
              <w:t>Legal approver and petition checklist.</w:t>
            </w:r>
          </w:p>
        </w:tc>
      </w:tr>
    </w:tbl>
    <w:p>
      <w:pPr>
        <w:spacing w:after="20"/>
      </w:pPr>
    </w:p>
    <w:p>
      <w:pPr>
        <w:pStyle w:val="Heading1"/>
      </w:pPr>
      <w:r>
        <w:t>12. Recommended Workflow States and Transitions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center"/>
            <w:tcMar>
              <w:top w:w="55" w:type="dxa"/>
              <w:start w:w="70" w:type="dxa"/>
              <w:bottom w:w="55" w:type="dxa"/>
              <w:end w:w="70" w:type="dxa"/>
            </w:tcMar>
            <w:shd w:fill="17365D"/>
          </w:tcPr>
          <w:p>
            <w:pPr>
              <w:jc w:val="center"/>
            </w:pPr>
            <w:r/>
            <w:r>
              <w:rPr>
                <w:rFonts w:ascii="Aptos" w:hAnsi="Aptos"/>
                <w:b/>
                <w:color w:val="FFFFFF"/>
                <w:sz w:val="14"/>
              </w:rPr>
              <w:t>State</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4"/>
              </w:rPr>
              <w:t>Entry event</w:t>
            </w:r>
          </w:p>
        </w:tc>
        <w:tc>
          <w:tcPr>
            <w:tcW w:type="dxa" w:w="3456"/>
            <w:vAlign w:val="center"/>
            <w:tcMar>
              <w:top w:w="55" w:type="dxa"/>
              <w:start w:w="70" w:type="dxa"/>
              <w:bottom w:w="55" w:type="dxa"/>
              <w:end w:w="70" w:type="dxa"/>
            </w:tcMar>
            <w:shd w:fill="17365D"/>
          </w:tcPr>
          <w:p>
            <w:pPr>
              <w:jc w:val="center"/>
            </w:pPr>
            <w:r/>
            <w:r>
              <w:rPr>
                <w:rFonts w:ascii="Aptos" w:hAnsi="Aptos"/>
                <w:b/>
                <w:color w:val="FFFFFF"/>
                <w:sz w:val="14"/>
              </w:rPr>
              <w:t>Permitted next states / exit condition</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RECEIVED</w:t>
            </w:r>
          </w:p>
        </w:tc>
        <w:tc>
          <w:tcPr>
            <w:tcW w:type="dxa" w:w="3456"/>
            <w:vAlign w:val="center"/>
            <w:tcMar>
              <w:top w:w="55" w:type="dxa"/>
              <w:start w:w="70" w:type="dxa"/>
              <w:bottom w:w="55" w:type="dxa"/>
              <w:end w:w="70" w:type="dxa"/>
            </w:tcMar>
          </w:tcPr>
          <w:p>
            <w:pPr>
              <w:jc w:val="left"/>
            </w:pPr>
            <w:r/>
            <w:r>
              <w:rPr>
                <w:rFonts w:ascii="Aptos" w:hAnsi="Aptos"/>
                <w:b w:val="0"/>
                <w:sz w:val="14"/>
              </w:rPr>
              <w:t>Custodian receives written request</w:t>
            </w:r>
          </w:p>
        </w:tc>
        <w:tc>
          <w:tcPr>
            <w:tcW w:type="dxa" w:w="3456"/>
            <w:vAlign w:val="center"/>
            <w:tcMar>
              <w:top w:w="55" w:type="dxa"/>
              <w:start w:w="70" w:type="dxa"/>
              <w:bottom w:w="55" w:type="dxa"/>
              <w:end w:w="70" w:type="dxa"/>
            </w:tcMar>
          </w:tcPr>
          <w:p>
            <w:pPr>
              <w:jc w:val="left"/>
            </w:pPr>
            <w:r/>
            <w:r>
              <w:rPr>
                <w:rFonts w:ascii="Aptos" w:hAnsi="Aptos"/>
                <w:b w:val="0"/>
                <w:sz w:val="14"/>
              </w:rPr>
              <w:t>SPECIFICITY_REVIEW, FEE_NOTICE_PENDING</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SPECIFICITY_REVIEW</w:t>
            </w:r>
          </w:p>
        </w:tc>
        <w:tc>
          <w:tcPr>
            <w:tcW w:type="dxa" w:w="3456"/>
            <w:vAlign w:val="center"/>
            <w:tcMar>
              <w:top w:w="55" w:type="dxa"/>
              <w:start w:w="70" w:type="dxa"/>
              <w:bottom w:w="55" w:type="dxa"/>
              <w:end w:w="70" w:type="dxa"/>
            </w:tcMar>
            <w:shd w:fill="F2F2F2"/>
          </w:tcPr>
          <w:p>
            <w:pPr>
              <w:jc w:val="left"/>
            </w:pPr>
            <w:r/>
            <w:r>
              <w:rPr>
                <w:rFonts w:ascii="Aptos" w:hAnsi="Aptos"/>
                <w:b w:val="0"/>
                <w:sz w:val="14"/>
              </w:rPr>
              <w:t>Intake validation</w:t>
            </w:r>
          </w:p>
        </w:tc>
        <w:tc>
          <w:tcPr>
            <w:tcW w:type="dxa" w:w="3456"/>
            <w:vAlign w:val="center"/>
            <w:tcMar>
              <w:top w:w="55" w:type="dxa"/>
              <w:start w:w="70" w:type="dxa"/>
              <w:bottom w:w="55" w:type="dxa"/>
              <w:end w:w="70" w:type="dxa"/>
            </w:tcMar>
            <w:shd w:fill="F2F2F2"/>
          </w:tcPr>
          <w:p>
            <w:pPr>
              <w:jc w:val="left"/>
            </w:pPr>
            <w:r/>
            <w:r>
              <w:rPr>
                <w:rFonts w:ascii="Aptos" w:hAnsi="Aptos"/>
                <w:b w:val="0"/>
                <w:sz w:val="14"/>
              </w:rPr>
              <w:t>SEARCH_PENDING, CLARIFICATION_REQUESTED, INVALID_INSUFFICIENT</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FEE_NOTICE_PENDING</w:t>
            </w:r>
          </w:p>
        </w:tc>
        <w:tc>
          <w:tcPr>
            <w:tcW w:type="dxa" w:w="3456"/>
            <w:vAlign w:val="center"/>
            <w:tcMar>
              <w:top w:w="55" w:type="dxa"/>
              <w:start w:w="70" w:type="dxa"/>
              <w:bottom w:w="55" w:type="dxa"/>
              <w:end w:w="70" w:type="dxa"/>
            </w:tcMar>
          </w:tcPr>
          <w:p>
            <w:pPr>
              <w:jc w:val="left"/>
            </w:pPr>
            <w:r/>
            <w:r>
              <w:rPr>
                <w:rFonts w:ascii="Aptos" w:hAnsi="Aptos"/>
                <w:b w:val="0"/>
                <w:sz w:val="14"/>
              </w:rPr>
              <w:t>Before search</w:t>
            </w:r>
          </w:p>
        </w:tc>
        <w:tc>
          <w:tcPr>
            <w:tcW w:type="dxa" w:w="3456"/>
            <w:vAlign w:val="center"/>
            <w:tcMar>
              <w:top w:w="55" w:type="dxa"/>
              <w:start w:w="70" w:type="dxa"/>
              <w:bottom w:w="55" w:type="dxa"/>
              <w:end w:w="70" w:type="dxa"/>
            </w:tcMar>
          </w:tcPr>
          <w:p>
            <w:pPr>
              <w:jc w:val="left"/>
            </w:pPr>
            <w:r/>
            <w:r>
              <w:rPr>
                <w:rFonts w:ascii="Aptos" w:hAnsi="Aptos"/>
                <w:b w:val="0"/>
                <w:sz w:val="14"/>
              </w:rPr>
              <w:t>ESTIMATE_REQUESTED, SEARCH_PENDING</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ESTIMATE_REQUESTED</w:t>
            </w:r>
          </w:p>
        </w:tc>
        <w:tc>
          <w:tcPr>
            <w:tcW w:type="dxa" w:w="3456"/>
            <w:vAlign w:val="center"/>
            <w:tcMar>
              <w:top w:w="55" w:type="dxa"/>
              <w:start w:w="70" w:type="dxa"/>
              <w:bottom w:w="55" w:type="dxa"/>
              <w:end w:w="70" w:type="dxa"/>
            </w:tcMar>
            <w:shd w:fill="F2F2F2"/>
          </w:tcPr>
          <w:p>
            <w:pPr>
              <w:jc w:val="left"/>
            </w:pPr>
            <w:r/>
            <w:r>
              <w:rPr>
                <w:rFonts w:ascii="Aptos" w:hAnsi="Aptos"/>
                <w:b w:val="0"/>
                <w:sz w:val="14"/>
              </w:rPr>
              <w:t>Requester requests estimate</w:t>
            </w:r>
          </w:p>
        </w:tc>
        <w:tc>
          <w:tcPr>
            <w:tcW w:type="dxa" w:w="3456"/>
            <w:vAlign w:val="center"/>
            <w:tcMar>
              <w:top w:w="55" w:type="dxa"/>
              <w:start w:w="70" w:type="dxa"/>
              <w:bottom w:w="55" w:type="dxa"/>
              <w:end w:w="70" w:type="dxa"/>
            </w:tcMar>
            <w:shd w:fill="F2F2F2"/>
          </w:tcPr>
          <w:p>
            <w:pPr>
              <w:jc w:val="left"/>
            </w:pPr>
            <w:r/>
            <w:r>
              <w:rPr>
                <w:rFonts w:ascii="Aptos" w:hAnsi="Aptos"/>
                <w:b w:val="0"/>
                <w:sz w:val="14"/>
              </w:rPr>
              <w:t>AWAITING_ESTIMATE_RESPONSE</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AWAITING_ESTIMATE_RESPONSE</w:t>
            </w:r>
          </w:p>
        </w:tc>
        <w:tc>
          <w:tcPr>
            <w:tcW w:type="dxa" w:w="3456"/>
            <w:vAlign w:val="center"/>
            <w:tcMar>
              <w:top w:w="55" w:type="dxa"/>
              <w:start w:w="70" w:type="dxa"/>
              <w:bottom w:w="55" w:type="dxa"/>
              <w:end w:w="70" w:type="dxa"/>
            </w:tcMar>
          </w:tcPr>
          <w:p>
            <w:pPr>
              <w:jc w:val="left"/>
            </w:pPr>
            <w:r/>
            <w:r>
              <w:rPr>
                <w:rFonts w:ascii="Aptos" w:hAnsi="Aptos"/>
                <w:b w:val="0"/>
                <w:sz w:val="14"/>
              </w:rPr>
              <w:t>Estimate sent</w:t>
            </w:r>
          </w:p>
        </w:tc>
        <w:tc>
          <w:tcPr>
            <w:tcW w:type="dxa" w:w="3456"/>
            <w:vAlign w:val="center"/>
            <w:tcMar>
              <w:top w:w="55" w:type="dxa"/>
              <w:start w:w="70" w:type="dxa"/>
              <w:bottom w:w="55" w:type="dxa"/>
              <w:end w:w="70" w:type="dxa"/>
            </w:tcMar>
          </w:tcPr>
          <w:p>
            <w:pPr>
              <w:jc w:val="left"/>
            </w:pPr>
            <w:r/>
            <w:r>
              <w:rPr>
                <w:rFonts w:ascii="Aptos" w:hAnsi="Aptos"/>
                <w:b w:val="0"/>
                <w:sz w:val="14"/>
              </w:rPr>
              <w:t>SEARCH_PENDING, MODIFIED_REQUEST, WITHDRAWN_AFTER_30_DAYS</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SEARCH_PENDING</w:t>
            </w:r>
          </w:p>
        </w:tc>
        <w:tc>
          <w:tcPr>
            <w:tcW w:type="dxa" w:w="3456"/>
            <w:vAlign w:val="center"/>
            <w:tcMar>
              <w:top w:w="55" w:type="dxa"/>
              <w:start w:w="70" w:type="dxa"/>
              <w:bottom w:w="55" w:type="dxa"/>
              <w:end w:w="70" w:type="dxa"/>
            </w:tcMar>
            <w:shd w:fill="F2F2F2"/>
          </w:tcPr>
          <w:p>
            <w:pPr>
              <w:jc w:val="left"/>
            </w:pPr>
            <w:r/>
            <w:r>
              <w:rPr>
                <w:rFonts w:ascii="Aptos" w:hAnsi="Aptos"/>
                <w:b w:val="0"/>
                <w:sz w:val="14"/>
              </w:rPr>
              <w:t>Request ready to search</w:t>
            </w:r>
          </w:p>
        </w:tc>
        <w:tc>
          <w:tcPr>
            <w:tcW w:type="dxa" w:w="3456"/>
            <w:vAlign w:val="center"/>
            <w:tcMar>
              <w:top w:w="55" w:type="dxa"/>
              <w:start w:w="70" w:type="dxa"/>
              <w:bottom w:w="55" w:type="dxa"/>
              <w:end w:w="70" w:type="dxa"/>
            </w:tcMar>
            <w:shd w:fill="F2F2F2"/>
          </w:tcPr>
          <w:p>
            <w:pPr>
              <w:jc w:val="left"/>
            </w:pPr>
            <w:r/>
            <w:r>
              <w:rPr>
                <w:rFonts w:ascii="Aptos" w:hAnsi="Aptos"/>
                <w:b w:val="0"/>
                <w:sz w:val="14"/>
              </w:rPr>
              <w:t>REVIEW_REDACTION, NO_RECORDS, IMPRACTICABILITY_NOTICE</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IMPRACTICABILITY_NOTICE</w:t>
            </w:r>
          </w:p>
        </w:tc>
        <w:tc>
          <w:tcPr>
            <w:tcW w:type="dxa" w:w="3456"/>
            <w:vAlign w:val="center"/>
            <w:tcMar>
              <w:top w:w="55" w:type="dxa"/>
              <w:start w:w="70" w:type="dxa"/>
              <w:bottom w:w="55" w:type="dxa"/>
              <w:end w:w="70" w:type="dxa"/>
            </w:tcMar>
          </w:tcPr>
          <w:p>
            <w:pPr>
              <w:jc w:val="left"/>
            </w:pPr>
            <w:r/>
            <w:r>
              <w:rPr>
                <w:rFonts w:ascii="Aptos" w:hAnsi="Aptos"/>
                <w:b w:val="0"/>
                <w:sz w:val="14"/>
              </w:rPr>
              <w:t>Authorized notice sent</w:t>
            </w:r>
          </w:p>
        </w:tc>
        <w:tc>
          <w:tcPr>
            <w:tcW w:type="dxa" w:w="3456"/>
            <w:vAlign w:val="center"/>
            <w:tcMar>
              <w:top w:w="55" w:type="dxa"/>
              <w:start w:w="70" w:type="dxa"/>
              <w:bottom w:w="55" w:type="dxa"/>
              <w:end w:w="70" w:type="dxa"/>
            </w:tcMar>
          </w:tcPr>
          <w:p>
            <w:pPr>
              <w:jc w:val="left"/>
            </w:pPr>
            <w:r/>
            <w:r>
              <w:rPr>
                <w:rFonts w:ascii="Aptos" w:hAnsi="Aptos"/>
                <w:b w:val="0"/>
                <w:sz w:val="14"/>
              </w:rPr>
              <w:t>EXTENDED_PROCESSING_7, EXTENDED_PROCESSING_60, COURT_EXTENSION_REVIEW</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REVIEW_REDACTION</w:t>
            </w:r>
          </w:p>
        </w:tc>
        <w:tc>
          <w:tcPr>
            <w:tcW w:type="dxa" w:w="3456"/>
            <w:vAlign w:val="center"/>
            <w:tcMar>
              <w:top w:w="55" w:type="dxa"/>
              <w:start w:w="70" w:type="dxa"/>
              <w:bottom w:w="55" w:type="dxa"/>
              <w:end w:w="70" w:type="dxa"/>
            </w:tcMar>
            <w:shd w:fill="F2F2F2"/>
          </w:tcPr>
          <w:p>
            <w:pPr>
              <w:jc w:val="left"/>
            </w:pPr>
            <w:r/>
            <w:r>
              <w:rPr>
                <w:rFonts w:ascii="Aptos" w:hAnsi="Aptos"/>
                <w:b w:val="0"/>
                <w:sz w:val="14"/>
              </w:rPr>
              <w:t>Records gathered</w:t>
            </w:r>
          </w:p>
        </w:tc>
        <w:tc>
          <w:tcPr>
            <w:tcW w:type="dxa" w:w="3456"/>
            <w:vAlign w:val="center"/>
            <w:tcMar>
              <w:top w:w="55" w:type="dxa"/>
              <w:start w:w="70" w:type="dxa"/>
              <w:bottom w:w="55" w:type="dxa"/>
              <w:end w:w="70" w:type="dxa"/>
            </w:tcMar>
            <w:shd w:fill="F2F2F2"/>
          </w:tcPr>
          <w:p>
            <w:pPr>
              <w:jc w:val="left"/>
            </w:pPr>
            <w:r/>
            <w:r>
              <w:rPr>
                <w:rFonts w:ascii="Aptos" w:hAnsi="Aptos"/>
                <w:b w:val="0"/>
                <w:sz w:val="14"/>
              </w:rPr>
              <w:t>READY_TO_PRODUCE, FULL_DENIAL, PARTIAL_DENIAL</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DEPOSIT_REQUIRED</w:t>
            </w:r>
          </w:p>
        </w:tc>
        <w:tc>
          <w:tcPr>
            <w:tcW w:type="dxa" w:w="3456"/>
            <w:vAlign w:val="center"/>
            <w:tcMar>
              <w:top w:w="55" w:type="dxa"/>
              <w:start w:w="70" w:type="dxa"/>
              <w:bottom w:w="55" w:type="dxa"/>
              <w:end w:w="70" w:type="dxa"/>
            </w:tcMar>
          </w:tcPr>
          <w:p>
            <w:pPr>
              <w:jc w:val="left"/>
            </w:pPr>
            <w:r/>
            <w:r>
              <w:rPr>
                <w:rFonts w:ascii="Aptos" w:hAnsi="Aptos"/>
                <w:b w:val="0"/>
                <w:sz w:val="14"/>
              </w:rPr>
              <w:t>Likely charge &gt;$200 and option exercised</w:t>
            </w:r>
          </w:p>
        </w:tc>
        <w:tc>
          <w:tcPr>
            <w:tcW w:type="dxa" w:w="3456"/>
            <w:vAlign w:val="center"/>
            <w:tcMar>
              <w:top w:w="55" w:type="dxa"/>
              <w:start w:w="70" w:type="dxa"/>
              <w:bottom w:w="55" w:type="dxa"/>
              <w:end w:w="70" w:type="dxa"/>
            </w:tcMar>
          </w:tcPr>
          <w:p>
            <w:pPr>
              <w:jc w:val="left"/>
            </w:pPr>
            <w:r/>
            <w:r>
              <w:rPr>
                <w:rFonts w:ascii="Aptos" w:hAnsi="Aptos"/>
                <w:b w:val="0"/>
                <w:sz w:val="14"/>
              </w:rPr>
              <w:t>AWAITING_DEPOSIT, PROCESSING_RESUMED</w:t>
            </w:r>
          </w:p>
        </w:tc>
      </w:tr>
      <w:tr>
        <w:trPr>
          <w:cantSplit/>
        </w:trPr>
        <w:tc>
          <w:tcPr>
            <w:tcW w:type="dxa" w:w="3456"/>
            <w:vAlign w:val="center"/>
            <w:tcMar>
              <w:top w:w="55" w:type="dxa"/>
              <w:start w:w="70" w:type="dxa"/>
              <w:bottom w:w="55" w:type="dxa"/>
              <w:end w:w="70" w:type="dxa"/>
            </w:tcMar>
            <w:shd w:fill="F2F2F2"/>
          </w:tcPr>
          <w:p>
            <w:pPr>
              <w:jc w:val="left"/>
            </w:pPr>
            <w:r/>
            <w:r>
              <w:rPr>
                <w:rFonts w:ascii="Aptos" w:hAnsi="Aptos"/>
                <w:b w:val="0"/>
                <w:sz w:val="14"/>
              </w:rPr>
              <w:t>READY_TO_PRODUCE</w:t>
            </w:r>
          </w:p>
        </w:tc>
        <w:tc>
          <w:tcPr>
            <w:tcW w:type="dxa" w:w="3456"/>
            <w:vAlign w:val="center"/>
            <w:tcMar>
              <w:top w:w="55" w:type="dxa"/>
              <w:start w:w="70" w:type="dxa"/>
              <w:bottom w:w="55" w:type="dxa"/>
              <w:end w:w="70" w:type="dxa"/>
            </w:tcMar>
            <w:shd w:fill="F2F2F2"/>
          </w:tcPr>
          <w:p>
            <w:pPr>
              <w:jc w:val="left"/>
            </w:pPr>
            <w:r/>
            <w:r>
              <w:rPr>
                <w:rFonts w:ascii="Aptos" w:hAnsi="Aptos"/>
                <w:b w:val="0"/>
                <w:sz w:val="14"/>
              </w:rPr>
              <w:t>Records approved</w:t>
            </w:r>
          </w:p>
        </w:tc>
        <w:tc>
          <w:tcPr>
            <w:tcW w:type="dxa" w:w="3456"/>
            <w:vAlign w:val="center"/>
            <w:tcMar>
              <w:top w:w="55" w:type="dxa"/>
              <w:start w:w="70" w:type="dxa"/>
              <w:bottom w:w="55" w:type="dxa"/>
              <w:end w:w="70" w:type="dxa"/>
            </w:tcMar>
            <w:shd w:fill="F2F2F2"/>
          </w:tcPr>
          <w:p>
            <w:pPr>
              <w:jc w:val="left"/>
            </w:pPr>
            <w:r/>
            <w:r>
              <w:rPr>
                <w:rFonts w:ascii="Aptos" w:hAnsi="Aptos"/>
                <w:b w:val="0"/>
                <w:sz w:val="14"/>
              </w:rPr>
              <w:t>PAYMENT_DUE, DELIVERED</w:t>
            </w:r>
          </w:p>
        </w:tc>
      </w:tr>
      <w:tr>
        <w:trPr>
          <w:cantSplit/>
        </w:trPr>
        <w:tc>
          <w:tcPr>
            <w:tcW w:type="dxa" w:w="3456"/>
            <w:vAlign w:val="center"/>
            <w:tcMar>
              <w:top w:w="55" w:type="dxa"/>
              <w:start w:w="70" w:type="dxa"/>
              <w:bottom w:w="55" w:type="dxa"/>
              <w:end w:w="70" w:type="dxa"/>
            </w:tcMar>
          </w:tcPr>
          <w:p>
            <w:pPr>
              <w:jc w:val="left"/>
            </w:pPr>
            <w:r/>
            <w:r>
              <w:rPr>
                <w:rFonts w:ascii="Aptos" w:hAnsi="Aptos"/>
                <w:b w:val="0"/>
                <w:sz w:val="14"/>
              </w:rPr>
              <w:t>CLOSED</w:t>
            </w:r>
          </w:p>
        </w:tc>
        <w:tc>
          <w:tcPr>
            <w:tcW w:type="dxa" w:w="3456"/>
            <w:vAlign w:val="center"/>
            <w:tcMar>
              <w:top w:w="55" w:type="dxa"/>
              <w:start w:w="70" w:type="dxa"/>
              <w:bottom w:w="55" w:type="dxa"/>
              <w:end w:w="70" w:type="dxa"/>
            </w:tcMar>
          </w:tcPr>
          <w:p>
            <w:pPr>
              <w:jc w:val="left"/>
            </w:pPr>
            <w:r/>
            <w:r>
              <w:rPr>
                <w:rFonts w:ascii="Aptos" w:hAnsi="Aptos"/>
                <w:b w:val="0"/>
                <w:sz w:val="14"/>
              </w:rPr>
              <w:t>Production, authorized denial, no records, or withdrawal</w:t>
            </w:r>
          </w:p>
        </w:tc>
        <w:tc>
          <w:tcPr>
            <w:tcW w:type="dxa" w:w="3456"/>
            <w:vAlign w:val="center"/>
            <w:tcMar>
              <w:top w:w="55" w:type="dxa"/>
              <w:start w:w="70" w:type="dxa"/>
              <w:bottom w:w="55" w:type="dxa"/>
              <w:end w:w="70" w:type="dxa"/>
            </w:tcMar>
          </w:tcPr>
          <w:p>
            <w:pPr>
              <w:jc w:val="left"/>
            </w:pPr>
            <w:r/>
            <w:r>
              <w:rPr>
                <w:rFonts w:ascii="Aptos" w:hAnsi="Aptos"/>
                <w:b w:val="0"/>
                <w:sz w:val="14"/>
              </w:rPr>
              <w:t>Terminal with audit trail</w:t>
            </w:r>
          </w:p>
        </w:tc>
      </w:tr>
    </w:tbl>
    <w:p>
      <w:pPr>
        <w:spacing w:after="20"/>
      </w:pPr>
    </w:p>
    <w:p>
      <w:pPr>
        <w:pStyle w:val="Heading1"/>
      </w:pPr>
      <w:r>
        <w:t>13. Unresolved Questions and Local-Policy Decisions</w:t>
      </w:r>
    </w:p>
    <w:p>
      <w:pPr>
        <w:pStyle w:val="ListBullet"/>
        <w:spacing w:after="30"/>
      </w:pPr>
      <w:r>
        <w:t>Local rule for when a request failing reasonable specificity is treated as non-triggering versus maintained with the five-day timer while clarification is sought.</w:t>
      </w:r>
    </w:p>
    <w:p>
      <w:pPr>
        <w:pStyle w:val="ListBullet"/>
        <w:spacing w:after="30"/>
      </w:pPr>
      <w:r>
        <w:t>Which city roles may invoke the impracticability response, extraordinary-volume court process, deposit option, or old-balance hold.</w:t>
      </w:r>
    </w:p>
    <w:p>
      <w:pPr>
        <w:pStyle w:val="ListBullet"/>
        <w:spacing w:after="30"/>
      </w:pPr>
      <w:r>
        <w:t>Local actual-cost rate schedule and whether the city will require deposits whenever the statutory threshold is met.</w:t>
      </w:r>
    </w:p>
    <w:p>
      <w:pPr>
        <w:pStyle w:val="ListBullet"/>
        <w:spacing w:after="30"/>
      </w:pPr>
      <w:r>
        <w:t>How partial/rolling production will be scheduled during an authorized extension.</w:t>
      </w:r>
    </w:p>
    <w:p>
      <w:pPr>
        <w:pStyle w:val="ListBullet"/>
        <w:spacing w:after="30"/>
      </w:pPr>
      <w:r>
        <w:t>Whether criminal investigative-file requests are routed to a specialized city/police workflow.</w:t>
      </w:r>
    </w:p>
    <w:p>
      <w:pPr>
        <w:pStyle w:val="Heading1"/>
      </w:pPr>
      <w:r>
        <w:t>14. Suggestions Discovered During This State Review</w:t>
      </w:r>
    </w:p>
    <w:p>
      <w:pPr>
        <w:pStyle w:val="ListBullet"/>
        <w:spacing w:after="30"/>
      </w:pPr>
      <w:r>
        <w:t>Branch-specific requester silence must be modeled: Virginia creates a 30-day withdrawal only after an estimate, not a universal abandonment period.</w:t>
      </w:r>
    </w:p>
    <w:p>
      <w:pPr>
        <w:pStyle w:val="ListBullet"/>
        <w:spacing w:after="30"/>
      </w:pPr>
      <w:r>
        <w:t>Tolling should be event-specific. The same “waiting for requester” operational state may toll a legal timer for an estimate or deposit but not necessarily for clarification.</w:t>
      </w:r>
    </w:p>
    <w:p>
      <w:pPr>
        <w:pStyle w:val="ListBullet"/>
        <w:spacing w:after="30"/>
      </w:pPr>
      <w:r>
        <w:t>Physical possession and legal custody should be separate fields because transferred records remain the city’s responsibility.</w:t>
      </w:r>
    </w:p>
    <w:p>
      <w:pPr>
        <w:pStyle w:val="Heading1"/>
      </w:pPr>
      <w:r>
        <w:t>15. Primary Sources</w:t>
      </w:r>
    </w:p>
    <w:p>
      <w:pPr>
        <w:spacing w:after="40"/>
      </w:pPr>
      <w:r>
        <w:rPr>
          <w:b/>
        </w:rPr>
        <w:t>Code of Virginia § 2.2-3704</w:t>
      </w:r>
      <w:r>
        <w:t xml:space="preserve"> - Current statutory workflow, deadlines, charges, electronic records, and custody.</w:t>
        <w:br/>
        <w:t>https://law.lis.virginia.gov/vacode/title2.2/chapter37/section2.2-3704/</w:t>
      </w:r>
    </w:p>
    <w:p>
      <w:pPr>
        <w:spacing w:after="40"/>
      </w:pPr>
      <w:r>
        <w:rPr>
          <w:b/>
        </w:rPr>
        <w:t>Code of Virginia § 2.2-3704.1</w:t>
      </w:r>
      <w:r>
        <w:t xml:space="preserve"> - Local-public-body FOIA information and fee-policy publication duties.</w:t>
        <w:br/>
        <w:t>https://law.lis.virginia.gov/vacode/title2.2/chapter37/section2.2-3704.1/</w:t>
      </w:r>
    </w:p>
    <w:p>
      <w:pPr>
        <w:spacing w:after="40"/>
      </w:pPr>
      <w:r>
        <w:rPr>
          <w:b/>
        </w:rPr>
        <w:t>Virginia Freedom of Information Advisory Council</w:t>
      </w:r>
      <w:r>
        <w:t xml:space="preserve"> - Official guidance and training resource.</w:t>
        <w:br/>
        <w:t>https://foiacouncil.dls.virginia.gov/</w:t>
      </w:r>
    </w:p>
    <w:sectPr w:rsidR="00FC693F" w:rsidRPr="0006063C" w:rsidSect="00034616">
      <w:headerReference w:type="default" r:id="rId9"/>
      <w:footerReference w:type="default" r:id="rId10"/>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5"/>
      </w:rPr>
      <w:t>Initial-processing legal workflow and software configuration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Virginia | National Open Records Workflow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Virginia Public Records Workflow</dc:title>
  <dc:subject>Initial processing reverse-engineered into software configuration requirements</dc:subject>
  <dc:creator>OpenAI</dc:creator>
  <cp:keywords>public records, open records, city workflow, software configuration</cp:keywords>
  <dc:description>generated by python-docx</dc:description>
  <cp:lastModifiedBy/>
  <cp:revision>1</cp:revision>
  <dcterms:created xsi:type="dcterms:W3CDTF">2013-12-23T23:15:00Z</dcterms:created>
  <dcterms:modified xsi:type="dcterms:W3CDTF">2013-12-23T23:15:00Z</dcterms:modified>
  <cp:category/>
</cp:coreProperties>
</file>