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b/>
          <w:color w:val="17365D"/>
          <w:sz w:val="40"/>
        </w:rPr>
        <w:t>North Carolina Public Records Workflow</w:t>
      </w:r>
    </w:p>
    <w:p>
      <w:pPr>
        <w:spacing w:after="160"/>
        <w:jc w:val="center"/>
      </w:pPr>
      <w:r>
        <w:rPr>
          <w:rFonts w:ascii="Aptos Display" w:hAnsi="Aptos Display"/>
          <w:b/>
          <w:color w:val="2F5597"/>
          <w:sz w:val="23"/>
        </w:rPr>
        <w:t>Reverse Engineering of Initial Processing into Software Configuration Requirements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55" w:type="dxa"/>
              <w:start w:w="70" w:type="dxa"/>
              <w:bottom w:w="55" w:type="dxa"/>
              <w:end w:w="70" w:type="dxa"/>
            </w:tcMar>
            <w:shd w:fill="D9EAF7"/>
          </w:tcPr>
          <w:p>
            <w:pPr>
              <w:jc w:val="center"/>
            </w:pPr>
            <w:r/>
            <w:r>
              <w:rPr>
                <w:rFonts w:ascii="Aptos" w:hAnsi="Aptos"/>
                <w:b/>
                <w:sz w:val="15"/>
              </w:rPr>
              <w:t>Primary law</w:t>
            </w:r>
          </w:p>
        </w:tc>
        <w:tc>
          <w:tcPr>
            <w:tcW w:type="dxa" w:w="2592"/>
            <w:vAlign w:val="center"/>
            <w:tcMar>
              <w:top w:w="55" w:type="dxa"/>
              <w:start w:w="70" w:type="dxa"/>
              <w:bottom w:w="55" w:type="dxa"/>
              <w:end w:w="70" w:type="dxa"/>
            </w:tcMar>
            <w:shd w:fill="FFFFFF"/>
          </w:tcPr>
          <w:p>
            <w:pPr>
              <w:jc w:val="center"/>
            </w:pPr>
            <w:r/>
            <w:r>
              <w:rPr>
                <w:rFonts w:ascii="Aptos" w:hAnsi="Aptos"/>
                <w:b w:val="0"/>
                <w:sz w:val="15"/>
              </w:rPr>
              <w:t>North Carolina Public Records Law, N.C. Gen. Stat. Chapter 132</w:t>
            </w:r>
          </w:p>
        </w:tc>
        <w:tc>
          <w:tcPr>
            <w:tcW w:type="dxa" w:w="2592"/>
            <w:vAlign w:val="center"/>
            <w:tcMar>
              <w:top w:w="55" w:type="dxa"/>
              <w:start w:w="70" w:type="dxa"/>
              <w:bottom w:w="55" w:type="dxa"/>
              <w:end w:w="70" w:type="dxa"/>
            </w:tcMar>
            <w:shd w:fill="D9EAF7"/>
          </w:tcPr>
          <w:p>
            <w:pPr>
              <w:jc w:val="center"/>
            </w:pPr>
            <w:r/>
            <w:r>
              <w:rPr>
                <w:rFonts w:ascii="Aptos" w:hAnsi="Aptos"/>
                <w:b/>
                <w:sz w:val="15"/>
              </w:rPr>
              <w:t>Research current through</w:t>
            </w:r>
          </w:p>
        </w:tc>
        <w:tc>
          <w:tcPr>
            <w:tcW w:type="dxa" w:w="2592"/>
            <w:vAlign w:val="center"/>
            <w:tcMar>
              <w:top w:w="55" w:type="dxa"/>
              <w:start w:w="70" w:type="dxa"/>
              <w:bottom w:w="55" w:type="dxa"/>
              <w:end w:w="70" w:type="dxa"/>
            </w:tcMar>
            <w:shd w:fill="FFFFFF"/>
          </w:tcPr>
          <w:p>
            <w:pPr>
              <w:jc w:val="center"/>
            </w:pPr>
            <w:r/>
            <w:r>
              <w:rPr>
                <w:rFonts w:ascii="Aptos" w:hAnsi="Aptos"/>
                <w:b w:val="0"/>
                <w:sz w:val="15"/>
              </w:rPr>
              <w:t>July 22, 2026</w:t>
            </w:r>
          </w:p>
        </w:tc>
      </w:tr>
      <w:tr>
        <w:tc>
          <w:tcPr>
            <w:tcW w:type="dxa" w:w="2592"/>
            <w:vAlign w:val="center"/>
            <w:tcMar>
              <w:top w:w="55" w:type="dxa"/>
              <w:start w:w="70" w:type="dxa"/>
              <w:bottom w:w="55" w:type="dxa"/>
              <w:end w:w="70" w:type="dxa"/>
            </w:tcMar>
            <w:shd w:fill="D9EAF7"/>
          </w:tcPr>
          <w:p>
            <w:pPr>
              <w:jc w:val="center"/>
            </w:pPr>
            <w:r/>
            <w:r>
              <w:rPr>
                <w:rFonts w:ascii="Aptos" w:hAnsi="Aptos"/>
                <w:b/>
                <w:sz w:val="15"/>
              </w:rPr>
              <w:t>Applicability</w:t>
            </w:r>
          </w:p>
        </w:tc>
        <w:tc>
          <w:tcPr>
            <w:tcW w:type="dxa" w:w="2592"/>
            <w:vAlign w:val="center"/>
            <w:tcMar>
              <w:top w:w="55" w:type="dxa"/>
              <w:start w:w="70" w:type="dxa"/>
              <w:bottom w:w="55" w:type="dxa"/>
              <w:end w:w="70" w:type="dxa"/>
            </w:tcMar>
            <w:shd w:fill="FFFFFF"/>
          </w:tcPr>
          <w:p>
            <w:pPr>
              <w:jc w:val="center"/>
            </w:pPr>
            <w:r/>
            <w:r>
              <w:rPr>
                <w:rFonts w:ascii="Aptos" w:hAnsi="Aptos"/>
                <w:b w:val="0"/>
                <w:sz w:val="15"/>
              </w:rPr>
              <w:t>Cities and municipal custodians</w:t>
            </w:r>
          </w:p>
        </w:tc>
        <w:tc>
          <w:tcPr>
            <w:tcW w:type="dxa" w:w="2592"/>
            <w:vAlign w:val="center"/>
            <w:tcMar>
              <w:top w:w="55" w:type="dxa"/>
              <w:start w:w="70" w:type="dxa"/>
              <w:bottom w:w="55" w:type="dxa"/>
              <w:end w:w="70" w:type="dxa"/>
            </w:tcMar>
            <w:shd w:fill="D9EAF7"/>
          </w:tcPr>
          <w:p>
            <w:pPr>
              <w:jc w:val="center"/>
            </w:pPr>
            <w:r/>
            <w:r>
              <w:rPr>
                <w:rFonts w:ascii="Aptos" w:hAnsi="Aptos"/>
                <w:b/>
                <w:sz w:val="15"/>
              </w:rPr>
              <w:t>Methodology</w:t>
            </w:r>
          </w:p>
        </w:tc>
        <w:tc>
          <w:tcPr>
            <w:tcW w:type="dxa" w:w="2592"/>
            <w:vAlign w:val="center"/>
            <w:tcMar>
              <w:top w:w="55" w:type="dxa"/>
              <w:start w:w="70" w:type="dxa"/>
              <w:bottom w:w="55" w:type="dxa"/>
              <w:end w:w="70" w:type="dxa"/>
            </w:tcMar>
            <w:shd w:fill="FFFFFF"/>
          </w:tcPr>
          <w:p>
            <w:pPr>
              <w:jc w:val="center"/>
            </w:pPr>
            <w:r/>
            <w:r>
              <w:rPr>
                <w:rFonts w:ascii="Aptos" w:hAnsi="Aptos"/>
                <w:b w:val="0"/>
                <w:sz w:val="15"/>
              </w:rPr>
              <w:t>Fixed 50-state tracker v1.0</w:t>
            </w:r>
          </w:p>
        </w:tc>
      </w:tr>
      <w:tr>
        <w:tc>
          <w:tcPr>
            <w:tcW w:type="dxa" w:w="2592"/>
            <w:vAlign w:val="center"/>
            <w:tcMar>
              <w:top w:w="55" w:type="dxa"/>
              <w:start w:w="70" w:type="dxa"/>
              <w:bottom w:w="55" w:type="dxa"/>
              <w:end w:w="70" w:type="dxa"/>
            </w:tcMar>
            <w:shd w:fill="D9EAF7"/>
          </w:tcPr>
          <w:p>
            <w:pPr>
              <w:jc w:val="center"/>
            </w:pPr>
            <w:r/>
            <w:r>
              <w:rPr>
                <w:rFonts w:ascii="Aptos" w:hAnsi="Aptos"/>
                <w:b/>
                <w:sz w:val="15"/>
              </w:rPr>
              <w:t>Document status</w:t>
            </w:r>
          </w:p>
        </w:tc>
        <w:tc>
          <w:tcPr>
            <w:tcW w:type="dxa" w:w="2592"/>
            <w:vAlign w:val="center"/>
            <w:tcMar>
              <w:top w:w="55" w:type="dxa"/>
              <w:start w:w="70" w:type="dxa"/>
              <w:bottom w:w="55" w:type="dxa"/>
              <w:end w:w="70" w:type="dxa"/>
            </w:tcMar>
            <w:shd w:fill="FFFFFF"/>
          </w:tcPr>
          <w:p>
            <w:pPr>
              <w:jc w:val="center"/>
            </w:pPr>
            <w:r/>
            <w:r>
              <w:rPr>
                <w:rFonts w:ascii="Aptos" w:hAnsi="Aptos"/>
                <w:b w:val="0"/>
                <w:sz w:val="15"/>
              </w:rPr>
              <w:t>Completed pilot analysis</w:t>
            </w:r>
          </w:p>
        </w:tc>
        <w:tc>
          <w:tcPr>
            <w:tcW w:type="dxa" w:w="2592"/>
            <w:vAlign w:val="center"/>
            <w:tcMar>
              <w:top w:w="55" w:type="dxa"/>
              <w:start w:w="70" w:type="dxa"/>
              <w:bottom w:w="55" w:type="dxa"/>
              <w:end w:w="70" w:type="dxa"/>
            </w:tcMar>
            <w:shd w:fill="D9EAF7"/>
          </w:tcPr>
          <w:p>
            <w:pPr>
              <w:jc w:val="center"/>
            </w:pPr>
            <w:r/>
            <w:r>
              <w:rPr>
                <w:rFonts w:ascii="Aptos" w:hAnsi="Aptos"/>
                <w:b/>
                <w:sz w:val="15"/>
              </w:rPr>
              <w:t>Legal effect</w:t>
            </w:r>
          </w:p>
        </w:tc>
        <w:tc>
          <w:tcPr>
            <w:tcW w:type="dxa" w:w="2592"/>
            <w:vAlign w:val="center"/>
            <w:tcMar>
              <w:top w:w="55" w:type="dxa"/>
              <w:start w:w="70" w:type="dxa"/>
              <w:bottom w:w="55" w:type="dxa"/>
              <w:end w:w="70" w:type="dxa"/>
            </w:tcMar>
            <w:shd w:fill="FFFFFF"/>
          </w:tcPr>
          <w:p>
            <w:pPr>
              <w:jc w:val="center"/>
            </w:pPr>
            <w:r/>
            <w:r>
              <w:rPr>
                <w:rFonts w:ascii="Aptos" w:hAnsi="Aptos"/>
                <w:b w:val="0"/>
                <w:sz w:val="15"/>
              </w:rPr>
              <w:t>Research/design aid; not legal advice</w:t>
            </w:r>
          </w:p>
        </w:tc>
      </w:tr>
    </w:tbl>
    <w:p/>
    <w:p>
      <w:pPr>
        <w:pStyle w:val="Heading1"/>
      </w:pPr>
      <w:r>
        <w:t>1. Executive Summary and Applicability to Cities</w:t>
      </w:r>
    </w:p>
    <w:p>
      <w:r>
        <w:t>North Carolina applies a broad public-access duty to state agencies and political subdivisions, including cities, but generally does not supply a fixed statewide number of days for the ordinary initial response. Custodians must permit inspection at reasonable times and furnish copies as promptly as possible upon payment of lawful fees. The law contains more specific rules for computer-database requests, electronic media, segregation of confidential material, actual-copy costs, and special service charges for extensive resource use.</w:t>
      </w:r>
    </w:p>
    <w:p>
      <w:r>
        <w:rPr>
          <w:b/>
        </w:rPr>
        <w:t>Software bottom line:</w:t>
      </w:r>
      <w:r>
        <w:t xml:space="preserve"> Preserve 'as promptly as possible' and 'as soon as reasonably possible' as qualitative statewide standards. A city must configure internal target times and escalation rules without representing them as statutory deadlines. Treat extensive-resource use primarily as a fee trigger, not as a legal simple/complex processing class. Do not charge the requester for separating confidential from nonconfidential information under the general statute.</w:t>
      </w:r>
    </w:p>
    <w:p>
      <w:pPr>
        <w:pStyle w:val="Heading1"/>
      </w:pPr>
      <w:r>
        <w:t>2. Authority Inventory</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tcMar>
              <w:top w:w="55" w:type="dxa"/>
              <w:start w:w="70" w:type="dxa"/>
              <w:bottom w:w="55" w:type="dxa"/>
              <w:end w:w="70" w:type="dxa"/>
            </w:tcMar>
            <w:shd w:fill="17365D"/>
          </w:tcPr>
          <w:p>
            <w:pPr>
              <w:jc w:val="center"/>
            </w:pPr>
            <w:r/>
            <w:r>
              <w:rPr>
                <w:rFonts w:ascii="Aptos" w:hAnsi="Aptos"/>
                <w:b/>
                <w:color w:val="FFFFFF"/>
                <w:sz w:val="15"/>
              </w:rPr>
              <w:t>Authority</w:t>
            </w:r>
          </w:p>
        </w:tc>
        <w:tc>
          <w:tcPr>
            <w:tcW w:type="dxa" w:w="3456"/>
            <w:vAlign w:val="center"/>
            <w:tcMar>
              <w:top w:w="55" w:type="dxa"/>
              <w:start w:w="70" w:type="dxa"/>
              <w:bottom w:w="55" w:type="dxa"/>
              <w:end w:w="70" w:type="dxa"/>
            </w:tcMar>
            <w:shd w:fill="17365D"/>
          </w:tcPr>
          <w:p>
            <w:pPr>
              <w:jc w:val="center"/>
            </w:pPr>
            <w:r/>
            <w:r>
              <w:rPr>
                <w:rFonts w:ascii="Aptos" w:hAnsi="Aptos"/>
                <w:b/>
                <w:color w:val="FFFFFF"/>
                <w:sz w:val="15"/>
              </w:rPr>
              <w:t>Type / applicability</w:t>
            </w:r>
          </w:p>
        </w:tc>
        <w:tc>
          <w:tcPr>
            <w:tcW w:type="dxa" w:w="3456"/>
            <w:vAlign w:val="center"/>
            <w:tcMar>
              <w:top w:w="55" w:type="dxa"/>
              <w:start w:w="70" w:type="dxa"/>
              <w:bottom w:w="55" w:type="dxa"/>
              <w:end w:w="70" w:type="dxa"/>
            </w:tcMar>
            <w:shd w:fill="17365D"/>
          </w:tcPr>
          <w:p>
            <w:pPr>
              <w:jc w:val="center"/>
            </w:pPr>
            <w:r/>
            <w:r>
              <w:rPr>
                <w:rFonts w:ascii="Aptos" w:hAnsi="Aptos"/>
                <w:b/>
                <w:color w:val="FFFFFF"/>
                <w:sz w:val="15"/>
              </w:rPr>
              <w:t>Workflow significance</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5"/>
              </w:rPr>
              <w:t>N.C. Gen. Stat. § 132-1</w:t>
            </w:r>
          </w:p>
        </w:tc>
        <w:tc>
          <w:tcPr>
            <w:tcW w:type="dxa" w:w="3456"/>
            <w:vAlign w:val="center"/>
            <w:tcMar>
              <w:top w:w="55" w:type="dxa"/>
              <w:start w:w="70" w:type="dxa"/>
              <w:bottom w:w="55" w:type="dxa"/>
              <w:end w:w="70" w:type="dxa"/>
            </w:tcMar>
          </w:tcPr>
          <w:p>
            <w:pPr>
              <w:jc w:val="left"/>
            </w:pPr>
            <w:r/>
            <w:r>
              <w:rPr>
                <w:rFonts w:ascii="Aptos" w:hAnsi="Aptos"/>
                <w:b w:val="0"/>
                <w:sz w:val="15"/>
              </w:rPr>
              <w:t>Statute; agencies and political subdivisions</w:t>
            </w:r>
          </w:p>
        </w:tc>
        <w:tc>
          <w:tcPr>
            <w:tcW w:type="dxa" w:w="3456"/>
            <w:vAlign w:val="center"/>
            <w:tcMar>
              <w:top w:w="55" w:type="dxa"/>
              <w:start w:w="70" w:type="dxa"/>
              <w:bottom w:w="55" w:type="dxa"/>
              <w:end w:w="70" w:type="dxa"/>
            </w:tcMar>
          </w:tcPr>
          <w:p>
            <w:pPr>
              <w:jc w:val="left"/>
            </w:pPr>
            <w:r/>
            <w:r>
              <w:rPr>
                <w:rFonts w:ascii="Aptos" w:hAnsi="Aptos"/>
                <w:b w:val="0"/>
                <w:sz w:val="15"/>
              </w:rPr>
              <w:t>Public ownership policy and minimal-cost principle.</w:t>
            </w:r>
          </w:p>
        </w:tc>
      </w:tr>
      <w:tr>
        <w:trPr>
          <w:cantSplit/>
        </w:trPr>
        <w:tc>
          <w:tcPr>
            <w:tcW w:type="dxa" w:w="3456"/>
            <w:vAlign w:val="center"/>
            <w:tcMar>
              <w:top w:w="55" w:type="dxa"/>
              <w:start w:w="70" w:type="dxa"/>
              <w:bottom w:w="55" w:type="dxa"/>
              <w:end w:w="70" w:type="dxa"/>
            </w:tcMar>
            <w:shd w:fill="F2F2F2"/>
          </w:tcPr>
          <w:p>
            <w:pPr>
              <w:jc w:val="left"/>
            </w:pPr>
            <w:r/>
            <w:r>
              <w:rPr>
                <w:rFonts w:ascii="Aptos" w:hAnsi="Aptos"/>
                <w:b w:val="0"/>
                <w:sz w:val="15"/>
              </w:rPr>
              <w:t>N.C. Gen. Stat. § 132-6</w:t>
            </w:r>
          </w:p>
        </w:tc>
        <w:tc>
          <w:tcPr>
            <w:tcW w:type="dxa" w:w="3456"/>
            <w:vAlign w:val="center"/>
            <w:tcMar>
              <w:top w:w="55" w:type="dxa"/>
              <w:start w:w="70" w:type="dxa"/>
              <w:bottom w:w="55" w:type="dxa"/>
              <w:end w:w="70" w:type="dxa"/>
            </w:tcMar>
            <w:shd w:fill="F2F2F2"/>
          </w:tcPr>
          <w:p>
            <w:pPr>
              <w:jc w:val="left"/>
            </w:pPr>
            <w:r/>
            <w:r>
              <w:rPr>
                <w:rFonts w:ascii="Aptos" w:hAnsi="Aptos"/>
                <w:b w:val="0"/>
                <w:sz w:val="15"/>
              </w:rPr>
              <w:t>Statute; applies to cities</w:t>
            </w:r>
          </w:p>
        </w:tc>
        <w:tc>
          <w:tcPr>
            <w:tcW w:type="dxa" w:w="3456"/>
            <w:vAlign w:val="center"/>
            <w:tcMar>
              <w:top w:w="55" w:type="dxa"/>
              <w:start w:w="70" w:type="dxa"/>
              <w:bottom w:w="55" w:type="dxa"/>
              <w:end w:w="70" w:type="dxa"/>
            </w:tcMar>
            <w:shd w:fill="F2F2F2"/>
          </w:tcPr>
          <w:p>
            <w:pPr>
              <w:jc w:val="left"/>
            </w:pPr>
            <w:r/>
            <w:r>
              <w:rPr>
                <w:rFonts w:ascii="Aptos" w:hAnsi="Aptos"/>
                <w:b w:val="0"/>
                <w:sz w:val="15"/>
              </w:rPr>
              <w:t>Inspection at reasonable times, copies as promptly as possible, online-access fulfillment, purpose not required, commingled-record rule.</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5"/>
              </w:rPr>
              <w:t>N.C. Gen. Stat. § 132-6.1</w:t>
            </w:r>
          </w:p>
        </w:tc>
        <w:tc>
          <w:tcPr>
            <w:tcW w:type="dxa" w:w="3456"/>
            <w:vAlign w:val="center"/>
            <w:tcMar>
              <w:top w:w="55" w:type="dxa"/>
              <w:start w:w="70" w:type="dxa"/>
              <w:bottom w:w="55" w:type="dxa"/>
              <w:end w:w="70" w:type="dxa"/>
            </w:tcMar>
          </w:tcPr>
          <w:p>
            <w:pPr>
              <w:jc w:val="left"/>
            </w:pPr>
            <w:r/>
            <w:r>
              <w:rPr>
                <w:rFonts w:ascii="Aptos" w:hAnsi="Aptos"/>
                <w:b w:val="0"/>
                <w:sz w:val="15"/>
              </w:rPr>
              <w:t>Statute; applies to public agencies</w:t>
            </w:r>
          </w:p>
        </w:tc>
        <w:tc>
          <w:tcPr>
            <w:tcW w:type="dxa" w:w="3456"/>
            <w:vAlign w:val="center"/>
            <w:tcMar>
              <w:top w:w="55" w:type="dxa"/>
              <w:start w:w="70" w:type="dxa"/>
              <w:bottom w:w="55" w:type="dxa"/>
              <w:end w:w="70" w:type="dxa"/>
            </w:tcMar>
          </w:tcPr>
          <w:p>
            <w:pPr>
              <w:jc w:val="left"/>
            </w:pPr>
            <w:r/>
            <w:r>
              <w:rPr>
                <w:rFonts w:ascii="Aptos" w:hAnsi="Aptos"/>
                <w:b w:val="0"/>
                <w:sz w:val="15"/>
              </w:rPr>
              <w:t>Electronic database design/access obligations.</w:t>
            </w:r>
          </w:p>
        </w:tc>
      </w:tr>
      <w:tr>
        <w:trPr>
          <w:cantSplit/>
        </w:trPr>
        <w:tc>
          <w:tcPr>
            <w:tcW w:type="dxa" w:w="3456"/>
            <w:vAlign w:val="center"/>
            <w:tcMar>
              <w:top w:w="55" w:type="dxa"/>
              <w:start w:w="70" w:type="dxa"/>
              <w:bottom w:w="55" w:type="dxa"/>
              <w:end w:w="70" w:type="dxa"/>
            </w:tcMar>
            <w:shd w:fill="F2F2F2"/>
          </w:tcPr>
          <w:p>
            <w:pPr>
              <w:jc w:val="left"/>
            </w:pPr>
            <w:r/>
            <w:r>
              <w:rPr>
                <w:rFonts w:ascii="Aptos" w:hAnsi="Aptos"/>
                <w:b w:val="0"/>
                <w:sz w:val="15"/>
              </w:rPr>
              <w:t>N.C. Gen. Stat. § 132-6.2</w:t>
            </w:r>
          </w:p>
        </w:tc>
        <w:tc>
          <w:tcPr>
            <w:tcW w:type="dxa" w:w="3456"/>
            <w:vAlign w:val="center"/>
            <w:tcMar>
              <w:top w:w="55" w:type="dxa"/>
              <w:start w:w="70" w:type="dxa"/>
              <w:bottom w:w="55" w:type="dxa"/>
              <w:end w:w="70" w:type="dxa"/>
            </w:tcMar>
            <w:shd w:fill="F2F2F2"/>
          </w:tcPr>
          <w:p>
            <w:pPr>
              <w:jc w:val="left"/>
            </w:pPr>
            <w:r/>
            <w:r>
              <w:rPr>
                <w:rFonts w:ascii="Aptos" w:hAnsi="Aptos"/>
                <w:b w:val="0"/>
                <w:sz w:val="15"/>
              </w:rPr>
              <w:t>Statute; applies to public agencies</w:t>
            </w:r>
          </w:p>
        </w:tc>
        <w:tc>
          <w:tcPr>
            <w:tcW w:type="dxa" w:w="3456"/>
            <w:vAlign w:val="center"/>
            <w:tcMar>
              <w:top w:w="55" w:type="dxa"/>
              <w:start w:w="70" w:type="dxa"/>
              <w:bottom w:w="55" w:type="dxa"/>
              <w:end w:w="70" w:type="dxa"/>
            </w:tcMar>
            <w:shd w:fill="F2F2F2"/>
          </w:tcPr>
          <w:p>
            <w:pPr>
              <w:jc w:val="left"/>
            </w:pPr>
            <w:r/>
            <w:r>
              <w:rPr>
                <w:rFonts w:ascii="Aptos" w:hAnsi="Aptos"/>
                <w:b w:val="0"/>
                <w:sz w:val="15"/>
              </w:rPr>
              <w:t>Media choice, actual-copy costs, extensive-resource special service charge, database denial explanation, no creation duty.</w:t>
            </w:r>
          </w:p>
        </w:tc>
      </w:tr>
    </w:tbl>
    <w:p>
      <w:pPr>
        <w:spacing w:after="20"/>
      </w:pPr>
    </w:p>
    <w:p>
      <w:pPr>
        <w:pStyle w:val="Heading1"/>
      </w:pPr>
      <w:r>
        <w:t>3. Human-Readable Initial-Processing Workflow</w:t>
      </w:r>
    </w:p>
    <w:p>
      <w:pPr>
        <w:pStyle w:val="ListNumber"/>
        <w:spacing w:after="40"/>
      </w:pPr>
      <w:r>
        <w:t>Record receipt and identify the custodian and responsive record systems. North Carolina does not generally require a special statewide request form or purpose statement.</w:t>
      </w:r>
    </w:p>
    <w:p>
      <w:pPr>
        <w:pStyle w:val="ListNumber"/>
        <w:spacing w:after="40"/>
      </w:pPr>
      <w:r>
        <w:t>Determine whether the request seeks existing public records and whether the city can provide access through an online system that permits viewing and printing or saving.</w:t>
      </w:r>
    </w:p>
    <w:p>
      <w:pPr>
        <w:pStyle w:val="ListNumber"/>
        <w:spacing w:after="40"/>
      </w:pPr>
      <w:r>
        <w:t>Determine whether confidential information is commingled. Do not deny on that basis; segregate the confidential information at city expense.</w:t>
      </w:r>
    </w:p>
    <w:p>
      <w:pPr>
        <w:pStyle w:val="ListNumber"/>
        <w:spacing w:after="40"/>
      </w:pPr>
      <w:r>
        <w:t>Assess whether the request can be fulfilled in the ordinary course or requires extensive information-technology resources, extensive clerical/supervisory assistance, or unusually greater IT use for the requested medium.</w:t>
      </w:r>
    </w:p>
    <w:p>
      <w:pPr>
        <w:pStyle w:val="ListNumber"/>
        <w:spacing w:after="40"/>
      </w:pPr>
      <w:r>
        <w:t>If the request is for a computer-database copy and local policy requires writing, validate the written submission and respond as promptly as possible. If denied, provide the basis; reduce it to writing promptly if asked.</w:t>
      </w:r>
    </w:p>
    <w:p>
      <w:pPr>
        <w:pStyle w:val="ListNumber"/>
        <w:spacing w:after="40"/>
      </w:pPr>
      <w:r>
        <w:t>If the request is unclear or appears to seek research or a new compilation, request clarification or explain that the statute does not require creation/compilation. No statewide clarification toll or abandonment period is stated.</w:t>
      </w:r>
    </w:p>
    <w:p>
      <w:pPr>
        <w:pStyle w:val="ListNumber"/>
        <w:spacing w:after="40"/>
      </w:pPr>
      <w:r>
        <w:t>Process inspection at reasonable times and copies as promptly as possible. If granted database copies, provide them as soon as reasonably possible.</w:t>
      </w:r>
    </w:p>
    <w:p>
      <w:pPr>
        <w:pStyle w:val="ListNumber"/>
        <w:spacing w:after="40"/>
      </w:pPr>
      <w:r>
        <w:t>Calculate ordinary copy fees at no more than actual direct reproduction cost. Apply a reasonable actual-cost special service charge only when the statutory extensive-resource condition is met.</w:t>
      </w:r>
    </w:p>
    <w:p>
      <w:pPr>
        <w:pStyle w:val="ListNumber"/>
        <w:spacing w:after="40"/>
      </w:pPr>
      <w:r>
        <w:t>Collect lawful fees when copies are furnished, provide the records in any medium the city is capable of providing, and retain the timing and fee basis in the audit record.</w:t>
      </w:r>
    </w:p>
    <w:p>
      <w:pPr>
        <w:pStyle w:val="Heading1"/>
      </w:pPr>
      <w:r>
        <w:t>4. Deadline and Required-Communication Matrix</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tcMar>
              <w:top w:w="55" w:type="dxa"/>
              <w:start w:w="70" w:type="dxa"/>
              <w:bottom w:w="55" w:type="dxa"/>
              <w:end w:w="70" w:type="dxa"/>
            </w:tcMar>
            <w:shd w:fill="17365D"/>
          </w:tcPr>
          <w:p>
            <w:pPr>
              <w:jc w:val="center"/>
            </w:pPr>
            <w:r/>
            <w:r>
              <w:rPr>
                <w:rFonts w:ascii="Aptos" w:hAnsi="Aptos"/>
                <w:b/>
                <w:color w:val="FFFFFF"/>
                <w:sz w:val="14"/>
              </w:rPr>
              <w:t>Trigger or branch</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Deadline / timing standard</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What must be communicated or completed</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Clock effect</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Ordinary inspection</w:t>
            </w:r>
          </w:p>
        </w:tc>
        <w:tc>
          <w:tcPr>
            <w:tcW w:type="dxa" w:w="2592"/>
            <w:vAlign w:val="center"/>
            <w:tcMar>
              <w:top w:w="55" w:type="dxa"/>
              <w:start w:w="70" w:type="dxa"/>
              <w:bottom w:w="55" w:type="dxa"/>
              <w:end w:w="70" w:type="dxa"/>
            </w:tcMar>
          </w:tcPr>
          <w:p>
            <w:pPr>
              <w:jc w:val="left"/>
            </w:pPr>
            <w:r/>
            <w:r>
              <w:rPr>
                <w:rFonts w:ascii="Aptos" w:hAnsi="Aptos"/>
                <w:b w:val="0"/>
                <w:sz w:val="14"/>
              </w:rPr>
              <w:t>Reasonable times; no fixed statewide day count</w:t>
            </w:r>
          </w:p>
        </w:tc>
        <w:tc>
          <w:tcPr>
            <w:tcW w:type="dxa" w:w="2592"/>
            <w:vAlign w:val="center"/>
            <w:tcMar>
              <w:top w:w="55" w:type="dxa"/>
              <w:start w:w="70" w:type="dxa"/>
              <w:bottom w:w="55" w:type="dxa"/>
              <w:end w:w="70" w:type="dxa"/>
            </w:tcMar>
          </w:tcPr>
          <w:p>
            <w:pPr>
              <w:jc w:val="left"/>
            </w:pPr>
            <w:r/>
            <w:r>
              <w:rPr>
                <w:rFonts w:ascii="Aptos" w:hAnsi="Aptos"/>
                <w:b w:val="0"/>
                <w:sz w:val="14"/>
              </w:rPr>
              <w:t>Permit inspection under reasonable supervision.</w:t>
            </w:r>
          </w:p>
        </w:tc>
        <w:tc>
          <w:tcPr>
            <w:tcW w:type="dxa" w:w="2592"/>
            <w:vAlign w:val="center"/>
            <w:tcMar>
              <w:top w:w="55" w:type="dxa"/>
              <w:start w:w="70" w:type="dxa"/>
              <w:bottom w:w="55" w:type="dxa"/>
              <w:end w:w="70" w:type="dxa"/>
            </w:tcMar>
          </w:tcPr>
          <w:p>
            <w:pPr>
              <w:jc w:val="left"/>
            </w:pPr>
            <w:r/>
            <w:r>
              <w:rPr>
                <w:rFonts w:ascii="Aptos" w:hAnsi="Aptos"/>
                <w:b w:val="0"/>
                <w:sz w:val="14"/>
              </w:rPr>
              <w:t>Qualitative; local service target required.</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Ordinary copies</w:t>
            </w:r>
          </w:p>
        </w:tc>
        <w:tc>
          <w:tcPr>
            <w:tcW w:type="dxa" w:w="2592"/>
            <w:vAlign w:val="center"/>
            <w:tcMar>
              <w:top w:w="55" w:type="dxa"/>
              <w:start w:w="70" w:type="dxa"/>
              <w:bottom w:w="55" w:type="dxa"/>
              <w:end w:w="70" w:type="dxa"/>
            </w:tcMar>
            <w:shd w:fill="F2F2F2"/>
          </w:tcPr>
          <w:p>
            <w:pPr>
              <w:jc w:val="left"/>
            </w:pPr>
            <w:r/>
            <w:r>
              <w:rPr>
                <w:rFonts w:ascii="Aptos" w:hAnsi="Aptos"/>
                <w:b w:val="0"/>
                <w:sz w:val="14"/>
              </w:rPr>
              <w:t>As promptly as possible, upon payment of lawful fees</w:t>
            </w:r>
          </w:p>
        </w:tc>
        <w:tc>
          <w:tcPr>
            <w:tcW w:type="dxa" w:w="2592"/>
            <w:vAlign w:val="center"/>
            <w:tcMar>
              <w:top w:w="55" w:type="dxa"/>
              <w:start w:w="70" w:type="dxa"/>
              <w:bottom w:w="55" w:type="dxa"/>
              <w:end w:w="70" w:type="dxa"/>
            </w:tcMar>
            <w:shd w:fill="F2F2F2"/>
          </w:tcPr>
          <w:p>
            <w:pPr>
              <w:jc w:val="left"/>
            </w:pPr>
            <w:r/>
            <w:r>
              <w:rPr>
                <w:rFonts w:ascii="Aptos" w:hAnsi="Aptos"/>
                <w:b w:val="0"/>
                <w:sz w:val="14"/>
              </w:rPr>
              <w:t>Furnish copies or valid online access.</w:t>
            </w:r>
          </w:p>
        </w:tc>
        <w:tc>
          <w:tcPr>
            <w:tcW w:type="dxa" w:w="2592"/>
            <w:vAlign w:val="center"/>
            <w:tcMar>
              <w:top w:w="55" w:type="dxa"/>
              <w:start w:w="70" w:type="dxa"/>
              <w:bottom w:w="55" w:type="dxa"/>
              <w:end w:w="70" w:type="dxa"/>
            </w:tcMar>
            <w:shd w:fill="F2F2F2"/>
          </w:tcPr>
          <w:p>
            <w:pPr>
              <w:jc w:val="left"/>
            </w:pPr>
            <w:r/>
            <w:r>
              <w:rPr>
                <w:rFonts w:ascii="Aptos" w:hAnsi="Aptos"/>
                <w:b w:val="0"/>
                <w:sz w:val="14"/>
              </w:rPr>
              <w:t>Qualitative; no express statewide pause/reset rule.</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Computer-database request</w:t>
            </w:r>
          </w:p>
        </w:tc>
        <w:tc>
          <w:tcPr>
            <w:tcW w:type="dxa" w:w="2592"/>
            <w:vAlign w:val="center"/>
            <w:tcMar>
              <w:top w:w="55" w:type="dxa"/>
              <w:start w:w="70" w:type="dxa"/>
              <w:bottom w:w="55" w:type="dxa"/>
              <w:end w:w="70" w:type="dxa"/>
            </w:tcMar>
          </w:tcPr>
          <w:p>
            <w:pPr>
              <w:jc w:val="left"/>
            </w:pPr>
            <w:r/>
            <w:r>
              <w:rPr>
                <w:rFonts w:ascii="Aptos" w:hAnsi="Aptos"/>
                <w:b w:val="0"/>
                <w:sz w:val="14"/>
              </w:rPr>
              <w:t>Respond as promptly as possible</w:t>
            </w:r>
          </w:p>
        </w:tc>
        <w:tc>
          <w:tcPr>
            <w:tcW w:type="dxa" w:w="2592"/>
            <w:vAlign w:val="center"/>
            <w:tcMar>
              <w:top w:w="55" w:type="dxa"/>
              <w:start w:w="70" w:type="dxa"/>
              <w:bottom w:w="55" w:type="dxa"/>
              <w:end w:w="70" w:type="dxa"/>
            </w:tcMar>
          </w:tcPr>
          <w:p>
            <w:pPr>
              <w:jc w:val="left"/>
            </w:pPr>
            <w:r/>
            <w:r>
              <w:rPr>
                <w:rFonts w:ascii="Aptos" w:hAnsi="Aptos"/>
                <w:b w:val="0"/>
                <w:sz w:val="14"/>
              </w:rPr>
              <w:t>Grant and provide as soon as reasonably possible, or deny with explanation.</w:t>
            </w:r>
          </w:p>
        </w:tc>
        <w:tc>
          <w:tcPr>
            <w:tcW w:type="dxa" w:w="2592"/>
            <w:vAlign w:val="center"/>
            <w:tcMar>
              <w:top w:w="55" w:type="dxa"/>
              <w:start w:w="70" w:type="dxa"/>
              <w:bottom w:w="55" w:type="dxa"/>
              <w:end w:w="70" w:type="dxa"/>
            </w:tcMar>
          </w:tcPr>
          <w:p>
            <w:pPr>
              <w:jc w:val="left"/>
            </w:pPr>
            <w:r/>
            <w:r>
              <w:rPr>
                <w:rFonts w:ascii="Aptos" w:hAnsi="Aptos"/>
                <w:b w:val="0"/>
                <w:sz w:val="14"/>
              </w:rPr>
              <w:t>Qualitative.</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Written denial explanation for database request</w:t>
            </w:r>
          </w:p>
        </w:tc>
        <w:tc>
          <w:tcPr>
            <w:tcW w:type="dxa" w:w="2592"/>
            <w:vAlign w:val="center"/>
            <w:tcMar>
              <w:top w:w="55" w:type="dxa"/>
              <w:start w:w="70" w:type="dxa"/>
              <w:bottom w:w="55" w:type="dxa"/>
              <w:end w:w="70" w:type="dxa"/>
            </w:tcMar>
            <w:shd w:fill="F2F2F2"/>
          </w:tcPr>
          <w:p>
            <w:pPr>
              <w:jc w:val="left"/>
            </w:pPr>
            <w:r/>
            <w:r>
              <w:rPr>
                <w:rFonts w:ascii="Aptos" w:hAnsi="Aptos"/>
                <w:b w:val="0"/>
                <w:sz w:val="14"/>
              </w:rPr>
              <w:t>As promptly as possible after requester asks</w:t>
            </w:r>
          </w:p>
        </w:tc>
        <w:tc>
          <w:tcPr>
            <w:tcW w:type="dxa" w:w="2592"/>
            <w:vAlign w:val="center"/>
            <w:tcMar>
              <w:top w:w="55" w:type="dxa"/>
              <w:start w:w="70" w:type="dxa"/>
              <w:bottom w:w="55" w:type="dxa"/>
              <w:end w:w="70" w:type="dxa"/>
            </w:tcMar>
            <w:shd w:fill="F2F2F2"/>
          </w:tcPr>
          <w:p>
            <w:pPr>
              <w:jc w:val="left"/>
            </w:pPr>
            <w:r/>
            <w:r>
              <w:rPr>
                <w:rFonts w:ascii="Aptos" w:hAnsi="Aptos"/>
                <w:b w:val="0"/>
                <w:sz w:val="14"/>
              </w:rPr>
              <w:t>Reduce basis for denial to writing.</w:t>
            </w:r>
          </w:p>
        </w:tc>
        <w:tc>
          <w:tcPr>
            <w:tcW w:type="dxa" w:w="2592"/>
            <w:vAlign w:val="center"/>
            <w:tcMar>
              <w:top w:w="55" w:type="dxa"/>
              <w:start w:w="70" w:type="dxa"/>
              <w:bottom w:w="55" w:type="dxa"/>
              <w:end w:w="70" w:type="dxa"/>
            </w:tcMar>
            <w:shd w:fill="F2F2F2"/>
          </w:tcPr>
          <w:p>
            <w:pPr>
              <w:jc w:val="left"/>
            </w:pPr>
            <w:r/>
            <w:r>
              <w:rPr>
                <w:rFonts w:ascii="Aptos" w:hAnsi="Aptos"/>
                <w:b w:val="0"/>
                <w:sz w:val="14"/>
              </w:rPr>
              <w:t>Qualitative.</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Outside usual business hours</w:t>
            </w:r>
          </w:p>
        </w:tc>
        <w:tc>
          <w:tcPr>
            <w:tcW w:type="dxa" w:w="2592"/>
            <w:vAlign w:val="center"/>
            <w:tcMar>
              <w:top w:w="55" w:type="dxa"/>
              <w:start w:w="70" w:type="dxa"/>
              <w:bottom w:w="55" w:type="dxa"/>
              <w:end w:w="70" w:type="dxa"/>
            </w:tcMar>
          </w:tcPr>
          <w:p>
            <w:pPr>
              <w:jc w:val="left"/>
            </w:pPr>
            <w:r/>
            <w:r>
              <w:rPr>
                <w:rFonts w:ascii="Aptos" w:hAnsi="Aptos"/>
                <w:b w:val="0"/>
                <w:sz w:val="14"/>
              </w:rPr>
              <w:t>No duty to respond outside usual business hours</w:t>
            </w:r>
          </w:p>
        </w:tc>
        <w:tc>
          <w:tcPr>
            <w:tcW w:type="dxa" w:w="2592"/>
            <w:vAlign w:val="center"/>
            <w:tcMar>
              <w:top w:w="55" w:type="dxa"/>
              <w:start w:w="70" w:type="dxa"/>
              <w:bottom w:w="55" w:type="dxa"/>
              <w:end w:w="70" w:type="dxa"/>
            </w:tcMar>
          </w:tcPr>
          <w:p>
            <w:pPr>
              <w:jc w:val="left"/>
            </w:pPr>
            <w:r/>
            <w:r>
              <w:rPr>
                <w:rFonts w:ascii="Aptos" w:hAnsi="Aptos"/>
                <w:b w:val="0"/>
                <w:sz w:val="14"/>
              </w:rPr>
              <w:t>No special communication specified.</w:t>
            </w:r>
          </w:p>
        </w:tc>
        <w:tc>
          <w:tcPr>
            <w:tcW w:type="dxa" w:w="2592"/>
            <w:vAlign w:val="center"/>
            <w:tcMar>
              <w:top w:w="55" w:type="dxa"/>
              <w:start w:w="70" w:type="dxa"/>
              <w:bottom w:w="55" w:type="dxa"/>
              <w:end w:w="70" w:type="dxa"/>
            </w:tcMar>
          </w:tcPr>
          <w:p>
            <w:pPr>
              <w:jc w:val="left"/>
            </w:pPr>
            <w:r/>
            <w:r>
              <w:rPr>
                <w:rFonts w:ascii="Aptos" w:hAnsi="Aptos"/>
                <w:b w:val="0"/>
                <w:sz w:val="14"/>
              </w:rPr>
              <w:t>Local business calendar governs availability.</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Clarification requested</w:t>
            </w:r>
          </w:p>
        </w:tc>
        <w:tc>
          <w:tcPr>
            <w:tcW w:type="dxa" w:w="2592"/>
            <w:vAlign w:val="center"/>
            <w:tcMar>
              <w:top w:w="55" w:type="dxa"/>
              <w:start w:w="70" w:type="dxa"/>
              <w:bottom w:w="55" w:type="dxa"/>
              <w:end w:w="70" w:type="dxa"/>
            </w:tcMar>
            <w:shd w:fill="F2F2F2"/>
          </w:tcPr>
          <w:p>
            <w:pPr>
              <w:jc w:val="left"/>
            </w:pPr>
            <w:r/>
            <w:r>
              <w:rPr>
                <w:rFonts w:ascii="Aptos" w:hAnsi="Aptos"/>
                <w:b w:val="0"/>
                <w:sz w:val="14"/>
              </w:rPr>
              <w:t>No statewide timing or tolling provision</w:t>
            </w:r>
          </w:p>
        </w:tc>
        <w:tc>
          <w:tcPr>
            <w:tcW w:type="dxa" w:w="2592"/>
            <w:vAlign w:val="center"/>
            <w:tcMar>
              <w:top w:w="55" w:type="dxa"/>
              <w:start w:w="70" w:type="dxa"/>
              <w:bottom w:w="55" w:type="dxa"/>
              <w:end w:w="70" w:type="dxa"/>
            </w:tcMar>
            <w:shd w:fill="F2F2F2"/>
          </w:tcPr>
          <w:p>
            <w:pPr>
              <w:jc w:val="left"/>
            </w:pPr>
            <w:r/>
            <w:r>
              <w:rPr>
                <w:rFonts w:ascii="Aptos" w:hAnsi="Aptos"/>
                <w:b w:val="0"/>
                <w:sz w:val="14"/>
              </w:rPr>
              <w:t>Local clarification notice may be sent.</w:t>
            </w:r>
          </w:p>
        </w:tc>
        <w:tc>
          <w:tcPr>
            <w:tcW w:type="dxa" w:w="2592"/>
            <w:vAlign w:val="center"/>
            <w:tcMar>
              <w:top w:w="55" w:type="dxa"/>
              <w:start w:w="70" w:type="dxa"/>
              <w:bottom w:w="55" w:type="dxa"/>
              <w:end w:w="70" w:type="dxa"/>
            </w:tcMar>
            <w:shd w:fill="F2F2F2"/>
          </w:tcPr>
          <w:p>
            <w:pPr>
              <w:jc w:val="left"/>
            </w:pPr>
            <w:r/>
            <w:r>
              <w:rPr>
                <w:rFonts w:ascii="Aptos" w:hAnsi="Aptos"/>
                <w:b w:val="0"/>
                <w:sz w:val="14"/>
              </w:rPr>
              <w:t>Do not apply statutory toll/abandonment absent another rule.</w:t>
            </w:r>
          </w:p>
        </w:tc>
      </w:tr>
    </w:tbl>
    <w:p>
      <w:pPr>
        <w:spacing w:after="20"/>
      </w:pPr>
    </w:p>
    <w:p>
      <w:pPr>
        <w:pStyle w:val="Heading1"/>
      </w:pPr>
      <w:r>
        <w:t>5. Vague, Unclear, or Overly Broad Requests</w:t>
      </w:r>
    </w:p>
    <w:p>
      <w:r>
        <w:t>Chapter 132 does not establish a general statewide reasonable-specificity test, clarification deadline, clock pause, or requester-abandonment rule for ordinary requests. The engine should therefore mark clarity as a human determination and preserve the qualitative promptness obligation.</w:t>
      </w:r>
    </w:p>
    <w:p>
      <w:r>
        <w:t>The city has no duty to create or compile a record that does not exist. A request that asks the city to answer a question, research records, or create a new compilation may be redirected to identifiable existing records or handled as an optional service by agreement.</w:t>
      </w:r>
    </w:p>
    <w:p>
      <w:r>
        <w:t>Local policy may establish clarification communications and internal response targets, but those values must be labeled jurisdiction-configured rather than state-law deadlines.</w:t>
      </w:r>
    </w:p>
    <w:p>
      <w:pPr>
        <w:pStyle w:val="Heading1"/>
      </w:pPr>
      <w:r>
        <w:t>6. Denial and Partial-Denial Process</w:t>
      </w:r>
    </w:p>
    <w:p>
      <w:r>
        <w:t>The general inspection provision does not impose a universal written-denial form or fixed denial deadline for every type of record. The city should nevertheless document legal authority and communicate promptly as a sound compliance practice.</w:t>
      </w:r>
    </w:p>
    <w:p>
      <w:r>
        <w:t>For requests for copies of computer databases, denial must be accompanied by an explanation of the basis. If asked, the person denying the request must reduce that explanation to writing as promptly as possible.</w:t>
      </w:r>
    </w:p>
    <w:p>
      <w:r>
        <w:t>Commingling confidential and nonconfidential information is not a permissible ground for denial. The city must separate the material and bear the cost of separation.</w:t>
      </w:r>
    </w:p>
    <w:p>
      <w:pPr>
        <w:pStyle w:val="Heading1"/>
      </w:pPr>
      <w:r>
        <w:t>7. Legal Classifications, Processing Tracks, and Operational Classifications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tcMar>
              <w:top w:w="55" w:type="dxa"/>
              <w:start w:w="70" w:type="dxa"/>
              <w:bottom w:w="55" w:type="dxa"/>
              <w:end w:w="70" w:type="dxa"/>
            </w:tcMar>
            <w:shd w:fill="17365D"/>
          </w:tcPr>
          <w:p>
            <w:pPr>
              <w:jc w:val="center"/>
            </w:pPr>
            <w:r/>
            <w:r>
              <w:rPr>
                <w:rFonts w:ascii="Aptos" w:hAnsi="Aptos"/>
                <w:b/>
                <w:color w:val="FFFFFF"/>
                <w:sz w:val="14"/>
              </w:rPr>
              <w:t>Classification / track</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Legal or operational?</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Trigger / criteria</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Effect on workflow</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Ordinary access</w:t>
            </w:r>
          </w:p>
        </w:tc>
        <w:tc>
          <w:tcPr>
            <w:tcW w:type="dxa" w:w="2592"/>
            <w:vAlign w:val="center"/>
            <w:tcMar>
              <w:top w:w="55" w:type="dxa"/>
              <w:start w:w="70" w:type="dxa"/>
              <w:bottom w:w="55" w:type="dxa"/>
              <w:end w:w="70" w:type="dxa"/>
            </w:tcMar>
          </w:tcPr>
          <w:p>
            <w:pPr>
              <w:jc w:val="left"/>
            </w:pPr>
            <w:r/>
            <w:r>
              <w:rPr>
                <w:rFonts w:ascii="Aptos" w:hAnsi="Aptos"/>
                <w:b w:val="0"/>
                <w:sz w:val="14"/>
              </w:rPr>
              <w:t>Legal processing condition</w:t>
            </w:r>
          </w:p>
        </w:tc>
        <w:tc>
          <w:tcPr>
            <w:tcW w:type="dxa" w:w="2592"/>
            <w:vAlign w:val="center"/>
            <w:tcMar>
              <w:top w:w="55" w:type="dxa"/>
              <w:start w:w="70" w:type="dxa"/>
              <w:bottom w:w="55" w:type="dxa"/>
              <w:end w:w="70" w:type="dxa"/>
            </w:tcMar>
          </w:tcPr>
          <w:p>
            <w:pPr>
              <w:jc w:val="left"/>
            </w:pPr>
            <w:r/>
            <w:r>
              <w:rPr>
                <w:rFonts w:ascii="Aptos" w:hAnsi="Aptos"/>
                <w:b w:val="0"/>
                <w:sz w:val="14"/>
              </w:rPr>
              <w:t>Normal inspection/copy request</w:t>
            </w:r>
          </w:p>
        </w:tc>
        <w:tc>
          <w:tcPr>
            <w:tcW w:type="dxa" w:w="2592"/>
            <w:vAlign w:val="center"/>
            <w:tcMar>
              <w:top w:w="55" w:type="dxa"/>
              <w:start w:w="70" w:type="dxa"/>
              <w:bottom w:w="55" w:type="dxa"/>
              <w:end w:w="70" w:type="dxa"/>
            </w:tcMar>
          </w:tcPr>
          <w:p>
            <w:pPr>
              <w:jc w:val="left"/>
            </w:pPr>
            <w:r/>
            <w:r>
              <w:rPr>
                <w:rFonts w:ascii="Aptos" w:hAnsi="Aptos"/>
                <w:b w:val="0"/>
                <w:sz w:val="14"/>
              </w:rPr>
              <w:t>Reasonable-times/as-promptly-as-possible standard.</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Online-available record</w:t>
            </w:r>
          </w:p>
        </w:tc>
        <w:tc>
          <w:tcPr>
            <w:tcW w:type="dxa" w:w="2592"/>
            <w:vAlign w:val="center"/>
            <w:tcMar>
              <w:top w:w="55" w:type="dxa"/>
              <w:start w:w="70" w:type="dxa"/>
              <w:bottom w:w="55" w:type="dxa"/>
              <w:end w:w="70" w:type="dxa"/>
            </w:tcMar>
            <w:shd w:fill="F2F2F2"/>
          </w:tcPr>
          <w:p>
            <w:pPr>
              <w:jc w:val="left"/>
            </w:pPr>
            <w:r/>
            <w:r>
              <w:rPr>
                <w:rFonts w:ascii="Aptos" w:hAnsi="Aptos"/>
                <w:b w:val="0"/>
                <w:sz w:val="14"/>
              </w:rPr>
              <w:t>Legal fulfillment option</w:t>
            </w:r>
          </w:p>
        </w:tc>
        <w:tc>
          <w:tcPr>
            <w:tcW w:type="dxa" w:w="2592"/>
            <w:vAlign w:val="center"/>
            <w:tcMar>
              <w:top w:w="55" w:type="dxa"/>
              <w:start w:w="70" w:type="dxa"/>
              <w:bottom w:w="55" w:type="dxa"/>
              <w:end w:w="70" w:type="dxa"/>
            </w:tcMar>
            <w:shd w:fill="F2F2F2"/>
          </w:tcPr>
          <w:p>
            <w:pPr>
              <w:jc w:val="left"/>
            </w:pPr>
            <w:r/>
            <w:r>
              <w:rPr>
                <w:rFonts w:ascii="Aptos" w:hAnsi="Aptos"/>
                <w:b w:val="0"/>
                <w:sz w:val="14"/>
              </w:rPr>
              <w:t>Record online in view/print/save format</w:t>
            </w:r>
          </w:p>
        </w:tc>
        <w:tc>
          <w:tcPr>
            <w:tcW w:type="dxa" w:w="2592"/>
            <w:vAlign w:val="center"/>
            <w:tcMar>
              <w:top w:w="55" w:type="dxa"/>
              <w:start w:w="70" w:type="dxa"/>
              <w:bottom w:w="55" w:type="dxa"/>
              <w:end w:w="70" w:type="dxa"/>
            </w:tcMar>
            <w:shd w:fill="F2F2F2"/>
          </w:tcPr>
          <w:p>
            <w:pPr>
              <w:jc w:val="left"/>
            </w:pPr>
            <w:r/>
            <w:r>
              <w:rPr>
                <w:rFonts w:ascii="Aptos" w:hAnsi="Aptos"/>
                <w:b w:val="0"/>
                <w:sz w:val="14"/>
              </w:rPr>
              <w:t>Online access may satisfy duty and eliminate other-copy obligation.</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Computer-database request</w:t>
            </w:r>
          </w:p>
        </w:tc>
        <w:tc>
          <w:tcPr>
            <w:tcW w:type="dxa" w:w="2592"/>
            <w:vAlign w:val="center"/>
            <w:tcMar>
              <w:top w:w="55" w:type="dxa"/>
              <w:start w:w="70" w:type="dxa"/>
              <w:bottom w:w="55" w:type="dxa"/>
              <w:end w:w="70" w:type="dxa"/>
            </w:tcMar>
          </w:tcPr>
          <w:p>
            <w:pPr>
              <w:jc w:val="left"/>
            </w:pPr>
            <w:r/>
            <w:r>
              <w:rPr>
                <w:rFonts w:ascii="Aptos" w:hAnsi="Aptos"/>
                <w:b w:val="0"/>
                <w:sz w:val="14"/>
              </w:rPr>
              <w:t>Legal subtrack</w:t>
            </w:r>
          </w:p>
        </w:tc>
        <w:tc>
          <w:tcPr>
            <w:tcW w:type="dxa" w:w="2592"/>
            <w:vAlign w:val="center"/>
            <w:tcMar>
              <w:top w:w="55" w:type="dxa"/>
              <w:start w:w="70" w:type="dxa"/>
              <w:bottom w:w="55" w:type="dxa"/>
              <w:end w:w="70" w:type="dxa"/>
            </w:tcMar>
          </w:tcPr>
          <w:p>
            <w:pPr>
              <w:jc w:val="left"/>
            </w:pPr>
            <w:r/>
            <w:r>
              <w:rPr>
                <w:rFonts w:ascii="Aptos" w:hAnsi="Aptos"/>
                <w:b w:val="0"/>
                <w:sz w:val="14"/>
              </w:rPr>
              <w:t>Copy of computer database; writing may be required</w:t>
            </w:r>
          </w:p>
        </w:tc>
        <w:tc>
          <w:tcPr>
            <w:tcW w:type="dxa" w:w="2592"/>
            <w:vAlign w:val="center"/>
            <w:tcMar>
              <w:top w:w="55" w:type="dxa"/>
              <w:start w:w="70" w:type="dxa"/>
              <w:bottom w:w="55" w:type="dxa"/>
              <w:end w:w="70" w:type="dxa"/>
            </w:tcMar>
          </w:tcPr>
          <w:p>
            <w:pPr>
              <w:jc w:val="left"/>
            </w:pPr>
            <w:r/>
            <w:r>
              <w:rPr>
                <w:rFonts w:ascii="Aptos" w:hAnsi="Aptos"/>
                <w:b w:val="0"/>
                <w:sz w:val="14"/>
              </w:rPr>
              <w:t>Prompt response, explanation if denied, copies ASAP reasonably possible.</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Extensive-resource request</w:t>
            </w:r>
          </w:p>
        </w:tc>
        <w:tc>
          <w:tcPr>
            <w:tcW w:type="dxa" w:w="2592"/>
            <w:vAlign w:val="center"/>
            <w:tcMar>
              <w:top w:w="55" w:type="dxa"/>
              <w:start w:w="70" w:type="dxa"/>
              <w:bottom w:w="55" w:type="dxa"/>
              <w:end w:w="70" w:type="dxa"/>
            </w:tcMar>
            <w:shd w:fill="F2F2F2"/>
          </w:tcPr>
          <w:p>
            <w:pPr>
              <w:jc w:val="left"/>
            </w:pPr>
            <w:r/>
            <w:r>
              <w:rPr>
                <w:rFonts w:ascii="Aptos" w:hAnsi="Aptos"/>
                <w:b w:val="0"/>
                <w:sz w:val="14"/>
              </w:rPr>
              <w:t>Legal fee condition</w:t>
            </w:r>
          </w:p>
        </w:tc>
        <w:tc>
          <w:tcPr>
            <w:tcW w:type="dxa" w:w="2592"/>
            <w:vAlign w:val="center"/>
            <w:tcMar>
              <w:top w:w="55" w:type="dxa"/>
              <w:start w:w="70" w:type="dxa"/>
              <w:bottom w:w="55" w:type="dxa"/>
              <w:end w:w="70" w:type="dxa"/>
            </w:tcMar>
            <w:shd w:fill="F2F2F2"/>
          </w:tcPr>
          <w:p>
            <w:pPr>
              <w:jc w:val="left"/>
            </w:pPr>
            <w:r/>
            <w:r>
              <w:rPr>
                <w:rFonts w:ascii="Aptos" w:hAnsi="Aptos"/>
                <w:b w:val="0"/>
                <w:sz w:val="14"/>
              </w:rPr>
              <w:t>Extensive IT, clerical/supervisory assistance, or greater IT use</w:t>
            </w:r>
          </w:p>
        </w:tc>
        <w:tc>
          <w:tcPr>
            <w:tcW w:type="dxa" w:w="2592"/>
            <w:vAlign w:val="center"/>
            <w:tcMar>
              <w:top w:w="55" w:type="dxa"/>
              <w:start w:w="70" w:type="dxa"/>
              <w:bottom w:w="55" w:type="dxa"/>
              <w:end w:w="70" w:type="dxa"/>
            </w:tcMar>
            <w:shd w:fill="F2F2F2"/>
          </w:tcPr>
          <w:p>
            <w:pPr>
              <w:jc w:val="left"/>
            </w:pPr>
            <w:r/>
            <w:r>
              <w:rPr>
                <w:rFonts w:ascii="Aptos" w:hAnsi="Aptos"/>
                <w:b w:val="0"/>
                <w:sz w:val="14"/>
              </w:rPr>
              <w:t>May support reasonable actual-cost special service charge; no alternate deadline.</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Simple/standard/complex</w:t>
            </w:r>
          </w:p>
        </w:tc>
        <w:tc>
          <w:tcPr>
            <w:tcW w:type="dxa" w:w="2592"/>
            <w:vAlign w:val="center"/>
            <w:tcMar>
              <w:top w:w="55" w:type="dxa"/>
              <w:start w:w="70" w:type="dxa"/>
              <w:bottom w:w="55" w:type="dxa"/>
              <w:end w:w="70" w:type="dxa"/>
            </w:tcMar>
          </w:tcPr>
          <w:p>
            <w:pPr>
              <w:jc w:val="left"/>
            </w:pPr>
            <w:r/>
            <w:r>
              <w:rPr>
                <w:rFonts w:ascii="Aptos" w:hAnsi="Aptos"/>
                <w:b w:val="0"/>
                <w:sz w:val="14"/>
              </w:rPr>
              <w:t>Operational only</w:t>
            </w:r>
          </w:p>
        </w:tc>
        <w:tc>
          <w:tcPr>
            <w:tcW w:type="dxa" w:w="2592"/>
            <w:vAlign w:val="center"/>
            <w:tcMar>
              <w:top w:w="55" w:type="dxa"/>
              <w:start w:w="70" w:type="dxa"/>
              <w:bottom w:w="55" w:type="dxa"/>
              <w:end w:w="70" w:type="dxa"/>
            </w:tcMar>
          </w:tcPr>
          <w:p>
            <w:pPr>
              <w:jc w:val="left"/>
            </w:pPr>
            <w:r/>
            <w:r>
              <w:rPr>
                <w:rFonts w:ascii="Aptos" w:hAnsi="Aptos"/>
                <w:b w:val="0"/>
                <w:sz w:val="14"/>
              </w:rPr>
              <w:t>Local workload criteria</w:t>
            </w:r>
          </w:p>
        </w:tc>
        <w:tc>
          <w:tcPr>
            <w:tcW w:type="dxa" w:w="2592"/>
            <w:vAlign w:val="center"/>
            <w:tcMar>
              <w:top w:w="55" w:type="dxa"/>
              <w:start w:w="70" w:type="dxa"/>
              <w:bottom w:w="55" w:type="dxa"/>
              <w:end w:w="70" w:type="dxa"/>
            </w:tcMar>
          </w:tcPr>
          <w:p>
            <w:pPr>
              <w:jc w:val="left"/>
            </w:pPr>
            <w:r/>
            <w:r>
              <w:rPr>
                <w:rFonts w:ascii="Aptos" w:hAnsi="Aptos"/>
                <w:b w:val="0"/>
                <w:sz w:val="14"/>
              </w:rPr>
              <w:t>May set internal targets and staffing, but cannot replace qualitative legal standard.</w:t>
            </w:r>
          </w:p>
        </w:tc>
      </w:tr>
    </w:tbl>
    <w:p>
      <w:pPr>
        <w:spacing w:after="20"/>
      </w:pPr>
    </w:p>
    <w:p>
      <w:pPr>
        <w:pStyle w:val="Heading1"/>
      </w:pPr>
      <w:r>
        <w:t>8. Large Volume, Redaction, Programming, and Electronic Records</w:t>
      </w:r>
    </w:p>
    <w:p>
      <w:r>
        <w:t>Extensive IT or clerical/supervisory assistance is relevant to a special service charge, but Chapter 132 does not convert it into a separate statutory response deadline.</w:t>
      </w:r>
    </w:p>
    <w:p>
      <w:r>
        <w:t>The city must bear the cost of separating confidential information from releasable records. This should be a nonbillable activity code in the fee engine under the general statute.</w:t>
      </w:r>
    </w:p>
    <w:p>
      <w:r>
        <w:t>Electronic database systems must not impair public access. Requesters may choose any medium the city is capable of providing. The city is not required to put a nondigital record into electronic form or create/compile a record that does not exist.</w:t>
      </w:r>
    </w:p>
    <w:p>
      <w:r>
        <w:t>If the city voluntarily creates or compiles a record as a service, it may negotiate a reasonable charge; that should be recorded as an optional service agreement, not ordinary statutory fulfillment.</w:t>
      </w:r>
    </w:p>
    <w:p>
      <w:pPr>
        <w:pStyle w:val="Heading1"/>
      </w:pPr>
      <w:r>
        <w:t>9. Fee Estimate, Deposit, Payment, and Reconciliation Workflow</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tcMar>
              <w:top w:w="55" w:type="dxa"/>
              <w:start w:w="70" w:type="dxa"/>
              <w:bottom w:w="55" w:type="dxa"/>
              <w:end w:w="70" w:type="dxa"/>
            </w:tcMar>
            <w:shd w:fill="17365D"/>
          </w:tcPr>
          <w:p>
            <w:pPr>
              <w:jc w:val="center"/>
            </w:pPr>
            <w:r/>
            <w:r>
              <w:rPr>
                <w:rFonts w:ascii="Aptos" w:hAnsi="Aptos"/>
                <w:b/>
                <w:color w:val="FFFFFF"/>
                <w:sz w:val="14"/>
              </w:rPr>
              <w:t>Fee event</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Statewide rule</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Timing / requester choice</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Configuration implication</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Uncertified copies</w:t>
            </w:r>
          </w:p>
        </w:tc>
        <w:tc>
          <w:tcPr>
            <w:tcW w:type="dxa" w:w="2592"/>
            <w:vAlign w:val="center"/>
            <w:tcMar>
              <w:top w:w="55" w:type="dxa"/>
              <w:start w:w="70" w:type="dxa"/>
              <w:bottom w:w="55" w:type="dxa"/>
              <w:end w:w="70" w:type="dxa"/>
            </w:tcMar>
          </w:tcPr>
          <w:p>
            <w:pPr>
              <w:jc w:val="left"/>
            </w:pPr>
            <w:r/>
            <w:r>
              <w:rPr>
                <w:rFonts w:ascii="Aptos" w:hAnsi="Aptos"/>
                <w:b w:val="0"/>
                <w:sz w:val="14"/>
              </w:rPr>
              <w:t>No more than actual direct reproduction cost; excludes costs that would exist without the request.</w:t>
            </w:r>
          </w:p>
        </w:tc>
        <w:tc>
          <w:tcPr>
            <w:tcW w:type="dxa" w:w="2592"/>
            <w:vAlign w:val="center"/>
            <w:tcMar>
              <w:top w:w="55" w:type="dxa"/>
              <w:start w:w="70" w:type="dxa"/>
              <w:bottom w:w="55" w:type="dxa"/>
              <w:end w:w="70" w:type="dxa"/>
            </w:tcMar>
          </w:tcPr>
          <w:p>
            <w:pPr>
              <w:jc w:val="left"/>
            </w:pPr>
            <w:r/>
            <w:r>
              <w:rPr>
                <w:rFonts w:ascii="Aptos" w:hAnsi="Aptos"/>
                <w:b w:val="0"/>
                <w:sz w:val="14"/>
              </w:rPr>
              <w:t>Copies furnished upon payment.</w:t>
            </w:r>
          </w:p>
        </w:tc>
        <w:tc>
          <w:tcPr>
            <w:tcW w:type="dxa" w:w="2592"/>
            <w:vAlign w:val="center"/>
            <w:tcMar>
              <w:top w:w="55" w:type="dxa"/>
              <w:start w:w="70" w:type="dxa"/>
              <w:bottom w:w="55" w:type="dxa"/>
              <w:end w:w="70" w:type="dxa"/>
            </w:tcMar>
          </w:tcPr>
          <w:p>
            <w:pPr>
              <w:jc w:val="left"/>
            </w:pPr>
            <w:r/>
            <w:r>
              <w:rPr>
                <w:rFonts w:ascii="Aptos" w:hAnsi="Aptos"/>
                <w:b w:val="0"/>
                <w:sz w:val="14"/>
              </w:rPr>
              <w:t>Local direct-cost schedule required.</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Confidentiality segregation/redaction</w:t>
            </w:r>
          </w:p>
        </w:tc>
        <w:tc>
          <w:tcPr>
            <w:tcW w:type="dxa" w:w="2592"/>
            <w:vAlign w:val="center"/>
            <w:tcMar>
              <w:top w:w="55" w:type="dxa"/>
              <w:start w:w="70" w:type="dxa"/>
              <w:bottom w:w="55" w:type="dxa"/>
              <w:end w:w="70" w:type="dxa"/>
            </w:tcMar>
            <w:shd w:fill="F2F2F2"/>
          </w:tcPr>
          <w:p>
            <w:pPr>
              <w:jc w:val="left"/>
            </w:pPr>
            <w:r/>
            <w:r>
              <w:rPr>
                <w:rFonts w:ascii="Aptos" w:hAnsi="Aptos"/>
                <w:b w:val="0"/>
                <w:sz w:val="14"/>
              </w:rPr>
              <w:t>City bears separation cost under general statute.</w:t>
            </w:r>
          </w:p>
        </w:tc>
        <w:tc>
          <w:tcPr>
            <w:tcW w:type="dxa" w:w="2592"/>
            <w:vAlign w:val="center"/>
            <w:tcMar>
              <w:top w:w="55" w:type="dxa"/>
              <w:start w:w="70" w:type="dxa"/>
              <w:bottom w:w="55" w:type="dxa"/>
              <w:end w:w="70" w:type="dxa"/>
            </w:tcMar>
            <w:shd w:fill="F2F2F2"/>
          </w:tcPr>
          <w:p>
            <w:pPr>
              <w:jc w:val="left"/>
            </w:pPr>
            <w:r/>
            <w:r>
              <w:rPr>
                <w:rFonts w:ascii="Aptos" w:hAnsi="Aptos"/>
                <w:b w:val="0"/>
                <w:sz w:val="14"/>
              </w:rPr>
              <w:t>Not chargeable to requester as ordinary separation cost.</w:t>
            </w:r>
          </w:p>
        </w:tc>
        <w:tc>
          <w:tcPr>
            <w:tcW w:type="dxa" w:w="2592"/>
            <w:vAlign w:val="center"/>
            <w:tcMar>
              <w:top w:w="55" w:type="dxa"/>
              <w:start w:w="70" w:type="dxa"/>
              <w:bottom w:w="55" w:type="dxa"/>
              <w:end w:w="70" w:type="dxa"/>
            </w:tcMar>
            <w:shd w:fill="F2F2F2"/>
          </w:tcPr>
          <w:p>
            <w:pPr>
              <w:jc w:val="left"/>
            </w:pPr>
            <w:r/>
            <w:r>
              <w:rPr>
                <w:rFonts w:ascii="Aptos" w:hAnsi="Aptos"/>
                <w:b w:val="0"/>
                <w:sz w:val="14"/>
              </w:rPr>
              <w:t>Fee engine must exclude this work code.</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Special service charge</w:t>
            </w:r>
          </w:p>
        </w:tc>
        <w:tc>
          <w:tcPr>
            <w:tcW w:type="dxa" w:w="2592"/>
            <w:vAlign w:val="center"/>
            <w:tcMar>
              <w:top w:w="55" w:type="dxa"/>
              <w:start w:w="70" w:type="dxa"/>
              <w:bottom w:w="55" w:type="dxa"/>
              <w:end w:w="70" w:type="dxa"/>
            </w:tcMar>
          </w:tcPr>
          <w:p>
            <w:pPr>
              <w:jc w:val="left"/>
            </w:pPr>
            <w:r/>
            <w:r>
              <w:rPr>
                <w:rFonts w:ascii="Aptos" w:hAnsi="Aptos"/>
                <w:b w:val="0"/>
                <w:sz w:val="14"/>
              </w:rPr>
              <w:t>Permitted for extensive IT resources, extensive clerical/supervisory assistance, or greater IT use; reasonable and actual-cost based.</w:t>
            </w:r>
          </w:p>
        </w:tc>
        <w:tc>
          <w:tcPr>
            <w:tcW w:type="dxa" w:w="2592"/>
            <w:vAlign w:val="center"/>
            <w:tcMar>
              <w:top w:w="55" w:type="dxa"/>
              <w:start w:w="70" w:type="dxa"/>
              <w:bottom w:w="55" w:type="dxa"/>
              <w:end w:w="70" w:type="dxa"/>
            </w:tcMar>
          </w:tcPr>
          <w:p>
            <w:pPr>
              <w:jc w:val="left"/>
            </w:pPr>
            <w:r/>
            <w:r>
              <w:rPr>
                <w:rFonts w:ascii="Aptos" w:hAnsi="Aptos"/>
                <w:b w:val="0"/>
                <w:sz w:val="14"/>
              </w:rPr>
              <w:t>No statewide numeric threshold or mandatory estimate timing.</w:t>
            </w:r>
          </w:p>
        </w:tc>
        <w:tc>
          <w:tcPr>
            <w:tcW w:type="dxa" w:w="2592"/>
            <w:vAlign w:val="center"/>
            <w:tcMar>
              <w:top w:w="55" w:type="dxa"/>
              <w:start w:w="70" w:type="dxa"/>
              <w:bottom w:w="55" w:type="dxa"/>
              <w:end w:w="70" w:type="dxa"/>
            </w:tcMar>
          </w:tcPr>
          <w:p>
            <w:pPr>
              <w:jc w:val="left"/>
            </w:pPr>
            <w:r/>
            <w:r>
              <w:rPr>
                <w:rFonts w:ascii="Aptos" w:hAnsi="Aptos"/>
                <w:b w:val="0"/>
                <w:sz w:val="14"/>
              </w:rPr>
              <w:t>Local policy must define assessment, estimate, acceptance, documentation, and rates.</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Fee dispute</w:t>
            </w:r>
          </w:p>
        </w:tc>
        <w:tc>
          <w:tcPr>
            <w:tcW w:type="dxa" w:w="2592"/>
            <w:vAlign w:val="center"/>
            <w:tcMar>
              <w:top w:w="55" w:type="dxa"/>
              <w:start w:w="70" w:type="dxa"/>
              <w:bottom w:w="55" w:type="dxa"/>
              <w:end w:w="70" w:type="dxa"/>
            </w:tcMar>
            <w:shd w:fill="F2F2F2"/>
          </w:tcPr>
          <w:p>
            <w:pPr>
              <w:jc w:val="left"/>
            </w:pPr>
            <w:r/>
            <w:r>
              <w:rPr>
                <w:rFonts w:ascii="Aptos" w:hAnsi="Aptos"/>
                <w:b w:val="0"/>
                <w:sz w:val="14"/>
              </w:rPr>
              <w:t>Requester may ask State CIO/designee to mediate unfair/unreasonable fee.</w:t>
            </w:r>
          </w:p>
        </w:tc>
        <w:tc>
          <w:tcPr>
            <w:tcW w:type="dxa" w:w="2592"/>
            <w:vAlign w:val="center"/>
            <w:tcMar>
              <w:top w:w="55" w:type="dxa"/>
              <w:start w:w="70" w:type="dxa"/>
              <w:bottom w:w="55" w:type="dxa"/>
              <w:end w:w="70" w:type="dxa"/>
            </w:tcMar>
            <w:shd w:fill="F2F2F2"/>
          </w:tcPr>
          <w:p>
            <w:pPr>
              <w:jc w:val="left"/>
            </w:pPr>
            <w:r/>
            <w:r>
              <w:rPr>
                <w:rFonts w:ascii="Aptos" w:hAnsi="Aptos"/>
                <w:b w:val="0"/>
                <w:sz w:val="14"/>
              </w:rPr>
              <w:t>Post-assessment remedy.</w:t>
            </w:r>
          </w:p>
        </w:tc>
        <w:tc>
          <w:tcPr>
            <w:tcW w:type="dxa" w:w="2592"/>
            <w:vAlign w:val="center"/>
            <w:tcMar>
              <w:top w:w="55" w:type="dxa"/>
              <w:start w:w="70" w:type="dxa"/>
              <w:bottom w:w="55" w:type="dxa"/>
              <w:end w:w="70" w:type="dxa"/>
            </w:tcMar>
            <w:shd w:fill="F2F2F2"/>
          </w:tcPr>
          <w:p>
            <w:pPr>
              <w:jc w:val="left"/>
            </w:pPr>
            <w:r/>
            <w:r>
              <w:rPr>
                <w:rFonts w:ascii="Aptos" w:hAnsi="Aptos"/>
                <w:b w:val="0"/>
                <w:sz w:val="14"/>
              </w:rPr>
              <w:t>Include dispute route in fee communication.</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Voluntary new compilation</w:t>
            </w:r>
          </w:p>
        </w:tc>
        <w:tc>
          <w:tcPr>
            <w:tcW w:type="dxa" w:w="2592"/>
            <w:vAlign w:val="center"/>
            <w:tcMar>
              <w:top w:w="55" w:type="dxa"/>
              <w:start w:w="70" w:type="dxa"/>
              <w:bottom w:w="55" w:type="dxa"/>
              <w:end w:w="70" w:type="dxa"/>
            </w:tcMar>
          </w:tcPr>
          <w:p>
            <w:pPr>
              <w:jc w:val="left"/>
            </w:pPr>
            <w:r/>
            <w:r>
              <w:rPr>
                <w:rFonts w:ascii="Aptos" w:hAnsi="Aptos"/>
                <w:b w:val="0"/>
                <w:sz w:val="14"/>
              </w:rPr>
              <w:t>Reasonable charge may be negotiated.</w:t>
            </w:r>
          </w:p>
        </w:tc>
        <w:tc>
          <w:tcPr>
            <w:tcW w:type="dxa" w:w="2592"/>
            <w:vAlign w:val="center"/>
            <w:tcMar>
              <w:top w:w="55" w:type="dxa"/>
              <w:start w:w="70" w:type="dxa"/>
              <w:bottom w:w="55" w:type="dxa"/>
              <w:end w:w="70" w:type="dxa"/>
            </w:tcMar>
          </w:tcPr>
          <w:p>
            <w:pPr>
              <w:jc w:val="left"/>
            </w:pPr>
            <w:r/>
            <w:r>
              <w:rPr>
                <w:rFonts w:ascii="Aptos" w:hAnsi="Aptos"/>
                <w:b w:val="0"/>
                <w:sz w:val="14"/>
              </w:rPr>
              <w:t>Only by agreement; not required access service.</w:t>
            </w:r>
          </w:p>
        </w:tc>
        <w:tc>
          <w:tcPr>
            <w:tcW w:type="dxa" w:w="2592"/>
            <w:vAlign w:val="center"/>
            <w:tcMar>
              <w:top w:w="55" w:type="dxa"/>
              <w:start w:w="70" w:type="dxa"/>
              <w:bottom w:w="55" w:type="dxa"/>
              <w:end w:w="70" w:type="dxa"/>
            </w:tcMar>
          </w:tcPr>
          <w:p>
            <w:pPr>
              <w:jc w:val="left"/>
            </w:pPr>
            <w:r/>
            <w:r>
              <w:rPr>
                <w:rFonts w:ascii="Aptos" w:hAnsi="Aptos"/>
                <w:b w:val="0"/>
                <w:sz w:val="14"/>
              </w:rPr>
              <w:t>Separate optional-service workflow.</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Deposit/prepayment</w:t>
            </w:r>
          </w:p>
        </w:tc>
        <w:tc>
          <w:tcPr>
            <w:tcW w:type="dxa" w:w="2592"/>
            <w:vAlign w:val="center"/>
            <w:tcMar>
              <w:top w:w="55" w:type="dxa"/>
              <w:start w:w="70" w:type="dxa"/>
              <w:bottom w:w="55" w:type="dxa"/>
              <w:end w:w="70" w:type="dxa"/>
            </w:tcMar>
            <w:shd w:fill="F2F2F2"/>
          </w:tcPr>
          <w:p>
            <w:pPr>
              <w:jc w:val="left"/>
            </w:pPr>
            <w:r/>
            <w:r>
              <w:rPr>
                <w:rFonts w:ascii="Aptos" w:hAnsi="Aptos"/>
                <w:b w:val="0"/>
                <w:sz w:val="14"/>
              </w:rPr>
              <w:t>No general Chapter 132 threshold or mandatory advance-deposit rule identified.</w:t>
            </w:r>
          </w:p>
        </w:tc>
        <w:tc>
          <w:tcPr>
            <w:tcW w:type="dxa" w:w="2592"/>
            <w:vAlign w:val="center"/>
            <w:tcMar>
              <w:top w:w="55" w:type="dxa"/>
              <w:start w:w="70" w:type="dxa"/>
              <w:bottom w:w="55" w:type="dxa"/>
              <w:end w:w="70" w:type="dxa"/>
            </w:tcMar>
            <w:shd w:fill="F2F2F2"/>
          </w:tcPr>
          <w:p>
            <w:pPr>
              <w:jc w:val="left"/>
            </w:pPr>
            <w:r/>
            <w:r>
              <w:rPr>
                <w:rFonts w:ascii="Aptos" w:hAnsi="Aptos"/>
                <w:b w:val="0"/>
                <w:sz w:val="14"/>
              </w:rPr>
              <w:t>Local policy subject to law; do not invent statewide requirement.</w:t>
            </w:r>
          </w:p>
        </w:tc>
        <w:tc>
          <w:tcPr>
            <w:tcW w:type="dxa" w:w="2592"/>
            <w:vAlign w:val="center"/>
            <w:tcMar>
              <w:top w:w="55" w:type="dxa"/>
              <w:start w:w="70" w:type="dxa"/>
              <w:bottom w:w="55" w:type="dxa"/>
              <w:end w:w="70" w:type="dxa"/>
            </w:tcMar>
            <w:shd w:fill="F2F2F2"/>
          </w:tcPr>
          <w:p>
            <w:pPr>
              <w:jc w:val="left"/>
            </w:pPr>
            <w:r/>
            <w:r>
              <w:rPr>
                <w:rFonts w:ascii="Aptos" w:hAnsi="Aptos"/>
                <w:b w:val="0"/>
                <w:sz w:val="14"/>
              </w:rPr>
              <w:t>Jurisdiction configuration/legal review.</w:t>
            </w:r>
          </w:p>
        </w:tc>
      </w:tr>
    </w:tbl>
    <w:p>
      <w:pPr>
        <w:spacing w:after="20"/>
      </w:pPr>
    </w:p>
    <w:p>
      <w:pPr>
        <w:pStyle w:val="Heading1"/>
      </w:pPr>
      <w:r>
        <w:t>10. Normalized Software Rules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tcMar>
              <w:top w:w="55" w:type="dxa"/>
              <w:start w:w="70" w:type="dxa"/>
              <w:bottom w:w="55" w:type="dxa"/>
              <w:end w:w="70" w:type="dxa"/>
            </w:tcMar>
            <w:shd w:fill="17365D"/>
          </w:tcPr>
          <w:p>
            <w:pPr>
              <w:jc w:val="center"/>
            </w:pPr>
            <w:r/>
            <w:r>
              <w:rPr>
                <w:rFonts w:ascii="Aptos" w:hAnsi="Aptos"/>
                <w:b/>
                <w:color w:val="FFFFFF"/>
                <w:sz w:val="13"/>
              </w:rPr>
              <w:t>Rule / domain</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3"/>
              </w:rPr>
              <w:t>Trigger, condition, and action</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3"/>
              </w:rPr>
              <w:t>Timer and required communication</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3"/>
              </w:rPr>
              <w:t>Configuration, applicability, and authority</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NC-01</w:t>
              <w:br/>
              <w:t>Access timing</w:t>
            </w:r>
          </w:p>
        </w:tc>
        <w:tc>
          <w:tcPr>
            <w:tcW w:type="dxa" w:w="2592"/>
            <w:vAlign w:val="center"/>
            <w:tcMar>
              <w:top w:w="55" w:type="dxa"/>
              <w:start w:w="70" w:type="dxa"/>
              <w:bottom w:w="55" w:type="dxa"/>
              <w:end w:w="70" w:type="dxa"/>
            </w:tcMar>
          </w:tcPr>
          <w:p>
            <w:pPr>
              <w:jc w:val="left"/>
            </w:pPr>
            <w:r/>
            <w:r>
              <w:rPr>
                <w:rFonts w:ascii="Aptos" w:hAnsi="Aptos"/>
                <w:b w:val="0"/>
                <w:sz w:val="13"/>
              </w:rPr>
              <w:t>Trigger/condition: Existing public record requested</w:t>
              <w:br/>
              <w:t>Action: Permit inspection and furnish copies.</w:t>
            </w:r>
          </w:p>
        </w:tc>
        <w:tc>
          <w:tcPr>
            <w:tcW w:type="dxa" w:w="2592"/>
            <w:vAlign w:val="center"/>
            <w:tcMar>
              <w:top w:w="55" w:type="dxa"/>
              <w:start w:w="70" w:type="dxa"/>
              <w:bottom w:w="55" w:type="dxa"/>
              <w:end w:w="70" w:type="dxa"/>
            </w:tcMar>
          </w:tcPr>
          <w:p>
            <w:pPr>
              <w:jc w:val="left"/>
            </w:pPr>
            <w:r/>
            <w:r>
              <w:rPr>
                <w:rFonts w:ascii="Aptos" w:hAnsi="Aptos"/>
                <w:b w:val="0"/>
                <w:sz w:val="13"/>
              </w:rPr>
              <w:t>Deadline/clock: Reasonable times; copies as promptly as possible.</w:t>
              <w:br/>
              <w:t>Communication: No universal acknowledgment form specified.</w:t>
            </w:r>
          </w:p>
        </w:tc>
        <w:tc>
          <w:tcPr>
            <w:tcW w:type="dxa" w:w="2592"/>
            <w:vAlign w:val="center"/>
            <w:tcMar>
              <w:top w:w="55" w:type="dxa"/>
              <w:start w:w="70" w:type="dxa"/>
              <w:bottom w:w="55" w:type="dxa"/>
              <w:end w:w="70" w:type="dxa"/>
            </w:tcMar>
          </w:tcPr>
          <w:p>
            <w:pPr>
              <w:jc w:val="left"/>
            </w:pPr>
            <w:r/>
            <w:r>
              <w:rPr>
                <w:rFonts w:ascii="Aptos" w:hAnsi="Aptos"/>
                <w:b w:val="0"/>
                <w:sz w:val="13"/>
              </w:rPr>
              <w:t>Source: State qualitative standard + local target</w:t>
              <w:br/>
              <w:t>Status/applicability: Mandatory; cities unless noted</w:t>
              <w:br/>
              <w:t>Authority: N.C.G.S. § 132-6(a)</w:t>
              <w:br/>
              <w:t>Confidence/open issue: High</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3"/>
              </w:rPr>
              <w:t>NC-02</w:t>
              <w:br/>
              <w:t>Online fulfillment</w:t>
            </w:r>
          </w:p>
        </w:tc>
        <w:tc>
          <w:tcPr>
            <w:tcW w:type="dxa" w:w="2592"/>
            <w:vAlign w:val="center"/>
            <w:tcMar>
              <w:top w:w="55" w:type="dxa"/>
              <w:start w:w="70" w:type="dxa"/>
              <w:bottom w:w="55" w:type="dxa"/>
              <w:end w:w="70" w:type="dxa"/>
            </w:tcMar>
            <w:shd w:fill="F2F2F2"/>
          </w:tcPr>
          <w:p>
            <w:pPr>
              <w:jc w:val="left"/>
            </w:pPr>
            <w:r/>
            <w:r>
              <w:rPr>
                <w:rFonts w:ascii="Aptos" w:hAnsi="Aptos"/>
                <w:b w:val="0"/>
                <w:sz w:val="13"/>
              </w:rPr>
              <w:t>Trigger/condition: Record maintained online in view/print/save format</w:t>
              <w:br/>
              <w:t>Action: Use online access to satisfy statutory duty.</w:t>
            </w:r>
          </w:p>
        </w:tc>
        <w:tc>
          <w:tcPr>
            <w:tcW w:type="dxa" w:w="2592"/>
            <w:vAlign w:val="center"/>
            <w:tcMar>
              <w:top w:w="55" w:type="dxa"/>
              <w:start w:w="70" w:type="dxa"/>
              <w:bottom w:w="55" w:type="dxa"/>
              <w:end w:w="70" w:type="dxa"/>
            </w:tcMar>
            <w:shd w:fill="F2F2F2"/>
          </w:tcPr>
          <w:p>
            <w:pPr>
              <w:jc w:val="left"/>
            </w:pPr>
            <w:r/>
            <w:r>
              <w:rPr>
                <w:rFonts w:ascii="Aptos" w:hAnsi="Aptos"/>
                <w:b w:val="0"/>
                <w:sz w:val="13"/>
              </w:rPr>
              <w:t>Deadline/clock: Prompt access.</w:t>
              <w:br/>
              <w:t>Communication: Direct requester to online record.</w:t>
            </w:r>
          </w:p>
        </w:tc>
        <w:tc>
          <w:tcPr>
            <w:tcW w:type="dxa" w:w="2592"/>
            <w:vAlign w:val="center"/>
            <w:tcMar>
              <w:top w:w="55" w:type="dxa"/>
              <w:start w:w="70" w:type="dxa"/>
              <w:bottom w:w="55" w:type="dxa"/>
              <w:end w:w="70" w:type="dxa"/>
            </w:tcMar>
            <w:shd w:fill="F2F2F2"/>
          </w:tcPr>
          <w:p>
            <w:pPr>
              <w:jc w:val="left"/>
            </w:pPr>
            <w:r/>
            <w:r>
              <w:rPr>
                <w:rFonts w:ascii="Aptos" w:hAnsi="Aptos"/>
                <w:b w:val="0"/>
                <w:sz w:val="13"/>
              </w:rPr>
              <w:t>Source: Statewide + system capability</w:t>
              <w:br/>
              <w:t>Status/applicability: Mandatory; cities unless noted</w:t>
              <w:br/>
              <w:t>Authority: N.C.G.S. § 132-6(a1)</w:t>
              <w:br/>
              <w:t>Confidence/open issue: High</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NC-03</w:t>
              <w:br/>
              <w:t>Purpose</w:t>
            </w:r>
          </w:p>
        </w:tc>
        <w:tc>
          <w:tcPr>
            <w:tcW w:type="dxa" w:w="2592"/>
            <w:vAlign w:val="center"/>
            <w:tcMar>
              <w:top w:w="55" w:type="dxa"/>
              <w:start w:w="70" w:type="dxa"/>
              <w:bottom w:w="55" w:type="dxa"/>
              <w:end w:w="70" w:type="dxa"/>
            </w:tcMar>
          </w:tcPr>
          <w:p>
            <w:pPr>
              <w:jc w:val="left"/>
            </w:pPr>
            <w:r/>
            <w:r>
              <w:rPr>
                <w:rFonts w:ascii="Aptos" w:hAnsi="Aptos"/>
                <w:b w:val="0"/>
                <w:sz w:val="13"/>
              </w:rPr>
              <w:t>Trigger/condition: Request received</w:t>
              <w:br/>
              <w:t>Action: Do not require purpose or motive.</w:t>
            </w:r>
          </w:p>
        </w:tc>
        <w:tc>
          <w:tcPr>
            <w:tcW w:type="dxa" w:w="2592"/>
            <w:vAlign w:val="center"/>
            <w:tcMar>
              <w:top w:w="55" w:type="dxa"/>
              <w:start w:w="70" w:type="dxa"/>
              <w:bottom w:w="55" w:type="dxa"/>
              <w:end w:w="70" w:type="dxa"/>
            </w:tcMar>
          </w:tcPr>
          <w:p>
            <w:pPr>
              <w:jc w:val="left"/>
            </w:pPr>
            <w:r/>
            <w:r>
              <w:rPr>
                <w:rFonts w:ascii="Aptos" w:hAnsi="Aptos"/>
                <w:b w:val="0"/>
                <w:sz w:val="13"/>
              </w:rPr>
              <w:t>Deadline/clock: None.</w:t>
              <w:br/>
              <w:t>Communication: No purpose certification.</w:t>
            </w:r>
          </w:p>
        </w:tc>
        <w:tc>
          <w:tcPr>
            <w:tcW w:type="dxa" w:w="2592"/>
            <w:vAlign w:val="center"/>
            <w:tcMar>
              <w:top w:w="55" w:type="dxa"/>
              <w:start w:w="70" w:type="dxa"/>
              <w:bottom w:w="55" w:type="dxa"/>
              <w:end w:w="70" w:type="dxa"/>
            </w:tcMar>
          </w:tcPr>
          <w:p>
            <w:pPr>
              <w:jc w:val="left"/>
            </w:pPr>
            <w:r/>
            <w:r>
              <w:rPr>
                <w:rFonts w:ascii="Aptos" w:hAnsi="Aptos"/>
                <w:b w:val="0"/>
                <w:sz w:val="13"/>
              </w:rPr>
              <w:t>Source: Statewide</w:t>
              <w:br/>
              <w:t>Status/applicability: Mandatory; cities unless noted</w:t>
              <w:br/>
              <w:t>Authority: N.C.G.S. § 132-6(b)</w:t>
              <w:br/>
              <w:t>Confidence/open issue: High</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3"/>
              </w:rPr>
              <w:t>NC-04</w:t>
              <w:br/>
              <w:t>Segregation</w:t>
            </w:r>
          </w:p>
        </w:tc>
        <w:tc>
          <w:tcPr>
            <w:tcW w:type="dxa" w:w="2592"/>
            <w:vAlign w:val="center"/>
            <w:tcMar>
              <w:top w:w="55" w:type="dxa"/>
              <w:start w:w="70" w:type="dxa"/>
              <w:bottom w:w="55" w:type="dxa"/>
              <w:end w:w="70" w:type="dxa"/>
            </w:tcMar>
            <w:shd w:fill="F2F2F2"/>
          </w:tcPr>
          <w:p>
            <w:pPr>
              <w:jc w:val="left"/>
            </w:pPr>
            <w:r/>
            <w:r>
              <w:rPr>
                <w:rFonts w:ascii="Aptos" w:hAnsi="Aptos"/>
                <w:b w:val="0"/>
                <w:sz w:val="13"/>
              </w:rPr>
              <w:t>Trigger/condition: Confidential and nonconfidential information commingled</w:t>
              <w:br/>
              <w:t>Action: Do not deny; separate at agency cost.</w:t>
            </w:r>
          </w:p>
        </w:tc>
        <w:tc>
          <w:tcPr>
            <w:tcW w:type="dxa" w:w="2592"/>
            <w:vAlign w:val="center"/>
            <w:tcMar>
              <w:top w:w="55" w:type="dxa"/>
              <w:start w:w="70" w:type="dxa"/>
              <w:bottom w:w="55" w:type="dxa"/>
              <w:end w:w="70" w:type="dxa"/>
            </w:tcMar>
            <w:shd w:fill="F2F2F2"/>
          </w:tcPr>
          <w:p>
            <w:pPr>
              <w:jc w:val="left"/>
            </w:pPr>
            <w:r/>
            <w:r>
              <w:rPr>
                <w:rFonts w:ascii="Aptos" w:hAnsi="Aptos"/>
                <w:b w:val="0"/>
                <w:sz w:val="13"/>
              </w:rPr>
              <w:t>Deadline/clock: Underlying promptness standard.</w:t>
              <w:br/>
              <w:t>Communication: Partial-access explanation recommended.</w:t>
            </w:r>
          </w:p>
        </w:tc>
        <w:tc>
          <w:tcPr>
            <w:tcW w:type="dxa" w:w="2592"/>
            <w:vAlign w:val="center"/>
            <w:tcMar>
              <w:top w:w="55" w:type="dxa"/>
              <w:start w:w="70" w:type="dxa"/>
              <w:bottom w:w="55" w:type="dxa"/>
              <w:end w:w="70" w:type="dxa"/>
            </w:tcMar>
            <w:shd w:fill="F2F2F2"/>
          </w:tcPr>
          <w:p>
            <w:pPr>
              <w:jc w:val="left"/>
            </w:pPr>
            <w:r/>
            <w:r>
              <w:rPr>
                <w:rFonts w:ascii="Aptos" w:hAnsi="Aptos"/>
                <w:b w:val="0"/>
                <w:sz w:val="13"/>
              </w:rPr>
              <w:t>Source: Statewide; nonbillable work</w:t>
              <w:br/>
              <w:t>Status/applicability: Mandatory; cities unless noted</w:t>
              <w:br/>
              <w:t>Authority: N.C.G.S. § 132-6(c)</w:t>
              <w:br/>
              <w:t>Confidence/open issue: High</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NC-05</w:t>
              <w:br/>
              <w:t>Electronic systems</w:t>
            </w:r>
          </w:p>
        </w:tc>
        <w:tc>
          <w:tcPr>
            <w:tcW w:type="dxa" w:w="2592"/>
            <w:vAlign w:val="center"/>
            <w:tcMar>
              <w:top w:w="55" w:type="dxa"/>
              <w:start w:w="70" w:type="dxa"/>
              <w:bottom w:w="55" w:type="dxa"/>
              <w:end w:w="70" w:type="dxa"/>
            </w:tcMar>
          </w:tcPr>
          <w:p>
            <w:pPr>
              <w:jc w:val="left"/>
            </w:pPr>
            <w:r/>
            <w:r>
              <w:rPr>
                <w:rFonts w:ascii="Aptos" w:hAnsi="Aptos"/>
                <w:b w:val="0"/>
                <w:sz w:val="13"/>
              </w:rPr>
              <w:t>Trigger/condition: Records stored in computer database</w:t>
              <w:br/>
              <w:t>Action: Maintain/provide accessible means; online access may satisfy.</w:t>
            </w:r>
          </w:p>
        </w:tc>
        <w:tc>
          <w:tcPr>
            <w:tcW w:type="dxa" w:w="2592"/>
            <w:vAlign w:val="center"/>
            <w:tcMar>
              <w:top w:w="55" w:type="dxa"/>
              <w:start w:w="70" w:type="dxa"/>
              <w:bottom w:w="55" w:type="dxa"/>
              <w:end w:w="70" w:type="dxa"/>
            </w:tcMar>
          </w:tcPr>
          <w:p>
            <w:pPr>
              <w:jc w:val="left"/>
            </w:pPr>
            <w:r/>
            <w:r>
              <w:rPr>
                <w:rFonts w:ascii="Aptos" w:hAnsi="Aptos"/>
                <w:b w:val="0"/>
                <w:sz w:val="13"/>
              </w:rPr>
              <w:t>Deadline/clock: Underlying promptness standard.</w:t>
              <w:br/>
              <w:t>Communication: Format/access instructions.</w:t>
            </w:r>
          </w:p>
        </w:tc>
        <w:tc>
          <w:tcPr>
            <w:tcW w:type="dxa" w:w="2592"/>
            <w:vAlign w:val="center"/>
            <w:tcMar>
              <w:top w:w="55" w:type="dxa"/>
              <w:start w:w="70" w:type="dxa"/>
              <w:bottom w:w="55" w:type="dxa"/>
              <w:end w:w="70" w:type="dxa"/>
            </w:tcMar>
          </w:tcPr>
          <w:p>
            <w:pPr>
              <w:jc w:val="left"/>
            </w:pPr>
            <w:r/>
            <w:r>
              <w:rPr>
                <w:rFonts w:ascii="Aptos" w:hAnsi="Aptos"/>
                <w:b w:val="0"/>
                <w:sz w:val="13"/>
              </w:rPr>
              <w:t>Source: Statewide + capability</w:t>
              <w:br/>
              <w:t>Status/applicability: Mandatory; cities unless noted</w:t>
              <w:br/>
              <w:t>Authority: N.C.G.S. § 132-6.1</w:t>
              <w:br/>
              <w:t>Confidence/open issue: High</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3"/>
              </w:rPr>
              <w:t>NC-06</w:t>
              <w:br/>
              <w:t>Media choice</w:t>
            </w:r>
          </w:p>
        </w:tc>
        <w:tc>
          <w:tcPr>
            <w:tcW w:type="dxa" w:w="2592"/>
            <w:vAlign w:val="center"/>
            <w:tcMar>
              <w:top w:w="55" w:type="dxa"/>
              <w:start w:w="70" w:type="dxa"/>
              <w:bottom w:w="55" w:type="dxa"/>
              <w:end w:w="70" w:type="dxa"/>
            </w:tcMar>
            <w:shd w:fill="F2F2F2"/>
          </w:tcPr>
          <w:p>
            <w:pPr>
              <w:jc w:val="left"/>
            </w:pPr>
            <w:r/>
            <w:r>
              <w:rPr>
                <w:rFonts w:ascii="Aptos" w:hAnsi="Aptos"/>
                <w:b w:val="0"/>
                <w:sz w:val="13"/>
              </w:rPr>
              <w:t>Trigger/condition: Requester asks for copies in a capable medium</w:t>
              <w:br/>
              <w:t>Action: Provide in any medium city can provide.</w:t>
            </w:r>
          </w:p>
        </w:tc>
        <w:tc>
          <w:tcPr>
            <w:tcW w:type="dxa" w:w="2592"/>
            <w:vAlign w:val="center"/>
            <w:tcMar>
              <w:top w:w="55" w:type="dxa"/>
              <w:start w:w="70" w:type="dxa"/>
              <w:bottom w:w="55" w:type="dxa"/>
              <w:end w:w="70" w:type="dxa"/>
            </w:tcMar>
            <w:shd w:fill="F2F2F2"/>
          </w:tcPr>
          <w:p>
            <w:pPr>
              <w:jc w:val="left"/>
            </w:pPr>
            <w:r/>
            <w:r>
              <w:rPr>
                <w:rFonts w:ascii="Aptos" w:hAnsi="Aptos"/>
                <w:b w:val="0"/>
                <w:sz w:val="13"/>
              </w:rPr>
              <w:t>Deadline/clock: As promptly as possible.</w:t>
              <w:br/>
              <w:t>Communication: Confirm format and lawful cost.</w:t>
            </w:r>
          </w:p>
        </w:tc>
        <w:tc>
          <w:tcPr>
            <w:tcW w:type="dxa" w:w="2592"/>
            <w:vAlign w:val="center"/>
            <w:tcMar>
              <w:top w:w="55" w:type="dxa"/>
              <w:start w:w="70" w:type="dxa"/>
              <w:bottom w:w="55" w:type="dxa"/>
              <w:end w:w="70" w:type="dxa"/>
            </w:tcMar>
            <w:shd w:fill="F2F2F2"/>
          </w:tcPr>
          <w:p>
            <w:pPr>
              <w:jc w:val="left"/>
            </w:pPr>
            <w:r/>
            <w:r>
              <w:rPr>
                <w:rFonts w:ascii="Aptos" w:hAnsi="Aptos"/>
                <w:b w:val="0"/>
                <w:sz w:val="13"/>
              </w:rPr>
              <w:t>Source: Statewide + capability catalog</w:t>
              <w:br/>
              <w:t>Status/applicability: Mandatory; cities unless noted</w:t>
              <w:br/>
              <w:t>Authority: N.C.G.S. § 132-6.2(a)</w:t>
              <w:br/>
              <w:t>Confidence/open issue: High</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NC-07</w:t>
              <w:br/>
              <w:t>Copy fee</w:t>
            </w:r>
          </w:p>
        </w:tc>
        <w:tc>
          <w:tcPr>
            <w:tcW w:type="dxa" w:w="2592"/>
            <w:vAlign w:val="center"/>
            <w:tcMar>
              <w:top w:w="55" w:type="dxa"/>
              <w:start w:w="70" w:type="dxa"/>
              <w:bottom w:w="55" w:type="dxa"/>
              <w:end w:w="70" w:type="dxa"/>
            </w:tcMar>
          </w:tcPr>
          <w:p>
            <w:pPr>
              <w:jc w:val="left"/>
            </w:pPr>
            <w:r/>
            <w:r>
              <w:rPr>
                <w:rFonts w:ascii="Aptos" w:hAnsi="Aptos"/>
                <w:b w:val="0"/>
                <w:sz w:val="13"/>
              </w:rPr>
              <w:t>Trigger/condition: Uncertified copy produced</w:t>
              <w:br/>
              <w:t>Action: Charge no more than actual direct reproduction cost.</w:t>
            </w:r>
          </w:p>
        </w:tc>
        <w:tc>
          <w:tcPr>
            <w:tcW w:type="dxa" w:w="2592"/>
            <w:vAlign w:val="center"/>
            <w:tcMar>
              <w:top w:w="55" w:type="dxa"/>
              <w:start w:w="70" w:type="dxa"/>
              <w:bottom w:w="55" w:type="dxa"/>
              <w:end w:w="70" w:type="dxa"/>
            </w:tcMar>
          </w:tcPr>
          <w:p>
            <w:pPr>
              <w:jc w:val="left"/>
            </w:pPr>
            <w:r/>
            <w:r>
              <w:rPr>
                <w:rFonts w:ascii="Aptos" w:hAnsi="Aptos"/>
                <w:b w:val="0"/>
                <w:sz w:val="13"/>
              </w:rPr>
              <w:t>Deadline/clock: Payment at furnishing.</w:t>
              <w:br/>
              <w:t>Communication: Fee notice/invoice per local policy.</w:t>
            </w:r>
          </w:p>
        </w:tc>
        <w:tc>
          <w:tcPr>
            <w:tcW w:type="dxa" w:w="2592"/>
            <w:vAlign w:val="center"/>
            <w:tcMar>
              <w:top w:w="55" w:type="dxa"/>
              <w:start w:w="70" w:type="dxa"/>
              <w:bottom w:w="55" w:type="dxa"/>
              <w:end w:w="70" w:type="dxa"/>
            </w:tcMar>
          </w:tcPr>
          <w:p>
            <w:pPr>
              <w:jc w:val="left"/>
            </w:pPr>
            <w:r/>
            <w:r>
              <w:rPr>
                <w:rFonts w:ascii="Aptos" w:hAnsi="Aptos"/>
                <w:b w:val="0"/>
                <w:sz w:val="13"/>
              </w:rPr>
              <w:t>Source: Local direct costs within statewide cap</w:t>
              <w:br/>
              <w:t>Status/applicability: Mandatory; cities unless noted</w:t>
              <w:br/>
              <w:t>Authority: N.C.G.S. § 132-6.2(b)</w:t>
              <w:br/>
              <w:t>Confidence/open issue: High</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3"/>
              </w:rPr>
              <w:t>NC-08</w:t>
              <w:br/>
              <w:t>Special service fee</w:t>
            </w:r>
          </w:p>
        </w:tc>
        <w:tc>
          <w:tcPr>
            <w:tcW w:type="dxa" w:w="2592"/>
            <w:vAlign w:val="center"/>
            <w:tcMar>
              <w:top w:w="55" w:type="dxa"/>
              <w:start w:w="70" w:type="dxa"/>
              <w:bottom w:w="55" w:type="dxa"/>
              <w:end w:w="70" w:type="dxa"/>
            </w:tcMar>
            <w:shd w:fill="F2F2F2"/>
          </w:tcPr>
          <w:p>
            <w:pPr>
              <w:jc w:val="left"/>
            </w:pPr>
            <w:r/>
            <w:r>
              <w:rPr>
                <w:rFonts w:ascii="Aptos" w:hAnsi="Aptos"/>
                <w:b w:val="0"/>
                <w:sz w:val="13"/>
              </w:rPr>
              <w:t>Trigger/condition: Extensive IT/clerical/supervisory assistance or greater IT use</w:t>
              <w:br/>
              <w:t>Action: May charge reasonable actual-cost special service charge.</w:t>
            </w:r>
          </w:p>
        </w:tc>
        <w:tc>
          <w:tcPr>
            <w:tcW w:type="dxa" w:w="2592"/>
            <w:vAlign w:val="center"/>
            <w:tcMar>
              <w:top w:w="55" w:type="dxa"/>
              <w:start w:w="70" w:type="dxa"/>
              <w:bottom w:w="55" w:type="dxa"/>
              <w:end w:w="70" w:type="dxa"/>
            </w:tcMar>
            <w:shd w:fill="F2F2F2"/>
          </w:tcPr>
          <w:p>
            <w:pPr>
              <w:jc w:val="left"/>
            </w:pPr>
            <w:r/>
            <w:r>
              <w:rPr>
                <w:rFonts w:ascii="Aptos" w:hAnsi="Aptos"/>
                <w:b w:val="0"/>
                <w:sz w:val="13"/>
              </w:rPr>
              <w:t>Deadline/clock: No alternate statewide deadline.</w:t>
              <w:br/>
              <w:t>Communication: Local estimate/acceptance communication.</w:t>
            </w:r>
          </w:p>
        </w:tc>
        <w:tc>
          <w:tcPr>
            <w:tcW w:type="dxa" w:w="2592"/>
            <w:vAlign w:val="center"/>
            <w:tcMar>
              <w:top w:w="55" w:type="dxa"/>
              <w:start w:w="70" w:type="dxa"/>
              <w:bottom w:w="55" w:type="dxa"/>
              <w:end w:w="70" w:type="dxa"/>
            </w:tcMar>
            <w:shd w:fill="F2F2F2"/>
          </w:tcPr>
          <w:p>
            <w:pPr>
              <w:jc w:val="left"/>
            </w:pPr>
            <w:r/>
            <w:r>
              <w:rPr>
                <w:rFonts w:ascii="Aptos" w:hAnsi="Aptos"/>
                <w:b w:val="0"/>
                <w:sz w:val="13"/>
              </w:rPr>
              <w:t>Source: State condition + local procedure</w:t>
              <w:br/>
              <w:t>Status/applicability: Mandatory; cities unless noted</w:t>
              <w:br/>
              <w:t>Authority: N.C.G.S. § 132-6.2(b)</w:t>
              <w:br/>
              <w:t>Confidence/open issue: High</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NC-09</w:t>
              <w:br/>
              <w:t>Fee dispute</w:t>
            </w:r>
          </w:p>
        </w:tc>
        <w:tc>
          <w:tcPr>
            <w:tcW w:type="dxa" w:w="2592"/>
            <w:vAlign w:val="center"/>
            <w:tcMar>
              <w:top w:w="55" w:type="dxa"/>
              <w:start w:w="70" w:type="dxa"/>
              <w:bottom w:w="55" w:type="dxa"/>
              <w:end w:w="70" w:type="dxa"/>
            </w:tcMar>
          </w:tcPr>
          <w:p>
            <w:pPr>
              <w:jc w:val="left"/>
            </w:pPr>
            <w:r/>
            <w:r>
              <w:rPr>
                <w:rFonts w:ascii="Aptos" w:hAnsi="Aptos"/>
                <w:b w:val="0"/>
                <w:sz w:val="13"/>
              </w:rPr>
              <w:t>Trigger/condition: Requester disputes fee</w:t>
              <w:br/>
              <w:t>Action: Support mediation request to State CIO/designee.</w:t>
            </w:r>
          </w:p>
        </w:tc>
        <w:tc>
          <w:tcPr>
            <w:tcW w:type="dxa" w:w="2592"/>
            <w:vAlign w:val="center"/>
            <w:tcMar>
              <w:top w:w="55" w:type="dxa"/>
              <w:start w:w="70" w:type="dxa"/>
              <w:bottom w:w="55" w:type="dxa"/>
              <w:end w:w="70" w:type="dxa"/>
            </w:tcMar>
          </w:tcPr>
          <w:p>
            <w:pPr>
              <w:jc w:val="left"/>
            </w:pPr>
            <w:r/>
            <w:r>
              <w:rPr>
                <w:rFonts w:ascii="Aptos" w:hAnsi="Aptos"/>
                <w:b w:val="0"/>
                <w:sz w:val="13"/>
              </w:rPr>
              <w:t>Deadline/clock: No statutory processing timer stated.</w:t>
              <w:br/>
              <w:t>Communication: Explain dispute option.</w:t>
            </w:r>
          </w:p>
        </w:tc>
        <w:tc>
          <w:tcPr>
            <w:tcW w:type="dxa" w:w="2592"/>
            <w:vAlign w:val="center"/>
            <w:tcMar>
              <w:top w:w="55" w:type="dxa"/>
              <w:start w:w="70" w:type="dxa"/>
              <w:bottom w:w="55" w:type="dxa"/>
              <w:end w:w="70" w:type="dxa"/>
            </w:tcMar>
          </w:tcPr>
          <w:p>
            <w:pPr>
              <w:jc w:val="left"/>
            </w:pPr>
            <w:r/>
            <w:r>
              <w:rPr>
                <w:rFonts w:ascii="Aptos" w:hAnsi="Aptos"/>
                <w:b w:val="0"/>
                <w:sz w:val="13"/>
              </w:rPr>
              <w:t>Source: Statewide</w:t>
              <w:br/>
              <w:t>Status/applicability: Mandatory; cities unless noted</w:t>
              <w:br/>
              <w:t>Authority: N.C.G.S. § 132-6.2(b)</w:t>
              <w:br/>
              <w:t>Confidence/open issue: High</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3"/>
              </w:rPr>
              <w:t>NC-10</w:t>
              <w:br/>
              <w:t>Database request</w:t>
            </w:r>
          </w:p>
        </w:tc>
        <w:tc>
          <w:tcPr>
            <w:tcW w:type="dxa" w:w="2592"/>
            <w:vAlign w:val="center"/>
            <w:tcMar>
              <w:top w:w="55" w:type="dxa"/>
              <w:start w:w="70" w:type="dxa"/>
              <w:bottom w:w="55" w:type="dxa"/>
              <w:end w:w="70" w:type="dxa"/>
            </w:tcMar>
            <w:shd w:fill="F2F2F2"/>
          </w:tcPr>
          <w:p>
            <w:pPr>
              <w:jc w:val="left"/>
            </w:pPr>
            <w:r/>
            <w:r>
              <w:rPr>
                <w:rFonts w:ascii="Aptos" w:hAnsi="Aptos"/>
                <w:b w:val="0"/>
                <w:sz w:val="13"/>
              </w:rPr>
              <w:t>Trigger/condition: Copy of computer database requested</w:t>
              <w:br/>
              <w:t>Action: May require writing; respond promptly.</w:t>
            </w:r>
          </w:p>
        </w:tc>
        <w:tc>
          <w:tcPr>
            <w:tcW w:type="dxa" w:w="2592"/>
            <w:vAlign w:val="center"/>
            <w:tcMar>
              <w:top w:w="55" w:type="dxa"/>
              <w:start w:w="70" w:type="dxa"/>
              <w:bottom w:w="55" w:type="dxa"/>
              <w:end w:w="70" w:type="dxa"/>
            </w:tcMar>
            <w:shd w:fill="F2F2F2"/>
          </w:tcPr>
          <w:p>
            <w:pPr>
              <w:jc w:val="left"/>
            </w:pPr>
            <w:r/>
            <w:r>
              <w:rPr>
                <w:rFonts w:ascii="Aptos" w:hAnsi="Aptos"/>
                <w:b w:val="0"/>
                <w:sz w:val="13"/>
              </w:rPr>
              <w:t>Deadline/clock: As promptly as possible.</w:t>
              <w:br/>
              <w:t>Communication: Grant or denial explanation.</w:t>
            </w:r>
          </w:p>
        </w:tc>
        <w:tc>
          <w:tcPr>
            <w:tcW w:type="dxa" w:w="2592"/>
            <w:vAlign w:val="center"/>
            <w:tcMar>
              <w:top w:w="55" w:type="dxa"/>
              <w:start w:w="70" w:type="dxa"/>
              <w:bottom w:w="55" w:type="dxa"/>
              <w:end w:w="70" w:type="dxa"/>
            </w:tcMar>
            <w:shd w:fill="F2F2F2"/>
          </w:tcPr>
          <w:p>
            <w:pPr>
              <w:jc w:val="left"/>
            </w:pPr>
            <w:r/>
            <w:r>
              <w:rPr>
                <w:rFonts w:ascii="Aptos" w:hAnsi="Aptos"/>
                <w:b w:val="0"/>
                <w:sz w:val="13"/>
              </w:rPr>
              <w:t>Source: Local choice + statewide standard</w:t>
              <w:br/>
              <w:t>Status/applicability: Mandatory; cities unless noted</w:t>
              <w:br/>
              <w:t>Authority: N.C.G.S. § 132-6.2(c)</w:t>
              <w:br/>
              <w:t>Confidence/open issue: High</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NC-11</w:t>
              <w:br/>
              <w:t>Database denial</w:t>
            </w:r>
          </w:p>
        </w:tc>
        <w:tc>
          <w:tcPr>
            <w:tcW w:type="dxa" w:w="2592"/>
            <w:vAlign w:val="center"/>
            <w:tcMar>
              <w:top w:w="55" w:type="dxa"/>
              <w:start w:w="70" w:type="dxa"/>
              <w:bottom w:w="55" w:type="dxa"/>
              <w:end w:w="70" w:type="dxa"/>
            </w:tcMar>
          </w:tcPr>
          <w:p>
            <w:pPr>
              <w:jc w:val="left"/>
            </w:pPr>
            <w:r/>
            <w:r>
              <w:rPr>
                <w:rFonts w:ascii="Aptos" w:hAnsi="Aptos"/>
                <w:b w:val="0"/>
                <w:sz w:val="13"/>
              </w:rPr>
              <w:t>Trigger/condition: Database-copy request denied</w:t>
              <w:br/>
              <w:t>Action: Provide basis; reduce to writing promptly if asked.</w:t>
            </w:r>
          </w:p>
        </w:tc>
        <w:tc>
          <w:tcPr>
            <w:tcW w:type="dxa" w:w="2592"/>
            <w:vAlign w:val="center"/>
            <w:tcMar>
              <w:top w:w="55" w:type="dxa"/>
              <w:start w:w="70" w:type="dxa"/>
              <w:bottom w:w="55" w:type="dxa"/>
              <w:end w:w="70" w:type="dxa"/>
            </w:tcMar>
          </w:tcPr>
          <w:p>
            <w:pPr>
              <w:jc w:val="left"/>
            </w:pPr>
            <w:r/>
            <w:r>
              <w:rPr>
                <w:rFonts w:ascii="Aptos" w:hAnsi="Aptos"/>
                <w:b w:val="0"/>
                <w:sz w:val="13"/>
              </w:rPr>
              <w:t>Deadline/clock: Promptly/as promptly as possible.</w:t>
              <w:br/>
              <w:t>Communication: Explanation, written upon request.</w:t>
            </w:r>
          </w:p>
        </w:tc>
        <w:tc>
          <w:tcPr>
            <w:tcW w:type="dxa" w:w="2592"/>
            <w:vAlign w:val="center"/>
            <w:tcMar>
              <w:top w:w="55" w:type="dxa"/>
              <w:start w:w="70" w:type="dxa"/>
              <w:bottom w:w="55" w:type="dxa"/>
              <w:end w:w="70" w:type="dxa"/>
            </w:tcMar>
          </w:tcPr>
          <w:p>
            <w:pPr>
              <w:jc w:val="left"/>
            </w:pPr>
            <w:r/>
            <w:r>
              <w:rPr>
                <w:rFonts w:ascii="Aptos" w:hAnsi="Aptos"/>
                <w:b w:val="0"/>
                <w:sz w:val="13"/>
              </w:rPr>
              <w:t>Source: Statewide</w:t>
              <w:br/>
              <w:t>Status/applicability: Mandatory; cities unless noted</w:t>
              <w:br/>
              <w:t>Authority: N.C.G.S. § 132-6.2(c)</w:t>
              <w:br/>
              <w:t>Confidence/open issue: High</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3"/>
              </w:rPr>
              <w:t>NC-12</w:t>
              <w:br/>
              <w:t>Record creation</w:t>
            </w:r>
          </w:p>
        </w:tc>
        <w:tc>
          <w:tcPr>
            <w:tcW w:type="dxa" w:w="2592"/>
            <w:vAlign w:val="center"/>
            <w:tcMar>
              <w:top w:w="55" w:type="dxa"/>
              <w:start w:w="70" w:type="dxa"/>
              <w:bottom w:w="55" w:type="dxa"/>
              <w:end w:w="70" w:type="dxa"/>
            </w:tcMar>
            <w:shd w:fill="F2F2F2"/>
          </w:tcPr>
          <w:p>
            <w:pPr>
              <w:jc w:val="left"/>
            </w:pPr>
            <w:r/>
            <w:r>
              <w:rPr>
                <w:rFonts w:ascii="Aptos" w:hAnsi="Aptos"/>
                <w:b w:val="0"/>
                <w:sz w:val="13"/>
              </w:rPr>
              <w:t>Trigger/condition: Requested record/compilation does not exist</w:t>
              <w:br/>
              <w:t>Action: No duty to create; optional negotiated service.</w:t>
            </w:r>
          </w:p>
        </w:tc>
        <w:tc>
          <w:tcPr>
            <w:tcW w:type="dxa" w:w="2592"/>
            <w:vAlign w:val="center"/>
            <w:tcMar>
              <w:top w:w="55" w:type="dxa"/>
              <w:start w:w="70" w:type="dxa"/>
              <w:bottom w:w="55" w:type="dxa"/>
              <w:end w:w="70" w:type="dxa"/>
            </w:tcMar>
            <w:shd w:fill="F2F2F2"/>
          </w:tcPr>
          <w:p>
            <w:pPr>
              <w:jc w:val="left"/>
            </w:pPr>
            <w:r/>
            <w:r>
              <w:rPr>
                <w:rFonts w:ascii="Aptos" w:hAnsi="Aptos"/>
                <w:b w:val="0"/>
                <w:sz w:val="13"/>
              </w:rPr>
              <w:t>Deadline/clock: None beyond response.</w:t>
              <w:br/>
              <w:t>Communication: Explain no existing record and optional terms.</w:t>
            </w:r>
          </w:p>
        </w:tc>
        <w:tc>
          <w:tcPr>
            <w:tcW w:type="dxa" w:w="2592"/>
            <w:vAlign w:val="center"/>
            <w:tcMar>
              <w:top w:w="55" w:type="dxa"/>
              <w:start w:w="70" w:type="dxa"/>
              <w:bottom w:w="55" w:type="dxa"/>
              <w:end w:w="70" w:type="dxa"/>
            </w:tcMar>
            <w:shd w:fill="F2F2F2"/>
          </w:tcPr>
          <w:p>
            <w:pPr>
              <w:jc w:val="left"/>
            </w:pPr>
            <w:r/>
            <w:r>
              <w:rPr>
                <w:rFonts w:ascii="Aptos" w:hAnsi="Aptos"/>
                <w:b w:val="0"/>
                <w:sz w:val="13"/>
              </w:rPr>
              <w:t>Source: Statewide + optional local service</w:t>
              <w:br/>
              <w:t>Status/applicability: Mandatory; cities unless noted</w:t>
              <w:br/>
              <w:t>Authority: N.C.G.S. § 132-6.2(e)</w:t>
              <w:br/>
              <w:t>Confidence/open issue: High</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NC-13</w:t>
              <w:br/>
              <w:t>Clarification</w:t>
            </w:r>
          </w:p>
        </w:tc>
        <w:tc>
          <w:tcPr>
            <w:tcW w:type="dxa" w:w="2592"/>
            <w:vAlign w:val="center"/>
            <w:tcMar>
              <w:top w:w="55" w:type="dxa"/>
              <w:start w:w="70" w:type="dxa"/>
              <w:bottom w:w="55" w:type="dxa"/>
              <w:end w:w="70" w:type="dxa"/>
            </w:tcMar>
          </w:tcPr>
          <w:p>
            <w:pPr>
              <w:jc w:val="left"/>
            </w:pPr>
            <w:r/>
            <w:r>
              <w:rPr>
                <w:rFonts w:ascii="Aptos" w:hAnsi="Aptos"/>
                <w:b w:val="0"/>
                <w:sz w:val="13"/>
              </w:rPr>
              <w:t>Trigger/condition: Request unclear or asks research</w:t>
              <w:br/>
              <w:t>Action: Seek clarification under local policy or identify existing records.</w:t>
            </w:r>
          </w:p>
        </w:tc>
        <w:tc>
          <w:tcPr>
            <w:tcW w:type="dxa" w:w="2592"/>
            <w:vAlign w:val="center"/>
            <w:tcMar>
              <w:top w:w="55" w:type="dxa"/>
              <w:start w:w="70" w:type="dxa"/>
              <w:bottom w:w="55" w:type="dxa"/>
              <w:end w:w="70" w:type="dxa"/>
            </w:tcMar>
          </w:tcPr>
          <w:p>
            <w:pPr>
              <w:jc w:val="left"/>
            </w:pPr>
            <w:r/>
            <w:r>
              <w:rPr>
                <w:rFonts w:ascii="Aptos" w:hAnsi="Aptos"/>
                <w:b w:val="0"/>
                <w:sz w:val="13"/>
              </w:rPr>
              <w:t>Deadline/clock: No express statewide toll/reset/abandonment.</w:t>
              <w:br/>
              <w:t>Communication: Local clarification notice.</w:t>
            </w:r>
          </w:p>
        </w:tc>
        <w:tc>
          <w:tcPr>
            <w:tcW w:type="dxa" w:w="2592"/>
            <w:vAlign w:val="center"/>
            <w:tcMar>
              <w:top w:w="55" w:type="dxa"/>
              <w:start w:w="70" w:type="dxa"/>
              <w:bottom w:w="55" w:type="dxa"/>
              <w:end w:w="70" w:type="dxa"/>
            </w:tcMar>
          </w:tcPr>
          <w:p>
            <w:pPr>
              <w:jc w:val="left"/>
            </w:pPr>
            <w:r/>
            <w:r>
              <w:rPr>
                <w:rFonts w:ascii="Aptos" w:hAnsi="Aptos"/>
                <w:b w:val="0"/>
                <w:sz w:val="13"/>
              </w:rPr>
              <w:t>Source: Human determination + local policy</w:t>
              <w:br/>
              <w:t>Status/applicability: Mandatory; cities unless noted</w:t>
              <w:br/>
              <w:t>Authority: Statutory silence; N.C.G.S. § 132-6.2(e)</w:t>
              <w:br/>
              <w:t>Confidence/open issue: High</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3"/>
              </w:rPr>
              <w:t>NC-14</w:t>
              <w:br/>
              <w:t>Business hours</w:t>
            </w:r>
          </w:p>
        </w:tc>
        <w:tc>
          <w:tcPr>
            <w:tcW w:type="dxa" w:w="2592"/>
            <w:vAlign w:val="center"/>
            <w:tcMar>
              <w:top w:w="55" w:type="dxa"/>
              <w:start w:w="70" w:type="dxa"/>
              <w:bottom w:w="55" w:type="dxa"/>
              <w:end w:w="70" w:type="dxa"/>
            </w:tcMar>
            <w:shd w:fill="F2F2F2"/>
          </w:tcPr>
          <w:p>
            <w:pPr>
              <w:jc w:val="left"/>
            </w:pPr>
            <w:r/>
            <w:r>
              <w:rPr>
                <w:rFonts w:ascii="Aptos" w:hAnsi="Aptos"/>
                <w:b w:val="0"/>
                <w:sz w:val="13"/>
              </w:rPr>
              <w:t>Trigger/condition: Request seeks response outside usual business hours</w:t>
              <w:br/>
              <w:t>Action: No duty to respond outside usual business hours.</w:t>
            </w:r>
          </w:p>
        </w:tc>
        <w:tc>
          <w:tcPr>
            <w:tcW w:type="dxa" w:w="2592"/>
            <w:vAlign w:val="center"/>
            <w:tcMar>
              <w:top w:w="55" w:type="dxa"/>
              <w:start w:w="70" w:type="dxa"/>
              <w:bottom w:w="55" w:type="dxa"/>
              <w:end w:w="70" w:type="dxa"/>
            </w:tcMar>
            <w:shd w:fill="F2F2F2"/>
          </w:tcPr>
          <w:p>
            <w:pPr>
              <w:jc w:val="left"/>
            </w:pPr>
            <w:r/>
            <w:r>
              <w:rPr>
                <w:rFonts w:ascii="Aptos" w:hAnsi="Aptos"/>
                <w:b w:val="0"/>
                <w:sz w:val="13"/>
              </w:rPr>
              <w:t>Deadline/clock: Qualitative promptness evaluated in normal hours.</w:t>
              <w:br/>
              <w:t>Communication: Office-hours notice optional.</w:t>
            </w:r>
          </w:p>
        </w:tc>
        <w:tc>
          <w:tcPr>
            <w:tcW w:type="dxa" w:w="2592"/>
            <w:vAlign w:val="center"/>
            <w:tcMar>
              <w:top w:w="55" w:type="dxa"/>
              <w:start w:w="70" w:type="dxa"/>
              <w:bottom w:w="55" w:type="dxa"/>
              <w:end w:w="70" w:type="dxa"/>
            </w:tcMar>
            <w:shd w:fill="F2F2F2"/>
          </w:tcPr>
          <w:p>
            <w:pPr>
              <w:jc w:val="left"/>
            </w:pPr>
            <w:r/>
            <w:r>
              <w:rPr>
                <w:rFonts w:ascii="Aptos" w:hAnsi="Aptos"/>
                <w:b w:val="0"/>
                <w:sz w:val="13"/>
              </w:rPr>
              <w:t>Source: Local office calendar</w:t>
              <w:br/>
              <w:t>Status/applicability: Mandatory; cities unless noted</w:t>
              <w:br/>
              <w:t>Authority: N.C.G.S. § 132-6.2(d)</w:t>
              <w:br/>
              <w:t>Confidence/open issue: High</w:t>
            </w:r>
          </w:p>
        </w:tc>
      </w:tr>
    </w:tbl>
    <w:p>
      <w:pPr>
        <w:spacing w:after="20"/>
      </w:pPr>
    </w:p>
    <w:p>
      <w:pPr>
        <w:pStyle w:val="Heading1"/>
      </w:pPr>
      <w:r>
        <w:t>11. Jurisdiction-Configuration Fields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tcMar>
              <w:top w:w="55" w:type="dxa"/>
              <w:start w:w="70" w:type="dxa"/>
              <w:bottom w:w="55" w:type="dxa"/>
              <w:end w:w="70" w:type="dxa"/>
            </w:tcMar>
            <w:shd w:fill="17365D"/>
          </w:tcPr>
          <w:p>
            <w:pPr>
              <w:jc w:val="center"/>
            </w:pPr>
            <w:r/>
            <w:r>
              <w:rPr>
                <w:rFonts w:ascii="Aptos" w:hAnsi="Aptos"/>
                <w:b/>
                <w:color w:val="FFFFFF"/>
                <w:sz w:val="14"/>
              </w:rPr>
              <w:t>Configuration field</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Source type</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Statewide value / legal standard</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Local configuration needed</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internal_response_target</w:t>
            </w:r>
          </w:p>
        </w:tc>
        <w:tc>
          <w:tcPr>
            <w:tcW w:type="dxa" w:w="2592"/>
            <w:vAlign w:val="center"/>
            <w:tcMar>
              <w:top w:w="55" w:type="dxa"/>
              <w:start w:w="70" w:type="dxa"/>
              <w:bottom w:w="55" w:type="dxa"/>
              <w:end w:w="70" w:type="dxa"/>
            </w:tcMar>
          </w:tcPr>
          <w:p>
            <w:pPr>
              <w:jc w:val="left"/>
            </w:pPr>
            <w:r/>
            <w:r>
              <w:rPr>
                <w:rFonts w:ascii="Aptos" w:hAnsi="Aptos"/>
                <w:b w:val="0"/>
                <w:sz w:val="14"/>
              </w:rPr>
              <w:t>Jurisdiction configured</w:t>
            </w:r>
          </w:p>
        </w:tc>
        <w:tc>
          <w:tcPr>
            <w:tcW w:type="dxa" w:w="2592"/>
            <w:vAlign w:val="center"/>
            <w:tcMar>
              <w:top w:w="55" w:type="dxa"/>
              <w:start w:w="70" w:type="dxa"/>
              <w:bottom w:w="55" w:type="dxa"/>
              <w:end w:w="70" w:type="dxa"/>
            </w:tcMar>
          </w:tcPr>
          <w:p>
            <w:pPr>
              <w:jc w:val="left"/>
            </w:pPr>
            <w:r/>
            <w:r>
              <w:rPr>
                <w:rFonts w:ascii="Aptos" w:hAnsi="Aptos"/>
                <w:b w:val="0"/>
                <w:sz w:val="14"/>
              </w:rPr>
              <w:t>State law says as promptly as possible</w:t>
            </w:r>
          </w:p>
        </w:tc>
        <w:tc>
          <w:tcPr>
            <w:tcW w:type="dxa" w:w="2592"/>
            <w:vAlign w:val="center"/>
            <w:tcMar>
              <w:top w:w="55" w:type="dxa"/>
              <w:start w:w="70" w:type="dxa"/>
              <w:bottom w:w="55" w:type="dxa"/>
              <w:end w:w="70" w:type="dxa"/>
            </w:tcMar>
          </w:tcPr>
          <w:p>
            <w:pPr>
              <w:jc w:val="left"/>
            </w:pPr>
            <w:r/>
            <w:r>
              <w:rPr>
                <w:rFonts w:ascii="Aptos" w:hAnsi="Aptos"/>
                <w:b w:val="0"/>
                <w:sz w:val="14"/>
              </w:rPr>
              <w:t>Numeric service target, alerts, escalation.</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reasonable_inspection_hours</w:t>
            </w:r>
          </w:p>
        </w:tc>
        <w:tc>
          <w:tcPr>
            <w:tcW w:type="dxa" w:w="2592"/>
            <w:vAlign w:val="center"/>
            <w:tcMar>
              <w:top w:w="55" w:type="dxa"/>
              <w:start w:w="70" w:type="dxa"/>
              <w:bottom w:w="55" w:type="dxa"/>
              <w:end w:w="70" w:type="dxa"/>
            </w:tcMar>
            <w:shd w:fill="F2F2F2"/>
          </w:tcPr>
          <w:p>
            <w:pPr>
              <w:jc w:val="left"/>
            </w:pPr>
            <w:r/>
            <w:r>
              <w:rPr>
                <w:rFonts w:ascii="Aptos" w:hAnsi="Aptos"/>
                <w:b w:val="0"/>
                <w:sz w:val="14"/>
              </w:rPr>
              <w:t>Jurisdiction configured</w:t>
            </w:r>
          </w:p>
        </w:tc>
        <w:tc>
          <w:tcPr>
            <w:tcW w:type="dxa" w:w="2592"/>
            <w:vAlign w:val="center"/>
            <w:tcMar>
              <w:top w:w="55" w:type="dxa"/>
              <w:start w:w="70" w:type="dxa"/>
              <w:bottom w:w="55" w:type="dxa"/>
              <w:end w:w="70" w:type="dxa"/>
            </w:tcMar>
            <w:shd w:fill="F2F2F2"/>
          </w:tcPr>
          <w:p>
            <w:pPr>
              <w:jc w:val="left"/>
            </w:pPr>
            <w:r/>
            <w:r>
              <w:rPr>
                <w:rFonts w:ascii="Aptos" w:hAnsi="Aptos"/>
                <w:b w:val="0"/>
                <w:sz w:val="14"/>
              </w:rPr>
              <w:t>Reasonable times/normal business hours</w:t>
            </w:r>
          </w:p>
        </w:tc>
        <w:tc>
          <w:tcPr>
            <w:tcW w:type="dxa" w:w="2592"/>
            <w:vAlign w:val="center"/>
            <w:tcMar>
              <w:top w:w="55" w:type="dxa"/>
              <w:start w:w="70" w:type="dxa"/>
              <w:bottom w:w="55" w:type="dxa"/>
              <w:end w:w="70" w:type="dxa"/>
            </w:tcMar>
            <w:shd w:fill="F2F2F2"/>
          </w:tcPr>
          <w:p>
            <w:pPr>
              <w:jc w:val="left"/>
            </w:pPr>
            <w:r/>
            <w:r>
              <w:rPr>
                <w:rFonts w:ascii="Aptos" w:hAnsi="Aptos"/>
                <w:b w:val="0"/>
                <w:sz w:val="14"/>
              </w:rPr>
              <w:t>Office schedule and supervision rules.</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database_request_writing_requirement</w:t>
            </w:r>
          </w:p>
        </w:tc>
        <w:tc>
          <w:tcPr>
            <w:tcW w:type="dxa" w:w="2592"/>
            <w:vAlign w:val="center"/>
            <w:tcMar>
              <w:top w:w="55" w:type="dxa"/>
              <w:start w:w="70" w:type="dxa"/>
              <w:bottom w:w="55" w:type="dxa"/>
              <w:end w:w="70" w:type="dxa"/>
            </w:tcMar>
          </w:tcPr>
          <w:p>
            <w:pPr>
              <w:jc w:val="left"/>
            </w:pPr>
            <w:r/>
            <w:r>
              <w:rPr>
                <w:rFonts w:ascii="Aptos" w:hAnsi="Aptos"/>
                <w:b w:val="0"/>
                <w:sz w:val="14"/>
              </w:rPr>
              <w:t>Local statutory option</w:t>
            </w:r>
          </w:p>
        </w:tc>
        <w:tc>
          <w:tcPr>
            <w:tcW w:type="dxa" w:w="2592"/>
            <w:vAlign w:val="center"/>
            <w:tcMar>
              <w:top w:w="55" w:type="dxa"/>
              <w:start w:w="70" w:type="dxa"/>
              <w:bottom w:w="55" w:type="dxa"/>
              <w:end w:w="70" w:type="dxa"/>
            </w:tcMar>
          </w:tcPr>
          <w:p>
            <w:pPr>
              <w:jc w:val="left"/>
            </w:pPr>
            <w:r/>
            <w:r>
              <w:rPr>
                <w:rFonts w:ascii="Aptos" w:hAnsi="Aptos"/>
                <w:b w:val="0"/>
                <w:sz w:val="14"/>
              </w:rPr>
              <w:t>May require database-copy requests in writing</w:t>
            </w:r>
          </w:p>
        </w:tc>
        <w:tc>
          <w:tcPr>
            <w:tcW w:type="dxa" w:w="2592"/>
            <w:vAlign w:val="center"/>
            <w:tcMar>
              <w:top w:w="55" w:type="dxa"/>
              <w:start w:w="70" w:type="dxa"/>
              <w:bottom w:w="55" w:type="dxa"/>
              <w:end w:w="70" w:type="dxa"/>
            </w:tcMar>
          </w:tcPr>
          <w:p>
            <w:pPr>
              <w:jc w:val="left"/>
            </w:pPr>
            <w:r/>
            <w:r>
              <w:rPr>
                <w:rFonts w:ascii="Aptos" w:hAnsi="Aptos"/>
                <w:b w:val="0"/>
                <w:sz w:val="14"/>
              </w:rPr>
              <w:t>Enable/disable and specify channel/form.</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actual_copy_cost_schedule</w:t>
            </w:r>
          </w:p>
        </w:tc>
        <w:tc>
          <w:tcPr>
            <w:tcW w:type="dxa" w:w="2592"/>
            <w:vAlign w:val="center"/>
            <w:tcMar>
              <w:top w:w="55" w:type="dxa"/>
              <w:start w:w="70" w:type="dxa"/>
              <w:bottom w:w="55" w:type="dxa"/>
              <w:end w:w="70" w:type="dxa"/>
            </w:tcMar>
            <w:shd w:fill="F2F2F2"/>
          </w:tcPr>
          <w:p>
            <w:pPr>
              <w:jc w:val="left"/>
            </w:pPr>
            <w:r/>
            <w:r>
              <w:rPr>
                <w:rFonts w:ascii="Aptos" w:hAnsi="Aptos"/>
                <w:b w:val="0"/>
                <w:sz w:val="14"/>
              </w:rPr>
              <w:t>Jurisdiction configured</w:t>
            </w:r>
          </w:p>
        </w:tc>
        <w:tc>
          <w:tcPr>
            <w:tcW w:type="dxa" w:w="2592"/>
            <w:vAlign w:val="center"/>
            <w:tcMar>
              <w:top w:w="55" w:type="dxa"/>
              <w:start w:w="70" w:type="dxa"/>
              <w:bottom w:w="55" w:type="dxa"/>
              <w:end w:w="70" w:type="dxa"/>
            </w:tcMar>
            <w:shd w:fill="F2F2F2"/>
          </w:tcPr>
          <w:p>
            <w:pPr>
              <w:jc w:val="left"/>
            </w:pPr>
            <w:r/>
            <w:r>
              <w:rPr>
                <w:rFonts w:ascii="Aptos" w:hAnsi="Aptos"/>
                <w:b w:val="0"/>
                <w:sz w:val="14"/>
              </w:rPr>
              <w:t>Direct reproduction cost only</w:t>
            </w:r>
          </w:p>
        </w:tc>
        <w:tc>
          <w:tcPr>
            <w:tcW w:type="dxa" w:w="2592"/>
            <w:vAlign w:val="center"/>
            <w:tcMar>
              <w:top w:w="55" w:type="dxa"/>
              <w:start w:w="70" w:type="dxa"/>
              <w:bottom w:w="55" w:type="dxa"/>
              <w:end w:w="70" w:type="dxa"/>
            </w:tcMar>
            <w:shd w:fill="F2F2F2"/>
          </w:tcPr>
          <w:p>
            <w:pPr>
              <w:jc w:val="left"/>
            </w:pPr>
            <w:r/>
            <w:r>
              <w:rPr>
                <w:rFonts w:ascii="Aptos" w:hAnsi="Aptos"/>
                <w:b w:val="0"/>
                <w:sz w:val="14"/>
              </w:rPr>
              <w:t>Media/material rates and accounting method.</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extensive_resource_assessment</w:t>
            </w:r>
          </w:p>
        </w:tc>
        <w:tc>
          <w:tcPr>
            <w:tcW w:type="dxa" w:w="2592"/>
            <w:vAlign w:val="center"/>
            <w:tcMar>
              <w:top w:w="55" w:type="dxa"/>
              <w:start w:w="70" w:type="dxa"/>
              <w:bottom w:w="55" w:type="dxa"/>
              <w:end w:w="70" w:type="dxa"/>
            </w:tcMar>
          </w:tcPr>
          <w:p>
            <w:pPr>
              <w:jc w:val="left"/>
            </w:pPr>
            <w:r/>
            <w:r>
              <w:rPr>
                <w:rFonts w:ascii="Aptos" w:hAnsi="Aptos"/>
                <w:b w:val="0"/>
                <w:sz w:val="14"/>
              </w:rPr>
              <w:t>Human determination + local policy</w:t>
            </w:r>
          </w:p>
        </w:tc>
        <w:tc>
          <w:tcPr>
            <w:tcW w:type="dxa" w:w="2592"/>
            <w:vAlign w:val="center"/>
            <w:tcMar>
              <w:top w:w="55" w:type="dxa"/>
              <w:start w:w="70" w:type="dxa"/>
              <w:bottom w:w="55" w:type="dxa"/>
              <w:end w:w="70" w:type="dxa"/>
            </w:tcMar>
          </w:tcPr>
          <w:p>
            <w:pPr>
              <w:jc w:val="left"/>
            </w:pPr>
            <w:r/>
            <w:r>
              <w:rPr>
                <w:rFonts w:ascii="Aptos" w:hAnsi="Aptos"/>
                <w:b w:val="0"/>
                <w:sz w:val="14"/>
              </w:rPr>
              <w:t>Extensive IT or clerical/supervisory use</w:t>
            </w:r>
          </w:p>
        </w:tc>
        <w:tc>
          <w:tcPr>
            <w:tcW w:type="dxa" w:w="2592"/>
            <w:vAlign w:val="center"/>
            <w:tcMar>
              <w:top w:w="55" w:type="dxa"/>
              <w:start w:w="70" w:type="dxa"/>
              <w:bottom w:w="55" w:type="dxa"/>
              <w:end w:w="70" w:type="dxa"/>
            </w:tcMar>
          </w:tcPr>
          <w:p>
            <w:pPr>
              <w:jc w:val="left"/>
            </w:pPr>
            <w:r/>
            <w:r>
              <w:rPr>
                <w:rFonts w:ascii="Aptos" w:hAnsi="Aptos"/>
                <w:b w:val="0"/>
                <w:sz w:val="14"/>
              </w:rPr>
              <w:t>Thresholds, approver, documentation.</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special_service_rate</w:t>
            </w:r>
          </w:p>
        </w:tc>
        <w:tc>
          <w:tcPr>
            <w:tcW w:type="dxa" w:w="2592"/>
            <w:vAlign w:val="center"/>
            <w:tcMar>
              <w:top w:w="55" w:type="dxa"/>
              <w:start w:w="70" w:type="dxa"/>
              <w:bottom w:w="55" w:type="dxa"/>
              <w:end w:w="70" w:type="dxa"/>
            </w:tcMar>
            <w:shd w:fill="F2F2F2"/>
          </w:tcPr>
          <w:p>
            <w:pPr>
              <w:jc w:val="left"/>
            </w:pPr>
            <w:r/>
            <w:r>
              <w:rPr>
                <w:rFonts w:ascii="Aptos" w:hAnsi="Aptos"/>
                <w:b w:val="0"/>
                <w:sz w:val="14"/>
              </w:rPr>
              <w:t>Jurisdiction configured</w:t>
            </w:r>
          </w:p>
        </w:tc>
        <w:tc>
          <w:tcPr>
            <w:tcW w:type="dxa" w:w="2592"/>
            <w:vAlign w:val="center"/>
            <w:tcMar>
              <w:top w:w="55" w:type="dxa"/>
              <w:start w:w="70" w:type="dxa"/>
              <w:bottom w:w="55" w:type="dxa"/>
              <w:end w:w="70" w:type="dxa"/>
            </w:tcMar>
            <w:shd w:fill="F2F2F2"/>
          </w:tcPr>
          <w:p>
            <w:pPr>
              <w:jc w:val="left"/>
            </w:pPr>
            <w:r/>
            <w:r>
              <w:rPr>
                <w:rFonts w:ascii="Aptos" w:hAnsi="Aptos"/>
                <w:b w:val="0"/>
                <w:sz w:val="14"/>
              </w:rPr>
              <w:t>Reasonable actual cost</w:t>
            </w:r>
          </w:p>
        </w:tc>
        <w:tc>
          <w:tcPr>
            <w:tcW w:type="dxa" w:w="2592"/>
            <w:vAlign w:val="center"/>
            <w:tcMar>
              <w:top w:w="55" w:type="dxa"/>
              <w:start w:w="70" w:type="dxa"/>
              <w:bottom w:w="55" w:type="dxa"/>
              <w:end w:w="70" w:type="dxa"/>
            </w:tcMar>
            <w:shd w:fill="F2F2F2"/>
          </w:tcPr>
          <w:p>
            <w:pPr>
              <w:jc w:val="left"/>
            </w:pPr>
            <w:r/>
            <w:r>
              <w:rPr>
                <w:rFonts w:ascii="Aptos" w:hAnsi="Aptos"/>
                <w:b w:val="0"/>
                <w:sz w:val="14"/>
              </w:rPr>
              <w:t>Eligible roles/rates and estimate practice.</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redaction_separation_billable</w:t>
            </w:r>
          </w:p>
        </w:tc>
        <w:tc>
          <w:tcPr>
            <w:tcW w:type="dxa" w:w="2592"/>
            <w:vAlign w:val="center"/>
            <w:tcMar>
              <w:top w:w="55" w:type="dxa"/>
              <w:start w:w="70" w:type="dxa"/>
              <w:bottom w:w="55" w:type="dxa"/>
              <w:end w:w="70" w:type="dxa"/>
            </w:tcMar>
          </w:tcPr>
          <w:p>
            <w:pPr>
              <w:jc w:val="left"/>
            </w:pPr>
            <w:r/>
            <w:r>
              <w:rPr>
                <w:rFonts w:ascii="Aptos" w:hAnsi="Aptos"/>
                <w:b w:val="0"/>
                <w:sz w:val="14"/>
              </w:rPr>
              <w:t>Statutory</w:t>
            </w:r>
          </w:p>
        </w:tc>
        <w:tc>
          <w:tcPr>
            <w:tcW w:type="dxa" w:w="2592"/>
            <w:vAlign w:val="center"/>
            <w:tcMar>
              <w:top w:w="55" w:type="dxa"/>
              <w:start w:w="70" w:type="dxa"/>
              <w:bottom w:w="55" w:type="dxa"/>
              <w:end w:w="70" w:type="dxa"/>
            </w:tcMar>
          </w:tcPr>
          <w:p>
            <w:pPr>
              <w:jc w:val="left"/>
            </w:pPr>
            <w:r/>
            <w:r>
              <w:rPr>
                <w:rFonts w:ascii="Aptos" w:hAnsi="Aptos"/>
                <w:b w:val="0"/>
                <w:sz w:val="14"/>
              </w:rPr>
              <w:t>No; agency bears cost under § 132-6(c)</w:t>
            </w:r>
          </w:p>
        </w:tc>
        <w:tc>
          <w:tcPr>
            <w:tcW w:type="dxa" w:w="2592"/>
            <w:vAlign w:val="center"/>
            <w:tcMar>
              <w:top w:w="55" w:type="dxa"/>
              <w:start w:w="70" w:type="dxa"/>
              <w:bottom w:w="55" w:type="dxa"/>
              <w:end w:w="70" w:type="dxa"/>
            </w:tcMar>
          </w:tcPr>
          <w:p>
            <w:pPr>
              <w:jc w:val="left"/>
            </w:pPr>
            <w:r/>
            <w:r>
              <w:rPr>
                <w:rFonts w:ascii="Aptos" w:hAnsi="Aptos"/>
                <w:b w:val="0"/>
                <w:sz w:val="14"/>
              </w:rPr>
              <w:t>Hard-coded nonbillable classification unless another specific law controls.</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clarification_timer_effect</w:t>
            </w:r>
          </w:p>
        </w:tc>
        <w:tc>
          <w:tcPr>
            <w:tcW w:type="dxa" w:w="2592"/>
            <w:vAlign w:val="center"/>
            <w:tcMar>
              <w:top w:w="55" w:type="dxa"/>
              <w:start w:w="70" w:type="dxa"/>
              <w:bottom w:w="55" w:type="dxa"/>
              <w:end w:w="70" w:type="dxa"/>
            </w:tcMar>
            <w:shd w:fill="F2F2F2"/>
          </w:tcPr>
          <w:p>
            <w:pPr>
              <w:jc w:val="left"/>
            </w:pPr>
            <w:r/>
            <w:r>
              <w:rPr>
                <w:rFonts w:ascii="Aptos" w:hAnsi="Aptos"/>
                <w:b w:val="0"/>
                <w:sz w:val="14"/>
              </w:rPr>
              <w:t>Jurisdiction configured/legal review</w:t>
            </w:r>
          </w:p>
        </w:tc>
        <w:tc>
          <w:tcPr>
            <w:tcW w:type="dxa" w:w="2592"/>
            <w:vAlign w:val="center"/>
            <w:tcMar>
              <w:top w:w="55" w:type="dxa"/>
              <w:start w:w="70" w:type="dxa"/>
              <w:bottom w:w="55" w:type="dxa"/>
              <w:end w:w="70" w:type="dxa"/>
            </w:tcMar>
            <w:shd w:fill="F2F2F2"/>
          </w:tcPr>
          <w:p>
            <w:pPr>
              <w:jc w:val="left"/>
            </w:pPr>
            <w:r/>
            <w:r>
              <w:rPr>
                <w:rFonts w:ascii="Aptos" w:hAnsi="Aptos"/>
                <w:b w:val="0"/>
                <w:sz w:val="14"/>
              </w:rPr>
              <w:t>No statewide toll rule</w:t>
            </w:r>
          </w:p>
        </w:tc>
        <w:tc>
          <w:tcPr>
            <w:tcW w:type="dxa" w:w="2592"/>
            <w:vAlign w:val="center"/>
            <w:tcMar>
              <w:top w:w="55" w:type="dxa"/>
              <w:start w:w="70" w:type="dxa"/>
              <w:bottom w:w="55" w:type="dxa"/>
              <w:end w:w="70" w:type="dxa"/>
            </w:tcMar>
            <w:shd w:fill="F2F2F2"/>
          </w:tcPr>
          <w:p>
            <w:pPr>
              <w:jc w:val="left"/>
            </w:pPr>
            <w:r/>
            <w:r>
              <w:rPr>
                <w:rFonts w:ascii="Aptos" w:hAnsi="Aptos"/>
                <w:b w:val="0"/>
                <w:sz w:val="14"/>
              </w:rPr>
              <w:t>Operational pending state without representing statutory pause.</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operational_complexity_labels</w:t>
            </w:r>
          </w:p>
        </w:tc>
        <w:tc>
          <w:tcPr>
            <w:tcW w:type="dxa" w:w="2592"/>
            <w:vAlign w:val="center"/>
            <w:tcMar>
              <w:top w:w="55" w:type="dxa"/>
              <w:start w:w="70" w:type="dxa"/>
              <w:bottom w:w="55" w:type="dxa"/>
              <w:end w:w="70" w:type="dxa"/>
            </w:tcMar>
          </w:tcPr>
          <w:p>
            <w:pPr>
              <w:jc w:val="left"/>
            </w:pPr>
            <w:r/>
            <w:r>
              <w:rPr>
                <w:rFonts w:ascii="Aptos" w:hAnsi="Aptos"/>
                <w:b w:val="0"/>
                <w:sz w:val="14"/>
              </w:rPr>
              <w:t>Operational</w:t>
            </w:r>
          </w:p>
        </w:tc>
        <w:tc>
          <w:tcPr>
            <w:tcW w:type="dxa" w:w="2592"/>
            <w:vAlign w:val="center"/>
            <w:tcMar>
              <w:top w:w="55" w:type="dxa"/>
              <w:start w:w="70" w:type="dxa"/>
              <w:bottom w:w="55" w:type="dxa"/>
              <w:end w:w="70" w:type="dxa"/>
            </w:tcMar>
          </w:tcPr>
          <w:p>
            <w:pPr>
              <w:jc w:val="left"/>
            </w:pPr>
            <w:r/>
            <w:r>
              <w:rPr>
                <w:rFonts w:ascii="Aptos" w:hAnsi="Aptos"/>
                <w:b w:val="0"/>
                <w:sz w:val="14"/>
              </w:rPr>
              <w:t>No legal simple/complex classes</w:t>
            </w:r>
          </w:p>
        </w:tc>
        <w:tc>
          <w:tcPr>
            <w:tcW w:type="dxa" w:w="2592"/>
            <w:vAlign w:val="center"/>
            <w:tcMar>
              <w:top w:w="55" w:type="dxa"/>
              <w:start w:w="70" w:type="dxa"/>
              <w:bottom w:w="55" w:type="dxa"/>
              <w:end w:w="70" w:type="dxa"/>
            </w:tcMar>
          </w:tcPr>
          <w:p>
            <w:pPr>
              <w:jc w:val="left"/>
            </w:pPr>
            <w:r/>
            <w:r>
              <w:rPr>
                <w:rFonts w:ascii="Aptos" w:hAnsi="Aptos"/>
                <w:b w:val="0"/>
                <w:sz w:val="14"/>
              </w:rPr>
              <w:t>Optional local taxonomy.</w:t>
            </w:r>
          </w:p>
        </w:tc>
      </w:tr>
    </w:tbl>
    <w:p>
      <w:pPr>
        <w:spacing w:after="20"/>
      </w:pPr>
    </w:p>
    <w:p>
      <w:pPr>
        <w:pStyle w:val="Heading1"/>
      </w:pPr>
      <w:r>
        <w:t>12. Recommended Workflow States and Transitions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tcMar>
              <w:top w:w="55" w:type="dxa"/>
              <w:start w:w="70" w:type="dxa"/>
              <w:bottom w:w="55" w:type="dxa"/>
              <w:end w:w="70" w:type="dxa"/>
            </w:tcMar>
            <w:shd w:fill="17365D"/>
          </w:tcPr>
          <w:p>
            <w:pPr>
              <w:jc w:val="center"/>
            </w:pPr>
            <w:r/>
            <w:r>
              <w:rPr>
                <w:rFonts w:ascii="Aptos" w:hAnsi="Aptos"/>
                <w:b/>
                <w:color w:val="FFFFFF"/>
                <w:sz w:val="14"/>
              </w:rPr>
              <w:t>State</w:t>
            </w:r>
          </w:p>
        </w:tc>
        <w:tc>
          <w:tcPr>
            <w:tcW w:type="dxa" w:w="3456"/>
            <w:vAlign w:val="center"/>
            <w:tcMar>
              <w:top w:w="55" w:type="dxa"/>
              <w:start w:w="70" w:type="dxa"/>
              <w:bottom w:w="55" w:type="dxa"/>
              <w:end w:w="70" w:type="dxa"/>
            </w:tcMar>
            <w:shd w:fill="17365D"/>
          </w:tcPr>
          <w:p>
            <w:pPr>
              <w:jc w:val="center"/>
            </w:pPr>
            <w:r/>
            <w:r>
              <w:rPr>
                <w:rFonts w:ascii="Aptos" w:hAnsi="Aptos"/>
                <w:b/>
                <w:color w:val="FFFFFF"/>
                <w:sz w:val="14"/>
              </w:rPr>
              <w:t>Entry event</w:t>
            </w:r>
          </w:p>
        </w:tc>
        <w:tc>
          <w:tcPr>
            <w:tcW w:type="dxa" w:w="3456"/>
            <w:vAlign w:val="center"/>
            <w:tcMar>
              <w:top w:w="55" w:type="dxa"/>
              <w:start w:w="70" w:type="dxa"/>
              <w:bottom w:w="55" w:type="dxa"/>
              <w:end w:w="70" w:type="dxa"/>
            </w:tcMar>
            <w:shd w:fill="17365D"/>
          </w:tcPr>
          <w:p>
            <w:pPr>
              <w:jc w:val="center"/>
            </w:pPr>
            <w:r/>
            <w:r>
              <w:rPr>
                <w:rFonts w:ascii="Aptos" w:hAnsi="Aptos"/>
                <w:b/>
                <w:color w:val="FFFFFF"/>
                <w:sz w:val="14"/>
              </w:rPr>
              <w:t>Permitted next states / exit condition</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4"/>
              </w:rPr>
              <w:t>RECEIVED</w:t>
            </w:r>
          </w:p>
        </w:tc>
        <w:tc>
          <w:tcPr>
            <w:tcW w:type="dxa" w:w="3456"/>
            <w:vAlign w:val="center"/>
            <w:tcMar>
              <w:top w:w="55" w:type="dxa"/>
              <w:start w:w="70" w:type="dxa"/>
              <w:bottom w:w="55" w:type="dxa"/>
              <w:end w:w="70" w:type="dxa"/>
            </w:tcMar>
          </w:tcPr>
          <w:p>
            <w:pPr>
              <w:jc w:val="left"/>
            </w:pPr>
            <w:r/>
            <w:r>
              <w:rPr>
                <w:rFonts w:ascii="Aptos" w:hAnsi="Aptos"/>
                <w:b w:val="0"/>
                <w:sz w:val="14"/>
              </w:rPr>
              <w:t>Request received</w:t>
            </w:r>
          </w:p>
        </w:tc>
        <w:tc>
          <w:tcPr>
            <w:tcW w:type="dxa" w:w="3456"/>
            <w:vAlign w:val="center"/>
            <w:tcMar>
              <w:top w:w="55" w:type="dxa"/>
              <w:start w:w="70" w:type="dxa"/>
              <w:bottom w:w="55" w:type="dxa"/>
              <w:end w:w="70" w:type="dxa"/>
            </w:tcMar>
          </w:tcPr>
          <w:p>
            <w:pPr>
              <w:jc w:val="left"/>
            </w:pPr>
            <w:r/>
            <w:r>
              <w:rPr>
                <w:rFonts w:ascii="Aptos" w:hAnsi="Aptos"/>
                <w:b w:val="0"/>
                <w:sz w:val="14"/>
              </w:rPr>
              <w:t>CUSTODY_REVIEW, ONLINE_AVAILABILITY_REVIEW</w:t>
            </w:r>
          </w:p>
        </w:tc>
      </w:tr>
      <w:tr>
        <w:trPr>
          <w:cantSplit/>
        </w:trPr>
        <w:tc>
          <w:tcPr>
            <w:tcW w:type="dxa" w:w="3456"/>
            <w:vAlign w:val="center"/>
            <w:tcMar>
              <w:top w:w="55" w:type="dxa"/>
              <w:start w:w="70" w:type="dxa"/>
              <w:bottom w:w="55" w:type="dxa"/>
              <w:end w:w="70" w:type="dxa"/>
            </w:tcMar>
            <w:shd w:fill="F2F2F2"/>
          </w:tcPr>
          <w:p>
            <w:pPr>
              <w:jc w:val="left"/>
            </w:pPr>
            <w:r/>
            <w:r>
              <w:rPr>
                <w:rFonts w:ascii="Aptos" w:hAnsi="Aptos"/>
                <w:b w:val="0"/>
                <w:sz w:val="14"/>
              </w:rPr>
              <w:t>ONLINE_AVAILABILITY_REVIEW</w:t>
            </w:r>
          </w:p>
        </w:tc>
        <w:tc>
          <w:tcPr>
            <w:tcW w:type="dxa" w:w="3456"/>
            <w:vAlign w:val="center"/>
            <w:tcMar>
              <w:top w:w="55" w:type="dxa"/>
              <w:start w:w="70" w:type="dxa"/>
              <w:bottom w:w="55" w:type="dxa"/>
              <w:end w:w="70" w:type="dxa"/>
            </w:tcMar>
            <w:shd w:fill="F2F2F2"/>
          </w:tcPr>
          <w:p>
            <w:pPr>
              <w:jc w:val="left"/>
            </w:pPr>
            <w:r/>
            <w:r>
              <w:rPr>
                <w:rFonts w:ascii="Aptos" w:hAnsi="Aptos"/>
                <w:b w:val="0"/>
                <w:sz w:val="14"/>
              </w:rPr>
              <w:t>Record may be accessible online</w:t>
            </w:r>
          </w:p>
        </w:tc>
        <w:tc>
          <w:tcPr>
            <w:tcW w:type="dxa" w:w="3456"/>
            <w:vAlign w:val="center"/>
            <w:tcMar>
              <w:top w:w="55" w:type="dxa"/>
              <w:start w:w="70" w:type="dxa"/>
              <w:bottom w:w="55" w:type="dxa"/>
              <w:end w:w="70" w:type="dxa"/>
            </w:tcMar>
            <w:shd w:fill="F2F2F2"/>
          </w:tcPr>
          <w:p>
            <w:pPr>
              <w:jc w:val="left"/>
            </w:pPr>
            <w:r/>
            <w:r>
              <w:rPr>
                <w:rFonts w:ascii="Aptos" w:hAnsi="Aptos"/>
                <w:b w:val="0"/>
                <w:sz w:val="14"/>
              </w:rPr>
              <w:t>FULFILLED_BY_URL, SEARCH_PENDING</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4"/>
              </w:rPr>
              <w:t>CLARIFICATION_REQUESTED</w:t>
            </w:r>
          </w:p>
        </w:tc>
        <w:tc>
          <w:tcPr>
            <w:tcW w:type="dxa" w:w="3456"/>
            <w:vAlign w:val="center"/>
            <w:tcMar>
              <w:top w:w="55" w:type="dxa"/>
              <w:start w:w="70" w:type="dxa"/>
              <w:bottom w:w="55" w:type="dxa"/>
              <w:end w:w="70" w:type="dxa"/>
            </w:tcMar>
          </w:tcPr>
          <w:p>
            <w:pPr>
              <w:jc w:val="left"/>
            </w:pPr>
            <w:r/>
            <w:r>
              <w:rPr>
                <w:rFonts w:ascii="Aptos" w:hAnsi="Aptos"/>
                <w:b w:val="0"/>
                <w:sz w:val="14"/>
              </w:rPr>
              <w:t>Description unclear/research/new compilation</w:t>
            </w:r>
          </w:p>
        </w:tc>
        <w:tc>
          <w:tcPr>
            <w:tcW w:type="dxa" w:w="3456"/>
            <w:vAlign w:val="center"/>
            <w:tcMar>
              <w:top w:w="55" w:type="dxa"/>
              <w:start w:w="70" w:type="dxa"/>
              <w:bottom w:w="55" w:type="dxa"/>
              <w:end w:w="70" w:type="dxa"/>
            </w:tcMar>
          </w:tcPr>
          <w:p>
            <w:pPr>
              <w:jc w:val="left"/>
            </w:pPr>
            <w:r/>
            <w:r>
              <w:rPr>
                <w:rFonts w:ascii="Aptos" w:hAnsi="Aptos"/>
                <w:b w:val="0"/>
                <w:sz w:val="14"/>
              </w:rPr>
              <w:t>REVISED_REQUEST, NO_EXISTING_RECORD, SEARCH_PENDING</w:t>
            </w:r>
          </w:p>
        </w:tc>
      </w:tr>
      <w:tr>
        <w:trPr>
          <w:cantSplit/>
        </w:trPr>
        <w:tc>
          <w:tcPr>
            <w:tcW w:type="dxa" w:w="3456"/>
            <w:vAlign w:val="center"/>
            <w:tcMar>
              <w:top w:w="55" w:type="dxa"/>
              <w:start w:w="70" w:type="dxa"/>
              <w:bottom w:w="55" w:type="dxa"/>
              <w:end w:w="70" w:type="dxa"/>
            </w:tcMar>
            <w:shd w:fill="F2F2F2"/>
          </w:tcPr>
          <w:p>
            <w:pPr>
              <w:jc w:val="left"/>
            </w:pPr>
            <w:r/>
            <w:r>
              <w:rPr>
                <w:rFonts w:ascii="Aptos" w:hAnsi="Aptos"/>
                <w:b w:val="0"/>
                <w:sz w:val="14"/>
              </w:rPr>
              <w:t>SEARCH_PENDING</w:t>
            </w:r>
          </w:p>
        </w:tc>
        <w:tc>
          <w:tcPr>
            <w:tcW w:type="dxa" w:w="3456"/>
            <w:vAlign w:val="center"/>
            <w:tcMar>
              <w:top w:w="55" w:type="dxa"/>
              <w:start w:w="70" w:type="dxa"/>
              <w:bottom w:w="55" w:type="dxa"/>
              <w:end w:w="70" w:type="dxa"/>
            </w:tcMar>
            <w:shd w:fill="F2F2F2"/>
          </w:tcPr>
          <w:p>
            <w:pPr>
              <w:jc w:val="left"/>
            </w:pPr>
            <w:r/>
            <w:r>
              <w:rPr>
                <w:rFonts w:ascii="Aptos" w:hAnsi="Aptos"/>
                <w:b w:val="0"/>
                <w:sz w:val="14"/>
              </w:rPr>
              <w:t>Existing records identifiable</w:t>
            </w:r>
          </w:p>
        </w:tc>
        <w:tc>
          <w:tcPr>
            <w:tcW w:type="dxa" w:w="3456"/>
            <w:vAlign w:val="center"/>
            <w:tcMar>
              <w:top w:w="55" w:type="dxa"/>
              <w:start w:w="70" w:type="dxa"/>
              <w:bottom w:w="55" w:type="dxa"/>
              <w:end w:w="70" w:type="dxa"/>
            </w:tcMar>
            <w:shd w:fill="F2F2F2"/>
          </w:tcPr>
          <w:p>
            <w:pPr>
              <w:jc w:val="left"/>
            </w:pPr>
            <w:r/>
            <w:r>
              <w:rPr>
                <w:rFonts w:ascii="Aptos" w:hAnsi="Aptos"/>
                <w:b w:val="0"/>
                <w:sz w:val="14"/>
              </w:rPr>
              <w:t>SEGREGATION_REDACTION, EXTENSIVE_RESOURCE_REVIEW, NO_RECORDS</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4"/>
              </w:rPr>
              <w:t>EXTENSIVE_RESOURCE_REVIEW</w:t>
            </w:r>
          </w:p>
        </w:tc>
        <w:tc>
          <w:tcPr>
            <w:tcW w:type="dxa" w:w="3456"/>
            <w:vAlign w:val="center"/>
            <w:tcMar>
              <w:top w:w="55" w:type="dxa"/>
              <w:start w:w="70" w:type="dxa"/>
              <w:bottom w:w="55" w:type="dxa"/>
              <w:end w:w="70" w:type="dxa"/>
            </w:tcMar>
          </w:tcPr>
          <w:p>
            <w:pPr>
              <w:jc w:val="left"/>
            </w:pPr>
            <w:r/>
            <w:r>
              <w:rPr>
                <w:rFonts w:ascii="Aptos" w:hAnsi="Aptos"/>
                <w:b w:val="0"/>
                <w:sz w:val="14"/>
              </w:rPr>
              <w:t>Potential special service charge</w:t>
            </w:r>
          </w:p>
        </w:tc>
        <w:tc>
          <w:tcPr>
            <w:tcW w:type="dxa" w:w="3456"/>
            <w:vAlign w:val="center"/>
            <w:tcMar>
              <w:top w:w="55" w:type="dxa"/>
              <w:start w:w="70" w:type="dxa"/>
              <w:bottom w:w="55" w:type="dxa"/>
              <w:end w:w="70" w:type="dxa"/>
            </w:tcMar>
          </w:tcPr>
          <w:p>
            <w:pPr>
              <w:jc w:val="left"/>
            </w:pPr>
            <w:r/>
            <w:r>
              <w:rPr>
                <w:rFonts w:ascii="Aptos" w:hAnsi="Aptos"/>
                <w:b w:val="0"/>
                <w:sz w:val="14"/>
              </w:rPr>
              <w:t>ESTIMATE_LOCAL_POLICY, PROCESSING</w:t>
            </w:r>
          </w:p>
        </w:tc>
      </w:tr>
      <w:tr>
        <w:trPr>
          <w:cantSplit/>
        </w:trPr>
        <w:tc>
          <w:tcPr>
            <w:tcW w:type="dxa" w:w="3456"/>
            <w:vAlign w:val="center"/>
            <w:tcMar>
              <w:top w:w="55" w:type="dxa"/>
              <w:start w:w="70" w:type="dxa"/>
              <w:bottom w:w="55" w:type="dxa"/>
              <w:end w:w="70" w:type="dxa"/>
            </w:tcMar>
            <w:shd w:fill="F2F2F2"/>
          </w:tcPr>
          <w:p>
            <w:pPr>
              <w:jc w:val="left"/>
            </w:pPr>
            <w:r/>
            <w:r>
              <w:rPr>
                <w:rFonts w:ascii="Aptos" w:hAnsi="Aptos"/>
                <w:b w:val="0"/>
                <w:sz w:val="14"/>
              </w:rPr>
              <w:t>SEGREGATION_REDACTION</w:t>
            </w:r>
          </w:p>
        </w:tc>
        <w:tc>
          <w:tcPr>
            <w:tcW w:type="dxa" w:w="3456"/>
            <w:vAlign w:val="center"/>
            <w:tcMar>
              <w:top w:w="55" w:type="dxa"/>
              <w:start w:w="70" w:type="dxa"/>
              <w:bottom w:w="55" w:type="dxa"/>
              <w:end w:w="70" w:type="dxa"/>
            </w:tcMar>
            <w:shd w:fill="F2F2F2"/>
          </w:tcPr>
          <w:p>
            <w:pPr>
              <w:jc w:val="left"/>
            </w:pPr>
            <w:r/>
            <w:r>
              <w:rPr>
                <w:rFonts w:ascii="Aptos" w:hAnsi="Aptos"/>
                <w:b w:val="0"/>
                <w:sz w:val="14"/>
              </w:rPr>
              <w:t>Confidential information commingled</w:t>
            </w:r>
          </w:p>
        </w:tc>
        <w:tc>
          <w:tcPr>
            <w:tcW w:type="dxa" w:w="3456"/>
            <w:vAlign w:val="center"/>
            <w:tcMar>
              <w:top w:w="55" w:type="dxa"/>
              <w:start w:w="70" w:type="dxa"/>
              <w:bottom w:w="55" w:type="dxa"/>
              <w:end w:w="70" w:type="dxa"/>
            </w:tcMar>
            <w:shd w:fill="F2F2F2"/>
          </w:tcPr>
          <w:p>
            <w:pPr>
              <w:jc w:val="left"/>
            </w:pPr>
            <w:r/>
            <w:r>
              <w:rPr>
                <w:rFonts w:ascii="Aptos" w:hAnsi="Aptos"/>
                <w:b w:val="0"/>
                <w:sz w:val="14"/>
              </w:rPr>
              <w:t>READY_TO_PRODUCE; work is nonbillable under general rule</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4"/>
              </w:rPr>
              <w:t>DATABASE_DENIAL</w:t>
            </w:r>
          </w:p>
        </w:tc>
        <w:tc>
          <w:tcPr>
            <w:tcW w:type="dxa" w:w="3456"/>
            <w:vAlign w:val="center"/>
            <w:tcMar>
              <w:top w:w="55" w:type="dxa"/>
              <w:start w:w="70" w:type="dxa"/>
              <w:bottom w:w="55" w:type="dxa"/>
              <w:end w:w="70" w:type="dxa"/>
            </w:tcMar>
          </w:tcPr>
          <w:p>
            <w:pPr>
              <w:jc w:val="left"/>
            </w:pPr>
            <w:r/>
            <w:r>
              <w:rPr>
                <w:rFonts w:ascii="Aptos" w:hAnsi="Aptos"/>
                <w:b w:val="0"/>
                <w:sz w:val="14"/>
              </w:rPr>
              <w:t>Database-copy request denied</w:t>
            </w:r>
          </w:p>
        </w:tc>
        <w:tc>
          <w:tcPr>
            <w:tcW w:type="dxa" w:w="3456"/>
            <w:vAlign w:val="center"/>
            <w:tcMar>
              <w:top w:w="55" w:type="dxa"/>
              <w:start w:w="70" w:type="dxa"/>
              <w:bottom w:w="55" w:type="dxa"/>
              <w:end w:w="70" w:type="dxa"/>
            </w:tcMar>
          </w:tcPr>
          <w:p>
            <w:pPr>
              <w:jc w:val="left"/>
            </w:pPr>
            <w:r/>
            <w:r>
              <w:rPr>
                <w:rFonts w:ascii="Aptos" w:hAnsi="Aptos"/>
                <w:b w:val="0"/>
                <w:sz w:val="14"/>
              </w:rPr>
              <w:t>WRITTEN_EXPLANATION_IF_REQUESTED, CLOSED</w:t>
            </w:r>
          </w:p>
        </w:tc>
      </w:tr>
      <w:tr>
        <w:trPr>
          <w:cantSplit/>
        </w:trPr>
        <w:tc>
          <w:tcPr>
            <w:tcW w:type="dxa" w:w="3456"/>
            <w:vAlign w:val="center"/>
            <w:tcMar>
              <w:top w:w="55" w:type="dxa"/>
              <w:start w:w="70" w:type="dxa"/>
              <w:bottom w:w="55" w:type="dxa"/>
              <w:end w:w="70" w:type="dxa"/>
            </w:tcMar>
            <w:shd w:fill="F2F2F2"/>
          </w:tcPr>
          <w:p>
            <w:pPr>
              <w:jc w:val="left"/>
            </w:pPr>
            <w:r/>
            <w:r>
              <w:rPr>
                <w:rFonts w:ascii="Aptos" w:hAnsi="Aptos"/>
                <w:b w:val="0"/>
                <w:sz w:val="14"/>
              </w:rPr>
              <w:t>READY_TO_PRODUCE</w:t>
            </w:r>
          </w:p>
        </w:tc>
        <w:tc>
          <w:tcPr>
            <w:tcW w:type="dxa" w:w="3456"/>
            <w:vAlign w:val="center"/>
            <w:tcMar>
              <w:top w:w="55" w:type="dxa"/>
              <w:start w:w="70" w:type="dxa"/>
              <w:bottom w:w="55" w:type="dxa"/>
              <w:end w:w="70" w:type="dxa"/>
            </w:tcMar>
            <w:shd w:fill="F2F2F2"/>
          </w:tcPr>
          <w:p>
            <w:pPr>
              <w:jc w:val="left"/>
            </w:pPr>
            <w:r/>
            <w:r>
              <w:rPr>
                <w:rFonts w:ascii="Aptos" w:hAnsi="Aptos"/>
                <w:b w:val="0"/>
                <w:sz w:val="14"/>
              </w:rPr>
              <w:t>Records approved</w:t>
            </w:r>
          </w:p>
        </w:tc>
        <w:tc>
          <w:tcPr>
            <w:tcW w:type="dxa" w:w="3456"/>
            <w:vAlign w:val="center"/>
            <w:tcMar>
              <w:top w:w="55" w:type="dxa"/>
              <w:start w:w="70" w:type="dxa"/>
              <w:bottom w:w="55" w:type="dxa"/>
              <w:end w:w="70" w:type="dxa"/>
            </w:tcMar>
            <w:shd w:fill="F2F2F2"/>
          </w:tcPr>
          <w:p>
            <w:pPr>
              <w:jc w:val="left"/>
            </w:pPr>
            <w:r/>
            <w:r>
              <w:rPr>
                <w:rFonts w:ascii="Aptos" w:hAnsi="Aptos"/>
                <w:b w:val="0"/>
                <w:sz w:val="14"/>
              </w:rPr>
              <w:t>PAYMENT_DUE, DELIVERED</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4"/>
              </w:rPr>
              <w:t>CLOSED</w:t>
            </w:r>
          </w:p>
        </w:tc>
        <w:tc>
          <w:tcPr>
            <w:tcW w:type="dxa" w:w="3456"/>
            <w:vAlign w:val="center"/>
            <w:tcMar>
              <w:top w:w="55" w:type="dxa"/>
              <w:start w:w="70" w:type="dxa"/>
              <w:bottom w:w="55" w:type="dxa"/>
              <w:end w:w="70" w:type="dxa"/>
            </w:tcMar>
          </w:tcPr>
          <w:p>
            <w:pPr>
              <w:jc w:val="left"/>
            </w:pPr>
            <w:r/>
            <w:r>
              <w:rPr>
                <w:rFonts w:ascii="Aptos" w:hAnsi="Aptos"/>
                <w:b w:val="0"/>
                <w:sz w:val="14"/>
              </w:rPr>
              <w:t>Delivered, online fulfilled, valid denial, or no existing record</w:t>
            </w:r>
          </w:p>
        </w:tc>
        <w:tc>
          <w:tcPr>
            <w:tcW w:type="dxa" w:w="3456"/>
            <w:vAlign w:val="center"/>
            <w:tcMar>
              <w:top w:w="55" w:type="dxa"/>
              <w:start w:w="70" w:type="dxa"/>
              <w:bottom w:w="55" w:type="dxa"/>
              <w:end w:w="70" w:type="dxa"/>
            </w:tcMar>
          </w:tcPr>
          <w:p>
            <w:pPr>
              <w:jc w:val="left"/>
            </w:pPr>
            <w:r/>
            <w:r>
              <w:rPr>
                <w:rFonts w:ascii="Aptos" w:hAnsi="Aptos"/>
                <w:b w:val="0"/>
                <w:sz w:val="14"/>
              </w:rPr>
              <w:t>Terminal with promptness audit metrics</w:t>
            </w:r>
          </w:p>
        </w:tc>
      </w:tr>
    </w:tbl>
    <w:p>
      <w:pPr>
        <w:spacing w:after="20"/>
      </w:pPr>
    </w:p>
    <w:p>
      <w:pPr>
        <w:pStyle w:val="Heading1"/>
      </w:pPr>
      <w:r>
        <w:t>13. Unresolved Questions and Local-Policy Decisions</w:t>
      </w:r>
    </w:p>
    <w:p>
      <w:pPr>
        <w:pStyle w:val="ListBullet"/>
        <w:spacing w:after="30"/>
      </w:pPr>
      <w:r>
        <w:t>Numeric internal service targets needed to operationalize “as promptly as possible” without presenting them as state law.</w:t>
      </w:r>
    </w:p>
    <w:p>
      <w:pPr>
        <w:pStyle w:val="ListBullet"/>
        <w:spacing w:after="30"/>
      </w:pPr>
      <w:r>
        <w:t>Local criteria and approval process for determining “extensive” IT or clerical/supervisory assistance.</w:t>
      </w:r>
    </w:p>
    <w:p>
      <w:pPr>
        <w:pStyle w:val="ListBullet"/>
        <w:spacing w:after="30"/>
      </w:pPr>
      <w:r>
        <w:t>Whether and how the city gives advance estimates, requests deposits, or awaits acceptance for a special service charge.</w:t>
      </w:r>
    </w:p>
    <w:p>
      <w:pPr>
        <w:pStyle w:val="ListBullet"/>
        <w:spacing w:after="30"/>
      </w:pPr>
      <w:r>
        <w:t>Written-denial template for ordinary non-database requests, where the general statute is less prescriptive.</w:t>
      </w:r>
    </w:p>
    <w:p>
      <w:pPr>
        <w:pStyle w:val="ListBullet"/>
        <w:spacing w:after="30"/>
      </w:pPr>
      <w:r>
        <w:t>How city-specific statutes or fee schedules override the Chapter 132 general fee rules for particular records.</w:t>
      </w:r>
    </w:p>
    <w:p>
      <w:pPr>
        <w:pStyle w:val="Heading1"/>
      </w:pPr>
      <w:r>
        <w:t>14. Suggestions Discovered During This State Review</w:t>
      </w:r>
    </w:p>
    <w:p>
      <w:pPr>
        <w:pStyle w:val="ListBullet"/>
        <w:spacing w:after="30"/>
      </w:pPr>
      <w:r>
        <w:t>A legal fee trigger can exist without a separate legal deadline track; the engine should not equate “extensive resource use” with “complex request” timing.</w:t>
      </w:r>
    </w:p>
    <w:p>
      <w:pPr>
        <w:pStyle w:val="ListBullet"/>
        <w:spacing w:after="30"/>
      </w:pPr>
      <w:r>
        <w:t>Billability must be activity-specific: North Carolina requires the agency to bear confidentiality-separation costs even though other extensive clerical work may be chargeable.</w:t>
      </w:r>
    </w:p>
    <w:p>
      <w:pPr>
        <w:pStyle w:val="ListBullet"/>
        <w:spacing w:after="30"/>
      </w:pPr>
      <w:r>
        <w:t>Qualitative timing states need local performance targets while preserving the original legal standard in notices and audit reports.</w:t>
      </w:r>
    </w:p>
    <w:p>
      <w:pPr>
        <w:pStyle w:val="Heading1"/>
      </w:pPr>
      <w:r>
        <w:t>15. Primary Sources</w:t>
      </w:r>
    </w:p>
    <w:p>
      <w:pPr>
        <w:spacing w:after="40"/>
      </w:pPr>
      <w:r>
        <w:rPr>
          <w:b/>
        </w:rPr>
        <w:t>North Carolina General Statutes Chapter 132</w:t>
      </w:r>
      <w:r>
        <w:t xml:space="preserve"> - Current public-records statutes, including §§ 132-1, 132-6, 132-6.1, and 132-6.2.</w:t>
        <w:br/>
        <w:t>https://www.ncleg.gov/EnactedLegislation/Statutes/HTML/ByChapter/Chapter_132.html</w:t>
      </w:r>
    </w:p>
    <w:p>
      <w:pPr>
        <w:spacing w:after="40"/>
      </w:pPr>
      <w:r>
        <w:rPr>
          <w:b/>
        </w:rPr>
        <w:t>North Carolina General Statutes chapter index</w:t>
      </w:r>
      <w:r>
        <w:t xml:space="preserve"> - Official section-by-section access to Chapter 132.</w:t>
        <w:br/>
        <w:t>https://www.ncleg.gov/Laws/GeneralStatuteSections/Chapter132</w:t>
      </w:r>
    </w:p>
    <w:p>
      <w:pPr>
        <w:spacing w:after="40"/>
      </w:pPr>
      <w:r>
        <w:rPr>
          <w:b/>
        </w:rPr>
        <w:t>North Carolina Department of Justice Open Government resources</w:t>
      </w:r>
      <w:r>
        <w:t xml:space="preserve"> - Official guidance and education resource; statute controls.</w:t>
        <w:br/>
        <w:t>https://ncdoj.gov/protecting-your-family/open-government/</w:t>
      </w:r>
    </w:p>
    <w:sectPr w:rsidR="00FC693F" w:rsidRPr="0006063C" w:rsidSect="00034616">
      <w:headerReference w:type="default" r:id="rId9"/>
      <w:footerReference w:type="default" r:id="rId10"/>
      <w:pgSz w:w="12240" w:h="15840"/>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5"/>
      </w:rPr>
      <w:t>Initial-processing legal workflow and software configuration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2F5597"/>
        <w:sz w:val="15"/>
      </w:rPr>
      <w:t>North Carolina | National Open Records Workflow Schema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 Carolina Public Records Workflow</dc:title>
  <dc:subject>Initial processing reverse-engineered into software configuration requirements</dc:subject>
  <dc:creator>OpenAI</dc:creator>
  <cp:keywords>public records, open records, city workflow, software configuration</cp:keywords>
  <dc:description>generated by python-docx</dc:description>
  <cp:lastModifiedBy/>
  <cp:revision>1</cp:revision>
  <dcterms:created xsi:type="dcterms:W3CDTF">2013-12-23T23:15:00Z</dcterms:created>
  <dcterms:modified xsi:type="dcterms:W3CDTF">2013-12-23T23:15:00Z</dcterms:modified>
  <cp:category/>
</cp:coreProperties>
</file>