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New Jersey Public Records Workflow</w:t>
      </w:r>
    </w:p>
    <w:p>
      <w:pPr>
        <w:spacing w:after="160"/>
        <w:jc w:val="center"/>
      </w:pPr>
      <w:r>
        <w:rPr>
          <w:rFonts w:ascii="Aptos Display" w:hAnsi="Aptos Display"/>
          <w:b/>
          <w:color w:val="2F5597"/>
          <w:sz w:val="23"/>
        </w:rPr>
        <w:t>Reverse Engineering of Initial Processing into Software Configuration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55" w:type="dxa"/>
              <w:start w:w="70" w:type="dxa"/>
              <w:bottom w:w="55" w:type="dxa"/>
              <w:end w:w="70" w:type="dxa"/>
            </w:tcMar>
            <w:shd w:fill="D9EAF7"/>
          </w:tcPr>
          <w:p>
            <w:pPr>
              <w:jc w:val="center"/>
            </w:pPr>
            <w:r/>
            <w:r>
              <w:rPr>
                <w:rFonts w:ascii="Aptos" w:hAnsi="Aptos"/>
                <w:b/>
                <w:sz w:val="15"/>
              </w:rPr>
              <w:t>Primary law</w:t>
            </w:r>
          </w:p>
        </w:tc>
        <w:tc>
          <w:tcPr>
            <w:tcW w:type="dxa" w:w="2592"/>
            <w:vAlign w:val="center"/>
            <w:tcMar>
              <w:top w:w="55" w:type="dxa"/>
              <w:start w:w="70" w:type="dxa"/>
              <w:bottom w:w="55" w:type="dxa"/>
              <w:end w:w="70" w:type="dxa"/>
            </w:tcMar>
            <w:shd w:fill="FFFFFF"/>
          </w:tcPr>
          <w:p>
            <w:pPr>
              <w:jc w:val="center"/>
            </w:pPr>
            <w:r/>
            <w:r>
              <w:rPr>
                <w:rFonts w:ascii="Aptos" w:hAnsi="Aptos"/>
                <w:b w:val="0"/>
                <w:sz w:val="15"/>
              </w:rPr>
              <w:t>Open Public Records Act (OPRA), N.J.S.A. 47:1A-1 et seq., as amended by P.L. 2024, c.16</w:t>
            </w:r>
          </w:p>
        </w:tc>
        <w:tc>
          <w:tcPr>
            <w:tcW w:type="dxa" w:w="2592"/>
            <w:vAlign w:val="center"/>
            <w:tcMar>
              <w:top w:w="55" w:type="dxa"/>
              <w:start w:w="70" w:type="dxa"/>
              <w:bottom w:w="55" w:type="dxa"/>
              <w:end w:w="70" w:type="dxa"/>
            </w:tcMar>
            <w:shd w:fill="D9EAF7"/>
          </w:tcPr>
          <w:p>
            <w:pPr>
              <w:jc w:val="center"/>
            </w:pPr>
            <w:r/>
            <w:r>
              <w:rPr>
                <w:rFonts w:ascii="Aptos" w:hAnsi="Aptos"/>
                <w:b/>
                <w:sz w:val="15"/>
              </w:rPr>
              <w:t>Research current through</w:t>
            </w:r>
          </w:p>
        </w:tc>
        <w:tc>
          <w:tcPr>
            <w:tcW w:type="dxa" w:w="2592"/>
            <w:vAlign w:val="center"/>
            <w:tcMar>
              <w:top w:w="55" w:type="dxa"/>
              <w:start w:w="70" w:type="dxa"/>
              <w:bottom w:w="55" w:type="dxa"/>
              <w:end w:w="70" w:type="dxa"/>
            </w:tcMar>
            <w:shd w:fill="FFFFFF"/>
          </w:tcPr>
          <w:p>
            <w:pPr>
              <w:jc w:val="center"/>
            </w:pPr>
            <w:r/>
            <w:r>
              <w:rPr>
                <w:rFonts w:ascii="Aptos" w:hAnsi="Aptos"/>
                <w:b w:val="0"/>
                <w:sz w:val="15"/>
              </w:rPr>
              <w:t>July 22, 2026</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Applicability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Cities and municipal custodians</w:t>
            </w:r>
          </w:p>
        </w:tc>
        <w:tc>
          <w:tcPr>
            <w:tcW w:type="dxa" w:w="2592"/>
            <w:vAlign w:val="center"/>
            <w:tcMar>
              <w:top w:w="55" w:type="dxa"/>
              <w:start w:w="70" w:type="dxa"/>
              <w:bottom w:w="55" w:type="dxa"/>
              <w:end w:w="70" w:type="dxa"/>
            </w:tcMar>
            <w:shd w:fill="D9EAF7"/>
          </w:tcPr>
          <w:p>
            <w:pPr>
              <w:jc w:val="center"/>
            </w:pPr>
            <w:r/>
            <w:r>
              <w:rPr>
                <w:rFonts w:ascii="Aptos" w:hAnsi="Aptos"/>
                <w:b/>
                <w:sz w:val="15"/>
              </w:rPr>
              <w:t>Methodology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Fixed 50-state tracker v1.0</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Document status</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Completed pilot analysis</w:t>
            </w:r>
          </w:p>
        </w:tc>
        <w:tc>
          <w:tcPr>
            <w:tcW w:type="dxa" w:w="2592"/>
            <w:vAlign w:val="center"/>
            <w:tcMar>
              <w:top w:w="55" w:type="dxa"/>
              <w:start w:w="70" w:type="dxa"/>
              <w:bottom w:w="55" w:type="dxa"/>
              <w:end w:w="70" w:type="dxa"/>
            </w:tcMar>
            <w:shd w:fill="D9EAF7"/>
          </w:tcPr>
          <w:p>
            <w:pPr>
              <w:jc w:val="center"/>
            </w:pPr>
            <w:r/>
            <w:r>
              <w:rPr>
                <w:rFonts w:ascii="Aptos" w:hAnsi="Aptos"/>
                <w:b/>
                <w:sz w:val="15"/>
              </w:rPr>
              <w:t>Legal effect</w:t>
            </w:r>
          </w:p>
        </w:tc>
        <w:tc>
          <w:tcPr>
            <w:tcW w:type="dxa" w:w="2592"/>
            <w:vAlign w:val="center"/>
            <w:tcMar>
              <w:top w:w="55" w:type="dxa"/>
              <w:start w:w="70" w:type="dxa"/>
              <w:bottom w:w="55" w:type="dxa"/>
              <w:end w:w="70" w:type="dxa"/>
            </w:tcMar>
            <w:shd w:fill="FFFFFF"/>
          </w:tcPr>
          <w:p>
            <w:pPr>
              <w:jc w:val="center"/>
            </w:pPr>
            <w:r/>
            <w:r>
              <w:rPr>
                <w:rFonts w:ascii="Aptos" w:hAnsi="Aptos"/>
                <w:b w:val="0"/>
                <w:sz w:val="15"/>
              </w:rPr>
              <w:t>Research/design aid; not legal advice</w:t>
            </w:r>
          </w:p>
        </w:tc>
      </w:tr>
    </w:tbl>
    <w:p/>
    <w:p>
      <w:pPr>
        <w:pStyle w:val="Heading1"/>
      </w:pPr>
      <w:r>
        <w:t>1. Executive Summary and Applicability to Cities</w:t>
      </w:r>
    </w:p>
    <w:p>
      <w:r>
        <w:t>New Jersey has one of the most differentiated initial-processing frameworks in the sample. A complete request must reach the records custodian and generally must be granted or denied as soon as possible, but no later than seven business days. Different tracks apply to immediate-access records, commercial-purpose requests, Daniel’s Law review, certain election records, archived/storage records, reasonable extensions, online fulfillment, clarification, substantial disruption, and special service charges.</w:t>
      </w:r>
    </w:p>
    <w:p>
      <w:r>
        <w:rPr>
          <w:b/>
        </w:rPr>
        <w:t>Software bottom line:</w:t>
      </w:r>
      <w:r>
        <w:t xml:space="preserve"> OPRA requires a configurable state machine rather than one deadline field. The intake engine must validate the adopted form or complete written equivalent and must anchor receipt to the custodian. It must classify purpose and record type before selecting the timer. A written clarification request sent within the applicable response period stops the timer, and after clarification the applicable statutory period begins anew. Broad/unclear requests may instead be denied. Fee estimates and requester agreement are mandatory before incurring a special service charge, and a reproduction-cost deposit may be required when anticipated cost exceeds $5.</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5"/>
              </w:rPr>
              <w:t>Authority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Type / applicability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Workflow significance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N.J.S.A. 47:1A-5</w:t>
            </w:r>
          </w:p>
        </w:tc>
        <w:tc>
          <w:tcPr>
            <w:tcW w:type="dxa" w:w="3456"/>
            <w:vAlign w:val="center"/>
            <w:tcMar>
              <w:top w:w="55" w:type="dxa"/>
              <w:start w:w="70" w:type="dxa"/>
              <w:bottom w:w="55" w:type="dxa"/>
              <w:end w:w="70" w:type="dxa"/>
            </w:tcMar>
          </w:tcPr>
          <w:p>
            <w:pPr>
              <w:jc w:val="left"/>
            </w:pPr>
            <w:r/>
            <w:r>
              <w:rPr>
                <w:rFonts w:ascii="Aptos" w:hAnsi="Aptos"/>
                <w:b w:val="0"/>
                <w:sz w:val="15"/>
              </w:rPr>
              <w:t>Statute; public agencies include municipalities</w:t>
            </w:r>
          </w:p>
        </w:tc>
        <w:tc>
          <w:tcPr>
            <w:tcW w:type="dxa" w:w="3456"/>
            <w:vAlign w:val="center"/>
            <w:tcMar>
              <w:top w:w="55" w:type="dxa"/>
              <w:start w:w="70" w:type="dxa"/>
              <w:bottom w:w="55" w:type="dxa"/>
              <w:end w:w="70" w:type="dxa"/>
            </w:tcMar>
          </w:tcPr>
          <w:p>
            <w:pPr>
              <w:jc w:val="left"/>
            </w:pPr>
            <w:r/>
            <w:r>
              <w:rPr>
                <w:rFonts w:ascii="Aptos" w:hAnsi="Aptos"/>
                <w:b w:val="0"/>
                <w:sz w:val="15"/>
              </w:rPr>
              <w:t>Request form/equivalent, receipt/custodian, response tracks, denial, extensions, substantial disruption, fees, deposits, online access.</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N.J.S.A. 47:1A-5.3</w:t>
            </w:r>
          </w:p>
        </w:tc>
        <w:tc>
          <w:tcPr>
            <w:tcW w:type="dxa" w:w="3456"/>
            <w:vAlign w:val="center"/>
            <w:tcMar>
              <w:top w:w="55" w:type="dxa"/>
              <w:start w:w="70" w:type="dxa"/>
              <w:bottom w:w="55" w:type="dxa"/>
              <w:end w:w="70" w:type="dxa"/>
            </w:tcMar>
            <w:shd w:fill="F2F2F2"/>
          </w:tcPr>
          <w:p>
            <w:pPr>
              <w:jc w:val="left"/>
            </w:pPr>
            <w:r/>
            <w:r>
              <w:rPr>
                <w:rFonts w:ascii="Aptos" w:hAnsi="Aptos"/>
                <w:b w:val="0"/>
                <w:sz w:val="15"/>
              </w:rPr>
              <w:t>Statute; specified election records</w:t>
            </w:r>
          </w:p>
        </w:tc>
        <w:tc>
          <w:tcPr>
            <w:tcW w:type="dxa" w:w="3456"/>
            <w:vAlign w:val="center"/>
            <w:tcMar>
              <w:top w:w="55" w:type="dxa"/>
              <w:start w:w="70" w:type="dxa"/>
              <w:bottom w:w="55" w:type="dxa"/>
              <w:end w:w="70" w:type="dxa"/>
            </w:tcMar>
            <w:shd w:fill="F2F2F2"/>
          </w:tcPr>
          <w:p>
            <w:pPr>
              <w:jc w:val="left"/>
            </w:pPr>
            <w:r/>
            <w:r>
              <w:rPr>
                <w:rFonts w:ascii="Aptos" w:hAnsi="Aptos"/>
                <w:b w:val="0"/>
                <w:sz w:val="15"/>
              </w:rPr>
              <w:t>Immediate/two-business-day election-record track.</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P.L. 2024, c.16</w:t>
            </w:r>
          </w:p>
        </w:tc>
        <w:tc>
          <w:tcPr>
            <w:tcW w:type="dxa" w:w="3456"/>
            <w:vAlign w:val="center"/>
            <w:tcMar>
              <w:top w:w="55" w:type="dxa"/>
              <w:start w:w="70" w:type="dxa"/>
              <w:bottom w:w="55" w:type="dxa"/>
              <w:end w:w="70" w:type="dxa"/>
            </w:tcMar>
          </w:tcPr>
          <w:p>
            <w:pPr>
              <w:jc w:val="left"/>
            </w:pPr>
            <w:r/>
            <w:r>
              <w:rPr>
                <w:rFonts w:ascii="Aptos" w:hAnsi="Aptos"/>
                <w:b w:val="0"/>
                <w:sz w:val="15"/>
              </w:rPr>
              <w:t>Amendment effective September 3, 2024</w:t>
            </w:r>
          </w:p>
        </w:tc>
        <w:tc>
          <w:tcPr>
            <w:tcW w:type="dxa" w:w="3456"/>
            <w:vAlign w:val="center"/>
            <w:tcMar>
              <w:top w:w="55" w:type="dxa"/>
              <w:start w:w="70" w:type="dxa"/>
              <w:bottom w:w="55" w:type="dxa"/>
              <w:end w:w="70" w:type="dxa"/>
            </w:tcMar>
          </w:tcPr>
          <w:p>
            <w:pPr>
              <w:jc w:val="left"/>
            </w:pPr>
            <w:r/>
            <w:r>
              <w:rPr>
                <w:rFonts w:ascii="Aptos" w:hAnsi="Aptos"/>
                <w:b w:val="0"/>
                <w:sz w:val="15"/>
              </w:rPr>
              <w:t>Commercial-purpose, Daniel’s Law, form, communication-request, online-access, and other revised rules.</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Government Records Council readable OPRA and Citizen’s Guide</w:t>
            </w:r>
          </w:p>
        </w:tc>
        <w:tc>
          <w:tcPr>
            <w:tcW w:type="dxa" w:w="3456"/>
            <w:vAlign w:val="center"/>
            <w:tcMar>
              <w:top w:w="55" w:type="dxa"/>
              <w:start w:w="70" w:type="dxa"/>
              <w:bottom w:w="55" w:type="dxa"/>
              <w:end w:w="70" w:type="dxa"/>
            </w:tcMar>
            <w:shd w:fill="F2F2F2"/>
          </w:tcPr>
          <w:p>
            <w:pPr>
              <w:jc w:val="left"/>
            </w:pPr>
            <w:r/>
            <w:r>
              <w:rPr>
                <w:rFonts w:ascii="Aptos" w:hAnsi="Aptos"/>
                <w:b w:val="0"/>
                <w:sz w:val="15"/>
              </w:rPr>
              <w:t>Official statutory compilation/guidance</w:t>
            </w:r>
          </w:p>
        </w:tc>
        <w:tc>
          <w:tcPr>
            <w:tcW w:type="dxa" w:w="3456"/>
            <w:vAlign w:val="center"/>
            <w:tcMar>
              <w:top w:w="55" w:type="dxa"/>
              <w:start w:w="70" w:type="dxa"/>
              <w:bottom w:w="55" w:type="dxa"/>
              <w:end w:w="70" w:type="dxa"/>
            </w:tcMar>
            <w:shd w:fill="F2F2F2"/>
          </w:tcPr>
          <w:p>
            <w:pPr>
              <w:jc w:val="left"/>
            </w:pPr>
            <w:r/>
            <w:r>
              <w:rPr>
                <w:rFonts w:ascii="Aptos" w:hAnsi="Aptos"/>
                <w:b w:val="0"/>
                <w:sz w:val="15"/>
              </w:rPr>
              <w:t>Clarification workflow, clock stop/restart, examples, fee/deposit practices, response templates.</w:t>
            </w:r>
          </w:p>
        </w:tc>
      </w:tr>
    </w:tbl>
    <w:p>
      <w:pPr>
        <w:spacing w:after="20"/>
      </w:pPr>
    </w:p>
    <w:p>
      <w:pPr>
        <w:pStyle w:val="Heading1"/>
      </w:pPr>
      <w:r>
        <w:t>3. Human-Readable Initial-Processing Workflow</w:t>
      </w:r>
    </w:p>
    <w:p>
      <w:pPr>
        <w:pStyle w:val="ListNumber"/>
        <w:spacing w:after="40"/>
      </w:pPr>
      <w:r>
        <w:t>Record receipt by the records custodian. If another employee receives the submission, the employee must forward it to the custodian or direct the requester to the custodian; the request is not considered submitted until the custodian receives it.</w:t>
      </w:r>
    </w:p>
    <w:p>
      <w:pPr>
        <w:pStyle w:val="ListNumber"/>
        <w:spacing w:after="40"/>
      </w:pPr>
      <w:r>
        <w:t>Validate the adopted GRC form or a complete letter/email equivalent containing all required information. Do not reject an otherwise complete anonymous request merely because it is anonymous, though anonymous requesters cannot institute statutory proceedings.</w:t>
      </w:r>
    </w:p>
    <w:p>
      <w:pPr>
        <w:pStyle w:val="ListNumber"/>
        <w:spacing w:after="40"/>
      </w:pPr>
      <w:r>
        <w:t>Validate any commercial-purpose certification and identify whether special request categories apply: immediate-access record, commercial purpose, Daniel’s Law review, certain election records, storage/archive, website-available record, or ordinary seven-day request.</w:t>
      </w:r>
    </w:p>
    <w:p>
      <w:pPr>
        <w:pStyle w:val="ListNumber"/>
        <w:spacing w:after="40"/>
      </w:pPr>
      <w:r>
        <w:t>For correspondence, emails, texts, or social-media communications, validate specific job title/accounts, a specific subject matter, and a reasonable time period. If invalid, deny or seek clarification.</w:t>
      </w:r>
    </w:p>
    <w:p>
      <w:pPr>
        <w:pStyle w:val="ListNumber"/>
        <w:spacing w:after="40"/>
      </w:pPr>
      <w:r>
        <w:t>Select the applicable deadline track. Provide a written response that grants access, denies access, seeks clarification, or requests a specific extension.</w:t>
      </w:r>
    </w:p>
    <w:p>
      <w:pPr>
        <w:pStyle w:val="ListNumber"/>
        <w:spacing w:after="40"/>
      </w:pPr>
      <w:r>
        <w:t>If clarification is chosen, send it in writing within seven business days (or the applicable response period). Stop the timer until response; when clarification arrives, begin the applicable statutory response period anew.</w:t>
      </w:r>
    </w:p>
    <w:p>
      <w:pPr>
        <w:pStyle w:val="ListNumber"/>
        <w:spacing w:after="40"/>
      </w:pPr>
      <w:r>
        <w:t>If the request would substantially disrupt operations, inform the requester of the potential disruption and attempt a reasonable solution before denying.</w:t>
      </w:r>
    </w:p>
    <w:p>
      <w:pPr>
        <w:pStyle w:val="ListNumber"/>
        <w:spacing w:after="40"/>
      </w:pPr>
      <w:r>
        <w:t>If records are in storage/archive, notify within the applicable initial period and set an access date no later than 21 business days from the notice. For unforeseen/necessary circumstances, give a reasonable extension and anticipated date.</w:t>
      </w:r>
    </w:p>
    <w:p>
      <w:pPr>
        <w:pStyle w:val="ListNumber"/>
        <w:spacing w:after="40"/>
      </w:pPr>
      <w:r>
        <w:t>Assess ordinary reproduction fees, deposits, format-conversion costs, and potential special service charges. Before incurring a special service charge, send an explanation and itemized estimate and allow the requester to object.</w:t>
      </w:r>
    </w:p>
    <w:p>
      <w:pPr>
        <w:pStyle w:val="ListNumber"/>
        <w:spacing w:after="40"/>
      </w:pPr>
      <w:r>
        <w:t>Produce nonexempt portions and state specific denial reasons on the request form/response. Close only after production, valid denial, deemed fulfillment under the website process, requester action, or another recognized terminal event.</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or branch</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Deadline / timing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What must be communicated or completed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Clock effect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Complete ordinary request received by custodian</w:t>
            </w:r>
          </w:p>
        </w:tc>
        <w:tc>
          <w:tcPr>
            <w:tcW w:type="dxa" w:w="2592"/>
            <w:vAlign w:val="center"/>
            <w:tcMar>
              <w:top w:w="55" w:type="dxa"/>
              <w:start w:w="70" w:type="dxa"/>
              <w:bottom w:w="55" w:type="dxa"/>
              <w:end w:w="70" w:type="dxa"/>
            </w:tcMar>
          </w:tcPr>
          <w:p>
            <w:pPr>
              <w:jc w:val="left"/>
            </w:pPr>
            <w:r/>
            <w:r>
              <w:rPr>
                <w:rFonts w:ascii="Aptos" w:hAnsi="Aptos"/>
                <w:b w:val="0"/>
                <w:sz w:val="14"/>
              </w:rPr>
              <w:t>As soon as possible, no later than seven business days; day one is next business day</w:t>
            </w:r>
          </w:p>
        </w:tc>
        <w:tc>
          <w:tcPr>
            <w:tcW w:type="dxa" w:w="2592"/>
            <w:vAlign w:val="center"/>
            <w:tcMar>
              <w:top w:w="55" w:type="dxa"/>
              <w:start w:w="70" w:type="dxa"/>
              <w:bottom w:w="55" w:type="dxa"/>
              <w:end w:w="70" w:type="dxa"/>
            </w:tcMar>
          </w:tcPr>
          <w:p>
            <w:pPr>
              <w:jc w:val="left"/>
            </w:pPr>
            <w:r/>
            <w:r>
              <w:rPr>
                <w:rFonts w:ascii="Aptos" w:hAnsi="Aptos"/>
                <w:b w:val="0"/>
                <w:sz w:val="14"/>
              </w:rPr>
              <w:t>Grant, deny, seek clarification, or request extension in writing.</w:t>
            </w:r>
          </w:p>
        </w:tc>
        <w:tc>
          <w:tcPr>
            <w:tcW w:type="dxa" w:w="2592"/>
            <w:vAlign w:val="center"/>
            <w:tcMar>
              <w:top w:w="55" w:type="dxa"/>
              <w:start w:w="70" w:type="dxa"/>
              <w:bottom w:w="55" w:type="dxa"/>
              <w:end w:w="70" w:type="dxa"/>
            </w:tcMar>
          </w:tcPr>
          <w:p>
            <w:pPr>
              <w:jc w:val="left"/>
            </w:pPr>
            <w:r/>
            <w:r>
              <w:rPr>
                <w:rFonts w:ascii="Aptos" w:hAnsi="Aptos"/>
                <w:b w:val="0"/>
                <w:sz w:val="14"/>
              </w:rPr>
              <w:t>Clock starts only on custodian receipt of complete request.</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Commercial-purpose request</w:t>
            </w:r>
          </w:p>
        </w:tc>
        <w:tc>
          <w:tcPr>
            <w:tcW w:type="dxa" w:w="2592"/>
            <w:vAlign w:val="center"/>
            <w:tcMar>
              <w:top w:w="55" w:type="dxa"/>
              <w:start w:w="70" w:type="dxa"/>
              <w:bottom w:w="55" w:type="dxa"/>
              <w:end w:w="70" w:type="dxa"/>
            </w:tcMar>
            <w:shd w:fill="F2F2F2"/>
          </w:tcPr>
          <w:p>
            <w:pPr>
              <w:jc w:val="left"/>
            </w:pPr>
            <w:r/>
            <w:r>
              <w:rPr>
                <w:rFonts w:ascii="Aptos" w:hAnsi="Aptos"/>
                <w:b w:val="0"/>
                <w:sz w:val="14"/>
              </w:rPr>
              <w:t>Fourteen business days; notify additional time within seven</w:t>
            </w:r>
          </w:p>
        </w:tc>
        <w:tc>
          <w:tcPr>
            <w:tcW w:type="dxa" w:w="2592"/>
            <w:vAlign w:val="center"/>
            <w:tcMar>
              <w:top w:w="55" w:type="dxa"/>
              <w:start w:w="70" w:type="dxa"/>
              <w:bottom w:w="55" w:type="dxa"/>
              <w:end w:w="70" w:type="dxa"/>
            </w:tcMar>
            <w:shd w:fill="F2F2F2"/>
          </w:tcPr>
          <w:p>
            <w:pPr>
              <w:jc w:val="left"/>
            </w:pPr>
            <w:r/>
            <w:r>
              <w:rPr>
                <w:rFonts w:ascii="Aptos" w:hAnsi="Aptos"/>
                <w:b w:val="0"/>
                <w:sz w:val="14"/>
              </w:rPr>
              <w:t>Grant/deny; requester may pay up to 2x production cost for seven-day response.</w:t>
            </w:r>
          </w:p>
        </w:tc>
        <w:tc>
          <w:tcPr>
            <w:tcW w:type="dxa" w:w="2592"/>
            <w:vAlign w:val="center"/>
            <w:tcMar>
              <w:top w:w="55" w:type="dxa"/>
              <w:start w:w="70" w:type="dxa"/>
              <w:bottom w:w="55" w:type="dxa"/>
              <w:end w:w="70" w:type="dxa"/>
            </w:tcMar>
            <w:shd w:fill="F2F2F2"/>
          </w:tcPr>
          <w:p>
            <w:pPr>
              <w:jc w:val="left"/>
            </w:pPr>
            <w:r/>
            <w:r>
              <w:rPr>
                <w:rFonts w:ascii="Aptos" w:hAnsi="Aptos"/>
                <w:b w:val="0"/>
                <w:sz w:val="14"/>
              </w:rPr>
              <w:t>Separate purpose-based timer.</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Daniel’s Law review required</w:t>
            </w:r>
          </w:p>
        </w:tc>
        <w:tc>
          <w:tcPr>
            <w:tcW w:type="dxa" w:w="2592"/>
            <w:vAlign w:val="center"/>
            <w:tcMar>
              <w:top w:w="55" w:type="dxa"/>
              <w:start w:w="70" w:type="dxa"/>
              <w:bottom w:w="55" w:type="dxa"/>
              <w:end w:w="70" w:type="dxa"/>
            </w:tcMar>
          </w:tcPr>
          <w:p>
            <w:pPr>
              <w:jc w:val="left"/>
            </w:pPr>
            <w:r/>
            <w:r>
              <w:rPr>
                <w:rFonts w:ascii="Aptos" w:hAnsi="Aptos"/>
                <w:b w:val="0"/>
                <w:sz w:val="14"/>
              </w:rPr>
              <w:t>Fourteen business days; notify additional time within seven</w:t>
            </w:r>
          </w:p>
        </w:tc>
        <w:tc>
          <w:tcPr>
            <w:tcW w:type="dxa" w:w="2592"/>
            <w:vAlign w:val="center"/>
            <w:tcMar>
              <w:top w:w="55" w:type="dxa"/>
              <w:start w:w="70" w:type="dxa"/>
              <w:bottom w:w="55" w:type="dxa"/>
              <w:end w:w="70" w:type="dxa"/>
            </w:tcMar>
          </w:tcPr>
          <w:p>
            <w:pPr>
              <w:jc w:val="left"/>
            </w:pPr>
            <w:r/>
            <w:r>
              <w:rPr>
                <w:rFonts w:ascii="Aptos" w:hAnsi="Aptos"/>
                <w:b w:val="0"/>
                <w:sz w:val="14"/>
              </w:rPr>
              <w:t>Grant/deny after required review.</w:t>
            </w:r>
          </w:p>
        </w:tc>
        <w:tc>
          <w:tcPr>
            <w:tcW w:type="dxa" w:w="2592"/>
            <w:vAlign w:val="center"/>
            <w:tcMar>
              <w:top w:w="55" w:type="dxa"/>
              <w:start w:w="70" w:type="dxa"/>
              <w:bottom w:w="55" w:type="dxa"/>
              <w:end w:w="70" w:type="dxa"/>
            </w:tcMar>
          </w:tcPr>
          <w:p>
            <w:pPr>
              <w:jc w:val="left"/>
            </w:pPr>
            <w:r/>
            <w:r>
              <w:rPr>
                <w:rFonts w:ascii="Aptos" w:hAnsi="Aptos"/>
                <w:b w:val="0"/>
                <w:sz w:val="14"/>
              </w:rPr>
              <w:t>Separate record-review timer.</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Immediate-access records within 24 months</w:t>
            </w:r>
          </w:p>
        </w:tc>
        <w:tc>
          <w:tcPr>
            <w:tcW w:type="dxa" w:w="2592"/>
            <w:vAlign w:val="center"/>
            <w:tcMar>
              <w:top w:w="55" w:type="dxa"/>
              <w:start w:w="70" w:type="dxa"/>
              <w:bottom w:w="55" w:type="dxa"/>
              <w:end w:w="70" w:type="dxa"/>
            </w:tcMar>
            <w:shd w:fill="F2F2F2"/>
          </w:tcPr>
          <w:p>
            <w:pPr>
              <w:jc w:val="left"/>
            </w:pPr>
            <w:r/>
            <w:r>
              <w:rPr>
                <w:rFonts w:ascii="Aptos" w:hAnsi="Aptos"/>
                <w:b w:val="0"/>
                <w:sz w:val="14"/>
              </w:rPr>
              <w:t>Immediately</w:t>
            </w:r>
          </w:p>
        </w:tc>
        <w:tc>
          <w:tcPr>
            <w:tcW w:type="dxa" w:w="2592"/>
            <w:vAlign w:val="center"/>
            <w:tcMar>
              <w:top w:w="55" w:type="dxa"/>
              <w:start w:w="70" w:type="dxa"/>
              <w:bottom w:w="55" w:type="dxa"/>
              <w:end w:w="70" w:type="dxa"/>
            </w:tcMar>
            <w:shd w:fill="F2F2F2"/>
          </w:tcPr>
          <w:p>
            <w:pPr>
              <w:jc w:val="left"/>
            </w:pPr>
            <w:r/>
            <w:r>
              <w:rPr>
                <w:rFonts w:ascii="Aptos" w:hAnsi="Aptos"/>
                <w:b w:val="0"/>
                <w:sz w:val="14"/>
              </w:rPr>
              <w:t>Produce; if legitimate delay, immediately explain in writing and give anticipated date.</w:t>
            </w:r>
          </w:p>
        </w:tc>
        <w:tc>
          <w:tcPr>
            <w:tcW w:type="dxa" w:w="2592"/>
            <w:vAlign w:val="center"/>
            <w:tcMar>
              <w:top w:w="55" w:type="dxa"/>
              <w:start w:w="70" w:type="dxa"/>
              <w:bottom w:w="55" w:type="dxa"/>
              <w:end w:w="70" w:type="dxa"/>
            </w:tcMar>
            <w:shd w:fill="F2F2F2"/>
          </w:tcPr>
          <w:p>
            <w:pPr>
              <w:jc w:val="left"/>
            </w:pPr>
            <w:r/>
            <w:r>
              <w:rPr>
                <w:rFonts w:ascii="Aptos" w:hAnsi="Aptos"/>
                <w:b w:val="0"/>
                <w:sz w:val="14"/>
              </w:rPr>
              <w:t>Immediate qualitative timer.</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Specified election records</w:t>
            </w:r>
          </w:p>
        </w:tc>
        <w:tc>
          <w:tcPr>
            <w:tcW w:type="dxa" w:w="2592"/>
            <w:vAlign w:val="center"/>
            <w:tcMar>
              <w:top w:w="55" w:type="dxa"/>
              <w:start w:w="70" w:type="dxa"/>
              <w:bottom w:w="55" w:type="dxa"/>
              <w:end w:w="70" w:type="dxa"/>
            </w:tcMar>
          </w:tcPr>
          <w:p>
            <w:pPr>
              <w:jc w:val="left"/>
            </w:pPr>
            <w:r/>
            <w:r>
              <w:rPr>
                <w:rFonts w:ascii="Aptos" w:hAnsi="Aptos"/>
                <w:b w:val="0"/>
                <w:sz w:val="14"/>
              </w:rPr>
              <w:t>Immediate but no later than two business days</w:t>
            </w:r>
          </w:p>
        </w:tc>
        <w:tc>
          <w:tcPr>
            <w:tcW w:type="dxa" w:w="2592"/>
            <w:vAlign w:val="center"/>
            <w:tcMar>
              <w:top w:w="55" w:type="dxa"/>
              <w:start w:w="70" w:type="dxa"/>
              <w:bottom w:w="55" w:type="dxa"/>
              <w:end w:w="70" w:type="dxa"/>
            </w:tcMar>
          </w:tcPr>
          <w:p>
            <w:pPr>
              <w:jc w:val="left"/>
            </w:pPr>
            <w:r/>
            <w:r>
              <w:rPr>
                <w:rFonts w:ascii="Aptos" w:hAnsi="Aptos"/>
                <w:b w:val="0"/>
                <w:sz w:val="14"/>
              </w:rPr>
              <w:t>Produce/transmit as statute requires.</w:t>
            </w:r>
          </w:p>
        </w:tc>
        <w:tc>
          <w:tcPr>
            <w:tcW w:type="dxa" w:w="2592"/>
            <w:vAlign w:val="center"/>
            <w:tcMar>
              <w:top w:w="55" w:type="dxa"/>
              <w:start w:w="70" w:type="dxa"/>
              <w:bottom w:w="55" w:type="dxa"/>
              <w:end w:w="70" w:type="dxa"/>
            </w:tcMar>
          </w:tcPr>
          <w:p>
            <w:pPr>
              <w:jc w:val="left"/>
            </w:pPr>
            <w:r/>
            <w:r>
              <w:rPr>
                <w:rFonts w:ascii="Aptos" w:hAnsi="Aptos"/>
                <w:b w:val="0"/>
                <w:sz w:val="14"/>
              </w:rPr>
              <w:t>Special record-type timer.</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Clarification of broad/unclear request</w:t>
            </w:r>
          </w:p>
        </w:tc>
        <w:tc>
          <w:tcPr>
            <w:tcW w:type="dxa" w:w="2592"/>
            <w:vAlign w:val="center"/>
            <w:tcMar>
              <w:top w:w="55" w:type="dxa"/>
              <w:start w:w="70" w:type="dxa"/>
              <w:bottom w:w="55" w:type="dxa"/>
              <w:end w:w="70" w:type="dxa"/>
            </w:tcMar>
            <w:shd w:fill="F2F2F2"/>
          </w:tcPr>
          <w:p>
            <w:pPr>
              <w:jc w:val="left"/>
            </w:pPr>
            <w:r/>
            <w:r>
              <w:rPr>
                <w:rFonts w:ascii="Aptos" w:hAnsi="Aptos"/>
                <w:b w:val="0"/>
                <w:sz w:val="14"/>
              </w:rPr>
              <w:t>Written within seven business days/applicable response period</w:t>
            </w:r>
          </w:p>
        </w:tc>
        <w:tc>
          <w:tcPr>
            <w:tcW w:type="dxa" w:w="2592"/>
            <w:vAlign w:val="center"/>
            <w:tcMar>
              <w:top w:w="55" w:type="dxa"/>
              <w:start w:w="70" w:type="dxa"/>
              <w:bottom w:w="55" w:type="dxa"/>
              <w:end w:w="70" w:type="dxa"/>
            </w:tcMar>
            <w:shd w:fill="F2F2F2"/>
          </w:tcPr>
          <w:p>
            <w:pPr>
              <w:jc w:val="left"/>
            </w:pPr>
            <w:r/>
            <w:r>
              <w:rPr>
                <w:rFonts w:ascii="Aptos" w:hAnsi="Aptos"/>
                <w:b w:val="0"/>
                <w:sz w:val="14"/>
              </w:rPr>
              <w:t>Identify needed clarification.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Clock stops; upon clarification applicable period begins anew.</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Records in storage/archive</w:t>
            </w:r>
          </w:p>
        </w:tc>
        <w:tc>
          <w:tcPr>
            <w:tcW w:type="dxa" w:w="2592"/>
            <w:vAlign w:val="center"/>
            <w:tcMar>
              <w:top w:w="55" w:type="dxa"/>
              <w:start w:w="70" w:type="dxa"/>
              <w:bottom w:w="55" w:type="dxa"/>
              <w:end w:w="70" w:type="dxa"/>
            </w:tcMar>
          </w:tcPr>
          <w:p>
            <w:pPr>
              <w:jc w:val="left"/>
            </w:pPr>
            <w:r/>
            <w:r>
              <w:rPr>
                <w:rFonts w:ascii="Aptos" w:hAnsi="Aptos"/>
                <w:b w:val="0"/>
                <w:sz w:val="14"/>
              </w:rPr>
              <w:t>Notify within initial 7/14-day period; date no later than 21 business days from notice</w:t>
            </w:r>
          </w:p>
        </w:tc>
        <w:tc>
          <w:tcPr>
            <w:tcW w:type="dxa" w:w="2592"/>
            <w:vAlign w:val="center"/>
            <w:tcMar>
              <w:top w:w="55" w:type="dxa"/>
              <w:start w:w="70" w:type="dxa"/>
              <w:bottom w:w="55" w:type="dxa"/>
              <w:end w:w="70" w:type="dxa"/>
            </w:tcMar>
          </w:tcPr>
          <w:p>
            <w:pPr>
              <w:jc w:val="left"/>
            </w:pPr>
            <w:r/>
            <w:r>
              <w:rPr>
                <w:rFonts w:ascii="Aptos" w:hAnsi="Aptos"/>
                <w:b w:val="0"/>
                <w:sz w:val="14"/>
              </w:rPr>
              <w:t>Written extension and anticipated date.</w:t>
            </w:r>
          </w:p>
        </w:tc>
        <w:tc>
          <w:tcPr>
            <w:tcW w:type="dxa" w:w="2592"/>
            <w:vAlign w:val="center"/>
            <w:tcMar>
              <w:top w:w="55" w:type="dxa"/>
              <w:start w:w="70" w:type="dxa"/>
              <w:bottom w:w="55" w:type="dxa"/>
              <w:end w:w="70" w:type="dxa"/>
            </w:tcMar>
          </w:tcPr>
          <w:p>
            <w:pPr>
              <w:jc w:val="left"/>
            </w:pPr>
            <w:r/>
            <w:r>
              <w:rPr>
                <w:rFonts w:ascii="Aptos" w:hAnsi="Aptos"/>
                <w:b w:val="0"/>
                <w:sz w:val="14"/>
              </w:rPr>
              <w:t>Replaces initial completion date with capped storage date.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Unforeseen/reasonably necessary extension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Notice within applicable initial period; extension must be reasonable</w:t>
            </w:r>
          </w:p>
        </w:tc>
        <w:tc>
          <w:tcPr>
            <w:tcW w:type="dxa" w:w="2592"/>
            <w:vAlign w:val="center"/>
            <w:tcMar>
              <w:top w:w="55" w:type="dxa"/>
              <w:start w:w="70" w:type="dxa"/>
              <w:bottom w:w="55" w:type="dxa"/>
              <w:end w:w="70" w:type="dxa"/>
            </w:tcMar>
            <w:shd w:fill="F2F2F2"/>
          </w:tcPr>
          <w:p>
            <w:pPr>
              <w:jc w:val="left"/>
            </w:pPr>
            <w:r/>
            <w:r>
              <w:rPr>
                <w:rFonts w:ascii="Aptos" w:hAnsi="Aptos"/>
                <w:b w:val="0"/>
                <w:sz w:val="14"/>
              </w:rPr>
              <w:t>Written notice and anticipated deadline.</w:t>
            </w:r>
          </w:p>
        </w:tc>
        <w:tc>
          <w:tcPr>
            <w:tcW w:type="dxa" w:w="2592"/>
            <w:vAlign w:val="center"/>
            <w:tcMar>
              <w:top w:w="55" w:type="dxa"/>
              <w:start w:w="70" w:type="dxa"/>
              <w:bottom w:w="55" w:type="dxa"/>
              <w:end w:w="70" w:type="dxa"/>
            </w:tcMar>
            <w:shd w:fill="F2F2F2"/>
          </w:tcPr>
          <w:p>
            <w:pPr>
              <w:jc w:val="left"/>
            </w:pPr>
            <w:r/>
            <w:r>
              <w:rPr>
                <w:rFonts w:ascii="Aptos" w:hAnsi="Aptos"/>
                <w:b w:val="0"/>
                <w:sz w:val="14"/>
              </w:rPr>
              <w:t>Failure at extended date = deemed denial.</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No response by applicable deadline</w:t>
            </w:r>
          </w:p>
        </w:tc>
        <w:tc>
          <w:tcPr>
            <w:tcW w:type="dxa" w:w="2592"/>
            <w:vAlign w:val="center"/>
            <w:tcMar>
              <w:top w:w="55" w:type="dxa"/>
              <w:start w:w="70" w:type="dxa"/>
              <w:bottom w:w="55" w:type="dxa"/>
              <w:end w:w="70" w:type="dxa"/>
            </w:tcMar>
          </w:tcPr>
          <w:p>
            <w:pPr>
              <w:jc w:val="left"/>
            </w:pPr>
            <w:r/>
            <w:r>
              <w:rPr>
                <w:rFonts w:ascii="Aptos" w:hAnsi="Aptos"/>
                <w:b w:val="0"/>
                <w:sz w:val="14"/>
              </w:rPr>
              <w:t>At deadline</w:t>
            </w:r>
          </w:p>
        </w:tc>
        <w:tc>
          <w:tcPr>
            <w:tcW w:type="dxa" w:w="2592"/>
            <w:vAlign w:val="center"/>
            <w:tcMar>
              <w:top w:w="55" w:type="dxa"/>
              <w:start w:w="70" w:type="dxa"/>
              <w:bottom w:w="55" w:type="dxa"/>
              <w:end w:w="70" w:type="dxa"/>
            </w:tcMar>
          </w:tcPr>
          <w:p>
            <w:pPr>
              <w:jc w:val="left"/>
            </w:pPr>
            <w:r/>
            <w:r>
              <w:rPr>
                <w:rFonts w:ascii="Aptos" w:hAnsi="Aptos"/>
                <w:b w:val="0"/>
                <w:sz w:val="14"/>
              </w:rPr>
              <w:t>None</w:t>
            </w:r>
          </w:p>
        </w:tc>
        <w:tc>
          <w:tcPr>
            <w:tcW w:type="dxa" w:w="2592"/>
            <w:vAlign w:val="center"/>
            <w:tcMar>
              <w:top w:w="55" w:type="dxa"/>
              <w:start w:w="70" w:type="dxa"/>
              <w:bottom w:w="55" w:type="dxa"/>
              <w:end w:w="70" w:type="dxa"/>
            </w:tcMar>
          </w:tcPr>
          <w:p>
            <w:pPr>
              <w:jc w:val="left"/>
            </w:pPr>
            <w:r/>
            <w:r>
              <w:rPr>
                <w:rFonts w:ascii="Aptos" w:hAnsi="Aptos"/>
                <w:b w:val="0"/>
                <w:sz w:val="14"/>
              </w:rPr>
              <w:t>Deemed denial.</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Website-direction fulfillment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Requester has seven business days to respond/seek help</w:t>
            </w:r>
          </w:p>
        </w:tc>
        <w:tc>
          <w:tcPr>
            <w:tcW w:type="dxa" w:w="2592"/>
            <w:vAlign w:val="center"/>
            <w:tcMar>
              <w:top w:w="55" w:type="dxa"/>
              <w:start w:w="70" w:type="dxa"/>
              <w:bottom w:w="55" w:type="dxa"/>
              <w:end w:w="70" w:type="dxa"/>
            </w:tcMar>
            <w:shd w:fill="F2F2F2"/>
          </w:tcPr>
          <w:p>
            <w:pPr>
              <w:jc w:val="left"/>
            </w:pPr>
            <w:r/>
            <w:r>
              <w:rPr>
                <w:rFonts w:ascii="Aptos" w:hAnsi="Aptos"/>
                <w:b w:val="0"/>
                <w:sz w:val="14"/>
              </w:rPr>
              <w:t>Provide URL/instructions; help within seven days if requested.</w:t>
            </w:r>
          </w:p>
        </w:tc>
        <w:tc>
          <w:tcPr>
            <w:tcW w:type="dxa" w:w="2592"/>
            <w:vAlign w:val="center"/>
            <w:tcMar>
              <w:top w:w="55" w:type="dxa"/>
              <w:start w:w="70" w:type="dxa"/>
              <w:bottom w:w="55" w:type="dxa"/>
              <w:end w:w="70" w:type="dxa"/>
            </w:tcMar>
            <w:shd w:fill="F2F2F2"/>
          </w:tcPr>
          <w:p>
            <w:pPr>
              <w:jc w:val="left"/>
            </w:pPr>
            <w:r/>
            <w:r>
              <w:rPr>
                <w:rFonts w:ascii="Aptos" w:hAnsi="Aptos"/>
                <w:b w:val="0"/>
                <w:sz w:val="14"/>
              </w:rPr>
              <w:t>No response in seven days = deemed fulfilled.</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Pickup/retrieval after availability notice</w:t>
            </w:r>
          </w:p>
        </w:tc>
        <w:tc>
          <w:tcPr>
            <w:tcW w:type="dxa" w:w="2592"/>
            <w:vAlign w:val="center"/>
            <w:tcMar>
              <w:top w:w="55" w:type="dxa"/>
              <w:start w:w="70" w:type="dxa"/>
              <w:bottom w:w="55" w:type="dxa"/>
              <w:end w:w="70" w:type="dxa"/>
            </w:tcMar>
          </w:tcPr>
          <w:p>
            <w:pPr>
              <w:jc w:val="left"/>
            </w:pPr>
            <w:r/>
            <w:r>
              <w:rPr>
                <w:rFonts w:ascii="Aptos" w:hAnsi="Aptos"/>
                <w:b w:val="0"/>
                <w:sz w:val="14"/>
              </w:rPr>
              <w:t>Requester generally has 14 business days</w:t>
            </w:r>
          </w:p>
        </w:tc>
        <w:tc>
          <w:tcPr>
            <w:tcW w:type="dxa" w:w="2592"/>
            <w:vAlign w:val="center"/>
            <w:tcMar>
              <w:top w:w="55" w:type="dxa"/>
              <w:start w:w="70" w:type="dxa"/>
              <w:bottom w:w="55" w:type="dxa"/>
              <w:end w:w="70" w:type="dxa"/>
            </w:tcMar>
          </w:tcPr>
          <w:p>
            <w:pPr>
              <w:jc w:val="left"/>
            </w:pPr>
            <w:r/>
            <w:r>
              <w:rPr>
                <w:rFonts w:ascii="Aptos" w:hAnsi="Aptos"/>
                <w:b w:val="0"/>
                <w:sz w:val="14"/>
              </w:rPr>
              <w:t>Retrieve/pay as applicable.</w:t>
            </w:r>
          </w:p>
        </w:tc>
        <w:tc>
          <w:tcPr>
            <w:tcW w:type="dxa" w:w="2592"/>
            <w:vAlign w:val="center"/>
            <w:tcMar>
              <w:top w:w="55" w:type="dxa"/>
              <w:start w:w="70" w:type="dxa"/>
              <w:bottom w:w="55" w:type="dxa"/>
              <w:end w:w="70" w:type="dxa"/>
            </w:tcMar>
          </w:tcPr>
          <w:p>
            <w:pPr>
              <w:jc w:val="left"/>
            </w:pPr>
            <w:r/>
            <w:r>
              <w:rPr>
                <w:rFonts w:ascii="Aptos" w:hAnsi="Aptos"/>
                <w:b w:val="0"/>
                <w:sz w:val="14"/>
              </w:rPr>
              <w:t>Local close/abandonment handling should track statutory notice terms.</w:t>
            </w:r>
          </w:p>
        </w:tc>
      </w:tr>
    </w:tbl>
    <w:p>
      <w:pPr>
        <w:spacing w:after="20"/>
      </w:pPr>
    </w:p>
    <w:p>
      <w:pPr>
        <w:pStyle w:val="Heading1"/>
      </w:pPr>
      <w:r>
        <w:t>5. Vague, Unclear, or Overly Broad Requests</w:t>
      </w:r>
    </w:p>
    <w:p>
      <w:r>
        <w:t>A broad or unclear request that requires research rather than a search for identifiable records may be denied. For communications, the request must identify specific job title/accounts, a specific subject, and a reasonable time period.</w:t>
      </w:r>
    </w:p>
    <w:p>
      <w:r>
        <w:t>The custodian may, but is not required to, seek clarification instead of denying. The clarification request must be written and timely. Once sent, the response clock stops until the requester responds; upon clarification, the applicable statutory response time begins anew.</w:t>
      </w:r>
    </w:p>
    <w:p>
      <w:r>
        <w:t>If a letter or email contains substantially more information than the adopted form and would take more than reasonable effort to clarify, or lacks required form information, the custodian may deny it. These are intake-validity branches distinct from substantive exemptions.</w:t>
      </w:r>
    </w:p>
    <w:p>
      <w:r>
        <w:t>OPRA does not specify a universal requester deadline to answer an ordinary clarification request in the cited guidance. The engine should not invent a statewide abandonment period for that branch.</w:t>
      </w:r>
    </w:p>
    <w:p>
      <w:pPr>
        <w:pStyle w:val="Heading1"/>
      </w:pPr>
      <w:r>
        <w:t>6. Denial and Partial-Denial Process</w:t>
      </w:r>
    </w:p>
    <w:p>
      <w:r>
        <w:t>If unable to comply, the custodian must indicate the specific reason for denying access on the request form or written response and promptly return it. Partial denials require redaction of protected material and prompt delivery of the remainder.</w:t>
      </w:r>
    </w:p>
    <w:p>
      <w:r>
        <w:t>An invalid broad/unclear request may be denied, but the engine should distinguish invalid-request denial from exemption-based withholding and from substantial-disruption denial.</w:t>
      </w:r>
    </w:p>
    <w:p>
      <w:r>
        <w:t>A substantial-disruption denial is allowed only after the city informs the requester of the potential disruption and attempts a reasonable solution accommodating both interests.</w:t>
      </w:r>
    </w:p>
    <w:p>
      <w:r>
        <w:t>Failure to respond by the applicable initial or extended deadline is a deemed denial.</w:t>
      </w:r>
    </w:p>
    <w:p>
      <w:pPr>
        <w:pStyle w:val="Heading1"/>
      </w:pPr>
      <w:r>
        <w:t>7. Legal Classifications, Processing Tracks, and Operational Classifications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Classification / track</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Legal or operational?</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 criteria</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Effect on workflow</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Ordinary OPRA</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Complete request; no special category</w:t>
            </w:r>
          </w:p>
        </w:tc>
        <w:tc>
          <w:tcPr>
            <w:tcW w:type="dxa" w:w="2592"/>
            <w:vAlign w:val="center"/>
            <w:tcMar>
              <w:top w:w="55" w:type="dxa"/>
              <w:start w:w="70" w:type="dxa"/>
              <w:bottom w:w="55" w:type="dxa"/>
              <w:end w:w="70" w:type="dxa"/>
            </w:tcMar>
          </w:tcPr>
          <w:p>
            <w:pPr>
              <w:jc w:val="left"/>
            </w:pPr>
            <w:r/>
            <w:r>
              <w:rPr>
                <w:rFonts w:ascii="Aptos" w:hAnsi="Aptos"/>
                <w:b w:val="0"/>
                <w:sz w:val="14"/>
              </w:rPr>
              <w:t>Seven-business-day maximum.</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Immediate-access record</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Specified budgets, bills, vouchers, contracts, salary/overtime within 24 months</w:t>
            </w:r>
          </w:p>
        </w:tc>
        <w:tc>
          <w:tcPr>
            <w:tcW w:type="dxa" w:w="2592"/>
            <w:vAlign w:val="center"/>
            <w:tcMar>
              <w:top w:w="55" w:type="dxa"/>
              <w:start w:w="70" w:type="dxa"/>
              <w:bottom w:w="55" w:type="dxa"/>
              <w:end w:w="70" w:type="dxa"/>
            </w:tcMar>
            <w:shd w:fill="F2F2F2"/>
          </w:tcPr>
          <w:p>
            <w:pPr>
              <w:jc w:val="left"/>
            </w:pPr>
            <w:r/>
            <w:r>
              <w:rPr>
                <w:rFonts w:ascii="Aptos" w:hAnsi="Aptos"/>
                <w:b w:val="0"/>
                <w:sz w:val="14"/>
              </w:rPr>
              <w:t>Immediate response; written reason/date if delay.</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Commercial purpose</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Certified commercial-purpose request</w:t>
            </w:r>
          </w:p>
        </w:tc>
        <w:tc>
          <w:tcPr>
            <w:tcW w:type="dxa" w:w="2592"/>
            <w:vAlign w:val="center"/>
            <w:tcMar>
              <w:top w:w="55" w:type="dxa"/>
              <w:start w:w="70" w:type="dxa"/>
              <w:bottom w:w="55" w:type="dxa"/>
              <w:end w:w="70" w:type="dxa"/>
            </w:tcMar>
          </w:tcPr>
          <w:p>
            <w:pPr>
              <w:jc w:val="left"/>
            </w:pPr>
            <w:r/>
            <w:r>
              <w:rPr>
                <w:rFonts w:ascii="Aptos" w:hAnsi="Aptos"/>
                <w:b w:val="0"/>
                <w:sz w:val="14"/>
              </w:rPr>
              <w:t>Fourteen days; notify within seven; optional seven-day service at up to 2x cost.</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Daniel’s Law review</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Records require protected-address review</w:t>
            </w:r>
          </w:p>
        </w:tc>
        <w:tc>
          <w:tcPr>
            <w:tcW w:type="dxa" w:w="2592"/>
            <w:vAlign w:val="center"/>
            <w:tcMar>
              <w:top w:w="55" w:type="dxa"/>
              <w:start w:w="70" w:type="dxa"/>
              <w:bottom w:w="55" w:type="dxa"/>
              <w:end w:w="70" w:type="dxa"/>
            </w:tcMar>
            <w:shd w:fill="F2F2F2"/>
          </w:tcPr>
          <w:p>
            <w:pPr>
              <w:jc w:val="left"/>
            </w:pPr>
            <w:r/>
            <w:r>
              <w:rPr>
                <w:rFonts w:ascii="Aptos" w:hAnsi="Aptos"/>
                <w:b w:val="0"/>
                <w:sz w:val="14"/>
              </w:rPr>
              <w:t>Fourteen days; notify within seven.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Election record</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Specified § 47:1A-5.3 record</w:t>
            </w:r>
          </w:p>
        </w:tc>
        <w:tc>
          <w:tcPr>
            <w:tcW w:type="dxa" w:w="2592"/>
            <w:vAlign w:val="center"/>
            <w:tcMar>
              <w:top w:w="55" w:type="dxa"/>
              <w:start w:w="70" w:type="dxa"/>
              <w:bottom w:w="55" w:type="dxa"/>
              <w:end w:w="70" w:type="dxa"/>
            </w:tcMar>
          </w:tcPr>
          <w:p>
            <w:pPr>
              <w:jc w:val="left"/>
            </w:pPr>
            <w:r/>
            <w:r>
              <w:rPr>
                <w:rFonts w:ascii="Aptos" w:hAnsi="Aptos"/>
                <w:b w:val="0"/>
                <w:sz w:val="14"/>
              </w:rPr>
              <w:t>Immediate/two-business-day track.</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Storage/archive</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Records not currently available due to storage/archive</w:t>
            </w:r>
          </w:p>
        </w:tc>
        <w:tc>
          <w:tcPr>
            <w:tcW w:type="dxa" w:w="2592"/>
            <w:vAlign w:val="center"/>
            <w:tcMar>
              <w:top w:w="55" w:type="dxa"/>
              <w:start w:w="70" w:type="dxa"/>
              <w:bottom w:w="55" w:type="dxa"/>
              <w:end w:w="70" w:type="dxa"/>
            </w:tcMar>
            <w:shd w:fill="F2F2F2"/>
          </w:tcPr>
          <w:p>
            <w:pPr>
              <w:jc w:val="left"/>
            </w:pPr>
            <w:r/>
            <w:r>
              <w:rPr>
                <w:rFonts w:ascii="Aptos" w:hAnsi="Aptos"/>
                <w:b w:val="0"/>
                <w:sz w:val="14"/>
              </w:rPr>
              <w:t>Notice within initial period; access date within 21 business days of notice.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Clarification</w:t>
            </w:r>
          </w:p>
        </w:tc>
        <w:tc>
          <w:tcPr>
            <w:tcW w:type="dxa" w:w="2592"/>
            <w:vAlign w:val="center"/>
            <w:tcMar>
              <w:top w:w="55" w:type="dxa"/>
              <w:start w:w="70" w:type="dxa"/>
              <w:bottom w:w="55" w:type="dxa"/>
              <w:end w:w="70" w:type="dxa"/>
            </w:tcMar>
          </w:tcPr>
          <w:p>
            <w:pPr>
              <w:jc w:val="left"/>
            </w:pPr>
            <w:r/>
            <w:r>
              <w:rPr>
                <w:rFonts w:ascii="Aptos" w:hAnsi="Aptos"/>
                <w:b w:val="0"/>
                <w:sz w:val="14"/>
              </w:rPr>
              <w:t>Legal/official guidance</w:t>
            </w:r>
          </w:p>
        </w:tc>
        <w:tc>
          <w:tcPr>
            <w:tcW w:type="dxa" w:w="2592"/>
            <w:vAlign w:val="center"/>
            <w:tcMar>
              <w:top w:w="55" w:type="dxa"/>
              <w:start w:w="70" w:type="dxa"/>
              <w:bottom w:w="55" w:type="dxa"/>
              <w:end w:w="70" w:type="dxa"/>
            </w:tcMar>
          </w:tcPr>
          <w:p>
            <w:pPr>
              <w:jc w:val="left"/>
            </w:pPr>
            <w:r/>
            <w:r>
              <w:rPr>
                <w:rFonts w:ascii="Aptos" w:hAnsi="Aptos"/>
                <w:b w:val="0"/>
                <w:sz w:val="14"/>
              </w:rPr>
              <w:t>Broad/unclear request; custodian elects clarification</w:t>
            </w:r>
          </w:p>
        </w:tc>
        <w:tc>
          <w:tcPr>
            <w:tcW w:type="dxa" w:w="2592"/>
            <w:vAlign w:val="center"/>
            <w:tcMar>
              <w:top w:w="55" w:type="dxa"/>
              <w:start w:w="70" w:type="dxa"/>
              <w:bottom w:w="55" w:type="dxa"/>
              <w:end w:w="70" w:type="dxa"/>
            </w:tcMar>
          </w:tcPr>
          <w:p>
            <w:pPr>
              <w:jc w:val="left"/>
            </w:pPr>
            <w:r/>
            <w:r>
              <w:rPr>
                <w:rFonts w:ascii="Aptos" w:hAnsi="Aptos"/>
                <w:b w:val="0"/>
                <w:sz w:val="14"/>
              </w:rPr>
              <w:t>Written timely request; clock stops and restarts anew.</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Substantial disruption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Legal/human determination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Fulfillment would substantially disrupt operations</w:t>
            </w:r>
          </w:p>
        </w:tc>
        <w:tc>
          <w:tcPr>
            <w:tcW w:type="dxa" w:w="2592"/>
            <w:vAlign w:val="center"/>
            <w:tcMar>
              <w:top w:w="55" w:type="dxa"/>
              <w:start w:w="70" w:type="dxa"/>
              <w:bottom w:w="55" w:type="dxa"/>
              <w:end w:w="70" w:type="dxa"/>
            </w:tcMar>
            <w:shd w:fill="F2F2F2"/>
          </w:tcPr>
          <w:p>
            <w:pPr>
              <w:jc w:val="left"/>
            </w:pPr>
            <w:r/>
            <w:r>
              <w:rPr>
                <w:rFonts w:ascii="Aptos" w:hAnsi="Aptos"/>
                <w:b w:val="0"/>
                <w:sz w:val="14"/>
              </w:rPr>
              <w:t>Attempt reasonable solution before denial.</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Special service charge</w:t>
            </w:r>
          </w:p>
        </w:tc>
        <w:tc>
          <w:tcPr>
            <w:tcW w:type="dxa" w:w="2592"/>
            <w:vAlign w:val="center"/>
            <w:tcMar>
              <w:top w:w="55" w:type="dxa"/>
              <w:start w:w="70" w:type="dxa"/>
              <w:bottom w:w="55" w:type="dxa"/>
              <w:end w:w="70" w:type="dxa"/>
            </w:tcMar>
          </w:tcPr>
          <w:p>
            <w:pPr>
              <w:jc w:val="left"/>
            </w:pPr>
            <w:r/>
            <w:r>
              <w:rPr>
                <w:rFonts w:ascii="Aptos" w:hAnsi="Aptos"/>
                <w:b w:val="0"/>
                <w:sz w:val="14"/>
              </w:rPr>
              <w:t>Legal fee classification</w:t>
            </w:r>
          </w:p>
        </w:tc>
        <w:tc>
          <w:tcPr>
            <w:tcW w:type="dxa" w:w="2592"/>
            <w:vAlign w:val="center"/>
            <w:tcMar>
              <w:top w:w="55" w:type="dxa"/>
              <w:start w:w="70" w:type="dxa"/>
              <w:bottom w:w="55" w:type="dxa"/>
              <w:end w:w="70" w:type="dxa"/>
            </w:tcMar>
          </w:tcPr>
          <w:p>
            <w:pPr>
              <w:jc w:val="left"/>
            </w:pPr>
            <w:r/>
            <w:r>
              <w:rPr>
                <w:rFonts w:ascii="Aptos" w:hAnsi="Aptos"/>
                <w:b w:val="0"/>
                <w:sz w:val="14"/>
              </w:rPr>
              <w:t>Voluminous/extraordinary time or extensive technology/manipulation</w:t>
            </w:r>
          </w:p>
        </w:tc>
        <w:tc>
          <w:tcPr>
            <w:tcW w:type="dxa" w:w="2592"/>
            <w:vAlign w:val="center"/>
            <w:tcMar>
              <w:top w:w="55" w:type="dxa"/>
              <w:start w:w="70" w:type="dxa"/>
              <w:bottom w:w="55" w:type="dxa"/>
              <w:end w:w="70" w:type="dxa"/>
            </w:tcMar>
          </w:tcPr>
          <w:p>
            <w:pPr>
              <w:jc w:val="left"/>
            </w:pPr>
            <w:r/>
            <w:r>
              <w:rPr>
                <w:rFonts w:ascii="Aptos" w:hAnsi="Aptos"/>
                <w:b w:val="0"/>
                <w:sz w:val="14"/>
              </w:rPr>
              <w:t>Advance explanation/itemized estimate and requester opportunity to object.</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Simple/standard/complex</w:t>
            </w:r>
          </w:p>
        </w:tc>
        <w:tc>
          <w:tcPr>
            <w:tcW w:type="dxa" w:w="2592"/>
            <w:vAlign w:val="center"/>
            <w:tcMar>
              <w:top w:w="55" w:type="dxa"/>
              <w:start w:w="70" w:type="dxa"/>
              <w:bottom w:w="55" w:type="dxa"/>
              <w:end w:w="70" w:type="dxa"/>
            </w:tcMar>
            <w:shd w:fill="F2F2F2"/>
          </w:tcPr>
          <w:p>
            <w:pPr>
              <w:jc w:val="left"/>
            </w:pPr>
            <w:r/>
            <w:r>
              <w:rPr>
                <w:rFonts w:ascii="Aptos" w:hAnsi="Aptos"/>
                <w:b w:val="0"/>
                <w:sz w:val="14"/>
              </w:rPr>
              <w:t>Operational only</w:t>
            </w:r>
          </w:p>
        </w:tc>
        <w:tc>
          <w:tcPr>
            <w:tcW w:type="dxa" w:w="2592"/>
            <w:vAlign w:val="center"/>
            <w:tcMar>
              <w:top w:w="55" w:type="dxa"/>
              <w:start w:w="70" w:type="dxa"/>
              <w:bottom w:w="55" w:type="dxa"/>
              <w:end w:w="70" w:type="dxa"/>
            </w:tcMar>
            <w:shd w:fill="F2F2F2"/>
          </w:tcPr>
          <w:p>
            <w:pPr>
              <w:jc w:val="left"/>
            </w:pPr>
            <w:r/>
            <w:r>
              <w:rPr>
                <w:rFonts w:ascii="Aptos" w:hAnsi="Aptos"/>
                <w:b w:val="0"/>
                <w:sz w:val="14"/>
              </w:rPr>
              <w:t>Local workload criteria</w:t>
            </w:r>
          </w:p>
        </w:tc>
        <w:tc>
          <w:tcPr>
            <w:tcW w:type="dxa" w:w="2592"/>
            <w:vAlign w:val="center"/>
            <w:tcMar>
              <w:top w:w="55" w:type="dxa"/>
              <w:start w:w="70" w:type="dxa"/>
              <w:bottom w:w="55" w:type="dxa"/>
              <w:end w:w="70" w:type="dxa"/>
            </w:tcMar>
            <w:shd w:fill="F2F2F2"/>
          </w:tcPr>
          <w:p>
            <w:pPr>
              <w:jc w:val="left"/>
            </w:pPr>
            <w:r/>
            <w:r>
              <w:rPr>
                <w:rFonts w:ascii="Aptos" w:hAnsi="Aptos"/>
                <w:b w:val="0"/>
                <w:sz w:val="14"/>
              </w:rPr>
              <w:t>May supplement but not replace legal track classification.</w:t>
            </w:r>
          </w:p>
        </w:tc>
      </w:tr>
    </w:tbl>
    <w:p>
      <w:pPr>
        <w:spacing w:after="20"/>
      </w:pPr>
    </w:p>
    <w:p>
      <w:pPr>
        <w:pStyle w:val="Heading1"/>
      </w:pPr>
      <w:r>
        <w:t>8. Large Volume, Redaction, Programming, and Electronic Records</w:t>
      </w:r>
    </w:p>
    <w:p>
      <w:r>
        <w:t>Volume and extraordinary time can support a special service charge and, where unforeseen/necessary, a reasonable extension. They do not create a free-standing “complex” deadline outside OPRA’s authorized tracks.</w:t>
      </w:r>
    </w:p>
    <w:p>
      <w:r>
        <w:t>If requested format requires extensive IT, programming, clerical, or supervisory effort, a special charge based on actual direct cost may apply. If substantial manipulation is unavailable, the agency may provide the format it maintains.</w:t>
      </w:r>
    </w:p>
    <w:p>
      <w:r>
        <w:t>For broad communications requests, OPRA now supplies specific validity fields: account/job title, subject matter, and reasonable time period. These should be structured intake fields, not free-text guidance only.</w:t>
      </w:r>
    </w:p>
    <w:p>
      <w:r>
        <w:t>Redactions must leave visible indications of withheld material and the city must promptly provide nonexempt portions. The system should store redaction reason at segment/page level.</w:t>
      </w:r>
    </w:p>
    <w:p>
      <w:r>
        <w:t>When the complete record is available online, the city may provide the URL/location. The website workflow has its own seven-business-day requester response and assistance timers.</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Fee event</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rule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Timing / requester choice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implication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Printed copies</w:t>
            </w:r>
          </w:p>
        </w:tc>
        <w:tc>
          <w:tcPr>
            <w:tcW w:type="dxa" w:w="2592"/>
            <w:vAlign w:val="center"/>
            <w:tcMar>
              <w:top w:w="55" w:type="dxa"/>
              <w:start w:w="70" w:type="dxa"/>
              <w:bottom w:w="55" w:type="dxa"/>
              <w:end w:w="70" w:type="dxa"/>
            </w:tcMar>
          </w:tcPr>
          <w:p>
            <w:pPr>
              <w:jc w:val="left"/>
            </w:pPr>
            <w:r/>
            <w:r>
              <w:rPr>
                <w:rFonts w:ascii="Aptos" w:hAnsi="Aptos"/>
                <w:b w:val="0"/>
                <w:sz w:val="14"/>
              </w:rPr>
              <w:t>$0.05 per letter-size page or smaller; $0.07 per legal-size page or larger, absent another law.</w:t>
            </w:r>
          </w:p>
        </w:tc>
        <w:tc>
          <w:tcPr>
            <w:tcW w:type="dxa" w:w="2592"/>
            <w:vAlign w:val="center"/>
            <w:tcMar>
              <w:top w:w="55" w:type="dxa"/>
              <w:start w:w="70" w:type="dxa"/>
              <w:bottom w:w="55" w:type="dxa"/>
              <w:end w:w="70" w:type="dxa"/>
            </w:tcMar>
          </w:tcPr>
          <w:p>
            <w:pPr>
              <w:jc w:val="left"/>
            </w:pPr>
            <w:r/>
            <w:r>
              <w:rPr>
                <w:rFonts w:ascii="Aptos" w:hAnsi="Aptos"/>
                <w:b w:val="0"/>
                <w:sz w:val="14"/>
              </w:rPr>
              <w:t>Pay upon copy access.</w:t>
            </w:r>
          </w:p>
        </w:tc>
        <w:tc>
          <w:tcPr>
            <w:tcW w:type="dxa" w:w="2592"/>
            <w:vAlign w:val="center"/>
            <w:tcMar>
              <w:top w:w="55" w:type="dxa"/>
              <w:start w:w="70" w:type="dxa"/>
              <w:bottom w:w="55" w:type="dxa"/>
              <w:end w:w="70" w:type="dxa"/>
            </w:tcMar>
          </w:tcPr>
          <w:p>
            <w:pPr>
              <w:jc w:val="left"/>
            </w:pPr>
            <w:r/>
            <w:r>
              <w:rPr>
                <w:rFonts w:ascii="Aptos" w:hAnsi="Aptos"/>
                <w:b w:val="0"/>
                <w:sz w:val="14"/>
              </w:rPr>
              <w:t>Statewide rates with override for record-specific statutes.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Electronic records</w:t>
            </w:r>
          </w:p>
        </w:tc>
        <w:tc>
          <w:tcPr>
            <w:tcW w:type="dxa" w:w="2592"/>
            <w:vAlign w:val="center"/>
            <w:tcMar>
              <w:top w:w="55" w:type="dxa"/>
              <w:start w:w="70" w:type="dxa"/>
              <w:bottom w:w="55" w:type="dxa"/>
              <w:end w:w="70" w:type="dxa"/>
            </w:tcMar>
            <w:shd w:fill="F2F2F2"/>
          </w:tcPr>
          <w:p>
            <w:pPr>
              <w:jc w:val="left"/>
            </w:pPr>
            <w:r/>
            <w:r>
              <w:rPr>
                <w:rFonts w:ascii="Aptos" w:hAnsi="Aptos"/>
                <w:b w:val="0"/>
                <w:sz w:val="14"/>
              </w:rPr>
              <w:t>Generally free; actual cost of needed supplies may be charged; website direction free.</w:t>
            </w:r>
          </w:p>
        </w:tc>
        <w:tc>
          <w:tcPr>
            <w:tcW w:type="dxa" w:w="2592"/>
            <w:vAlign w:val="center"/>
            <w:tcMar>
              <w:top w:w="55" w:type="dxa"/>
              <w:start w:w="70" w:type="dxa"/>
              <w:bottom w:w="55" w:type="dxa"/>
              <w:end w:w="70" w:type="dxa"/>
            </w:tcMar>
            <w:shd w:fill="F2F2F2"/>
          </w:tcPr>
          <w:p>
            <w:pPr>
              <w:jc w:val="left"/>
            </w:pPr>
            <w:r/>
            <w:r>
              <w:rPr>
                <w:rFonts w:ascii="Aptos" w:hAnsi="Aptos"/>
                <w:b w:val="0"/>
                <w:sz w:val="14"/>
              </w:rPr>
              <w:t>At delivery.</w:t>
            </w:r>
          </w:p>
        </w:tc>
        <w:tc>
          <w:tcPr>
            <w:tcW w:type="dxa" w:w="2592"/>
            <w:vAlign w:val="center"/>
            <w:tcMar>
              <w:top w:w="55" w:type="dxa"/>
              <w:start w:w="70" w:type="dxa"/>
              <w:bottom w:w="55" w:type="dxa"/>
              <w:end w:w="70" w:type="dxa"/>
            </w:tcMar>
            <w:shd w:fill="F2F2F2"/>
          </w:tcPr>
          <w:p>
            <w:pPr>
              <w:jc w:val="left"/>
            </w:pPr>
            <w:r/>
            <w:r>
              <w:rPr>
                <w:rFonts w:ascii="Aptos" w:hAnsi="Aptos"/>
                <w:b w:val="0"/>
                <w:sz w:val="14"/>
              </w:rPr>
              <w:t>Media-cost configuration.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Reproduction deposit</w:t>
            </w:r>
          </w:p>
        </w:tc>
        <w:tc>
          <w:tcPr>
            <w:tcW w:type="dxa" w:w="2592"/>
            <w:vAlign w:val="center"/>
            <w:tcMar>
              <w:top w:w="55" w:type="dxa"/>
              <w:start w:w="70" w:type="dxa"/>
              <w:bottom w:w="55" w:type="dxa"/>
              <w:end w:w="70" w:type="dxa"/>
            </w:tcMar>
          </w:tcPr>
          <w:p>
            <w:pPr>
              <w:jc w:val="left"/>
            </w:pPr>
            <w:r/>
            <w:r>
              <w:rPr>
                <w:rFonts w:ascii="Aptos" w:hAnsi="Aptos"/>
                <w:b w:val="0"/>
                <w:sz w:val="14"/>
              </w:rPr>
              <w:t>Custodian may require deposit when anticipated reproduction cost exceeds $5.</w:t>
            </w:r>
          </w:p>
        </w:tc>
        <w:tc>
          <w:tcPr>
            <w:tcW w:type="dxa" w:w="2592"/>
            <w:vAlign w:val="center"/>
            <w:tcMar>
              <w:top w:w="55" w:type="dxa"/>
              <w:start w:w="70" w:type="dxa"/>
              <w:bottom w:w="55" w:type="dxa"/>
              <w:end w:w="70" w:type="dxa"/>
            </w:tcMar>
          </w:tcPr>
          <w:p>
            <w:pPr>
              <w:jc w:val="left"/>
            </w:pPr>
            <w:r/>
            <w:r>
              <w:rPr>
                <w:rFonts w:ascii="Aptos" w:hAnsi="Aptos"/>
                <w:b w:val="0"/>
                <w:sz w:val="14"/>
              </w:rPr>
              <w:t>Before reproduction under agency practice.</w:t>
            </w:r>
          </w:p>
        </w:tc>
        <w:tc>
          <w:tcPr>
            <w:tcW w:type="dxa" w:w="2592"/>
            <w:vAlign w:val="center"/>
            <w:tcMar>
              <w:top w:w="55" w:type="dxa"/>
              <w:start w:w="70" w:type="dxa"/>
              <w:bottom w:w="55" w:type="dxa"/>
              <w:end w:w="70" w:type="dxa"/>
            </w:tcMar>
          </w:tcPr>
          <w:p>
            <w:pPr>
              <w:jc w:val="left"/>
            </w:pPr>
            <w:r/>
            <w:r>
              <w:rPr>
                <w:rFonts w:ascii="Aptos" w:hAnsi="Aptos"/>
                <w:b w:val="0"/>
                <w:sz w:val="14"/>
              </w:rPr>
              <w:t>Statewide threshold; local deposit percentage/collection procedure.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Special service charge</w:t>
            </w:r>
          </w:p>
        </w:tc>
        <w:tc>
          <w:tcPr>
            <w:tcW w:type="dxa" w:w="2592"/>
            <w:vAlign w:val="center"/>
            <w:tcMar>
              <w:top w:w="55" w:type="dxa"/>
              <w:start w:w="70" w:type="dxa"/>
              <w:bottom w:w="55" w:type="dxa"/>
              <w:end w:w="70" w:type="dxa"/>
            </w:tcMar>
            <w:shd w:fill="F2F2F2"/>
          </w:tcPr>
          <w:p>
            <w:pPr>
              <w:jc w:val="left"/>
            </w:pPr>
            <w:r/>
            <w:r>
              <w:rPr>
                <w:rFonts w:ascii="Aptos" w:hAnsi="Aptos"/>
                <w:b w:val="0"/>
                <w:sz w:val="14"/>
              </w:rPr>
              <w:t>Actual direct reasonable cost for voluminous/extraordinary labor or extensive technology/manipulation.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Advance explanation and itemized estimate; requester may object before incurred.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Mandatory estimate/acceptance state.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Commercial seven-day service</w:t>
            </w:r>
          </w:p>
        </w:tc>
        <w:tc>
          <w:tcPr>
            <w:tcW w:type="dxa" w:w="2592"/>
            <w:vAlign w:val="center"/>
            <w:tcMar>
              <w:top w:w="55" w:type="dxa"/>
              <w:start w:w="70" w:type="dxa"/>
              <w:bottom w:w="55" w:type="dxa"/>
              <w:end w:w="70" w:type="dxa"/>
            </w:tcMar>
          </w:tcPr>
          <w:p>
            <w:pPr>
              <w:jc w:val="left"/>
            </w:pPr>
            <w:r/>
            <w:r>
              <w:rPr>
                <w:rFonts w:ascii="Aptos" w:hAnsi="Aptos"/>
                <w:b w:val="0"/>
                <w:sz w:val="14"/>
              </w:rPr>
              <w:t>Commercial requester may reduce 14-day period to seven days by paying no more than two times production cost.</w:t>
            </w:r>
          </w:p>
        </w:tc>
        <w:tc>
          <w:tcPr>
            <w:tcW w:type="dxa" w:w="2592"/>
            <w:vAlign w:val="center"/>
            <w:tcMar>
              <w:top w:w="55" w:type="dxa"/>
              <w:start w:w="70" w:type="dxa"/>
              <w:bottom w:w="55" w:type="dxa"/>
              <w:end w:w="70" w:type="dxa"/>
            </w:tcMar>
          </w:tcPr>
          <w:p>
            <w:pPr>
              <w:jc w:val="left"/>
            </w:pPr>
            <w:r/>
            <w:r>
              <w:rPr>
                <w:rFonts w:ascii="Aptos" w:hAnsi="Aptos"/>
                <w:b w:val="0"/>
                <w:sz w:val="14"/>
              </w:rPr>
              <w:t>Requester option.</w:t>
            </w:r>
          </w:p>
        </w:tc>
        <w:tc>
          <w:tcPr>
            <w:tcW w:type="dxa" w:w="2592"/>
            <w:vAlign w:val="center"/>
            <w:tcMar>
              <w:top w:w="55" w:type="dxa"/>
              <w:start w:w="70" w:type="dxa"/>
              <w:bottom w:w="55" w:type="dxa"/>
              <w:end w:w="70" w:type="dxa"/>
            </w:tcMar>
          </w:tcPr>
          <w:p>
            <w:pPr>
              <w:jc w:val="left"/>
            </w:pPr>
            <w:r/>
            <w:r>
              <w:rPr>
                <w:rFonts w:ascii="Aptos" w:hAnsi="Aptos"/>
                <w:b w:val="0"/>
                <w:sz w:val="14"/>
              </w:rPr>
              <w:t>Expedited-service election and cap.</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Website physical-copy fallback</w:t>
            </w:r>
          </w:p>
        </w:tc>
        <w:tc>
          <w:tcPr>
            <w:tcW w:type="dxa" w:w="2592"/>
            <w:vAlign w:val="center"/>
            <w:tcMar>
              <w:top w:w="55" w:type="dxa"/>
              <w:start w:w="70" w:type="dxa"/>
              <w:bottom w:w="55" w:type="dxa"/>
              <w:end w:w="70" w:type="dxa"/>
            </w:tcMar>
            <w:shd w:fill="F2F2F2"/>
          </w:tcPr>
          <w:p>
            <w:pPr>
              <w:jc w:val="left"/>
            </w:pPr>
            <w:r/>
            <w:r>
              <w:rPr>
                <w:rFonts w:ascii="Aptos" w:hAnsi="Aptos"/>
                <w:b w:val="0"/>
                <w:sz w:val="14"/>
              </w:rPr>
              <w:t>If requester still cannot locate and asks physical copy, fee may be up to two times production cost.</w:t>
            </w:r>
          </w:p>
        </w:tc>
        <w:tc>
          <w:tcPr>
            <w:tcW w:type="dxa" w:w="2592"/>
            <w:vAlign w:val="center"/>
            <w:tcMar>
              <w:top w:w="55" w:type="dxa"/>
              <w:start w:w="70" w:type="dxa"/>
              <w:bottom w:w="55" w:type="dxa"/>
              <w:end w:w="70" w:type="dxa"/>
            </w:tcMar>
            <w:shd w:fill="F2F2F2"/>
          </w:tcPr>
          <w:p>
            <w:pPr>
              <w:jc w:val="left"/>
            </w:pPr>
            <w:r/>
            <w:r>
              <w:rPr>
                <w:rFonts w:ascii="Aptos" w:hAnsi="Aptos"/>
                <w:b w:val="0"/>
                <w:sz w:val="14"/>
              </w:rPr>
              <w:t>Physical copy within seven business days of request.</w:t>
            </w:r>
          </w:p>
        </w:tc>
        <w:tc>
          <w:tcPr>
            <w:tcW w:type="dxa" w:w="2592"/>
            <w:vAlign w:val="center"/>
            <w:tcMar>
              <w:top w:w="55" w:type="dxa"/>
              <w:start w:w="70" w:type="dxa"/>
              <w:bottom w:w="55" w:type="dxa"/>
              <w:end w:w="70" w:type="dxa"/>
            </w:tcMar>
            <w:shd w:fill="F2F2F2"/>
          </w:tcPr>
          <w:p>
            <w:pPr>
              <w:jc w:val="left"/>
            </w:pPr>
            <w:r/>
            <w:r>
              <w:rPr>
                <w:rFonts w:ascii="Aptos" w:hAnsi="Aptos"/>
                <w:b w:val="0"/>
                <w:sz w:val="14"/>
              </w:rPr>
              <w:t>Website-assistance/fallback branch.</w:t>
            </w:r>
          </w:p>
        </w:tc>
      </w:tr>
    </w:tbl>
    <w:p>
      <w:pPr>
        <w:spacing w:after="20"/>
      </w:pPr>
    </w:p>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3"/>
              </w:rPr>
              <w:t>Rule / domain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Trigger, condition, and action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Timer and required communication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Configuration, applicability, and authority</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NJ-01</w:t>
              <w:br/>
              <w:t>Intake form</w:t>
            </w:r>
          </w:p>
        </w:tc>
        <w:tc>
          <w:tcPr>
            <w:tcW w:type="dxa" w:w="2592"/>
            <w:vAlign w:val="center"/>
            <w:tcMar>
              <w:top w:w="55" w:type="dxa"/>
              <w:start w:w="70" w:type="dxa"/>
              <w:bottom w:w="55" w:type="dxa"/>
              <w:end w:w="70" w:type="dxa"/>
            </w:tcMar>
          </w:tcPr>
          <w:p>
            <w:pPr>
              <w:jc w:val="left"/>
            </w:pPr>
            <w:r/>
            <w:r>
              <w:rPr>
                <w:rFonts w:ascii="Aptos" w:hAnsi="Aptos"/>
                <w:b w:val="0"/>
                <w:sz w:val="13"/>
              </w:rPr>
              <w:t>Trigger/condition: Request received</w:t>
              <w:br/>
              <w:t>Action: Validate adopted form or complete letter/email equivalent; permit anonymous completion.</w:t>
            </w:r>
          </w:p>
        </w:tc>
        <w:tc>
          <w:tcPr>
            <w:tcW w:type="dxa" w:w="2592"/>
            <w:vAlign w:val="center"/>
            <w:tcMar>
              <w:top w:w="55" w:type="dxa"/>
              <w:start w:w="70" w:type="dxa"/>
              <w:bottom w:w="55" w:type="dxa"/>
              <w:end w:w="70" w:type="dxa"/>
            </w:tcMar>
          </w:tcPr>
          <w:p>
            <w:pPr>
              <w:jc w:val="left"/>
            </w:pPr>
            <w:r/>
            <w:r>
              <w:rPr>
                <w:rFonts w:ascii="Aptos" w:hAnsi="Aptos"/>
                <w:b w:val="0"/>
                <w:sz w:val="13"/>
              </w:rPr>
              <w:t>Deadline/clock: No valid submission until complete request reaches custodian.</w:t>
              <w:br/>
              <w:t>Communication: Incomplete/invalid denial if exercised.</w:t>
            </w:r>
          </w:p>
        </w:tc>
        <w:tc>
          <w:tcPr>
            <w:tcW w:type="dxa" w:w="2592"/>
            <w:vAlign w:val="center"/>
            <w:tcMar>
              <w:top w:w="55" w:type="dxa"/>
              <w:start w:w="70" w:type="dxa"/>
              <w:bottom w:w="55" w:type="dxa"/>
              <w:end w:w="70" w:type="dxa"/>
            </w:tcMar>
          </w:tcPr>
          <w:p>
            <w:pPr>
              <w:jc w:val="left"/>
            </w:pPr>
            <w:r/>
            <w:r>
              <w:rPr>
                <w:rFonts w:ascii="Aptos" w:hAnsi="Aptos"/>
                <w:b w:val="0"/>
                <w:sz w:val="13"/>
              </w:rPr>
              <w:t>Source: Statewide required fields + local form</w:t>
              <w:br/>
              <w:t>Status/applicability: Mandatory; cities unless noted</w:t>
              <w:br/>
              <w:t>Authority: N.J.S.A. 47:1A-5(f)</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NJ-02</w:t>
              <w:br/>
              <w:t>Custodian receipt</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Noncustodian employee receives request</w:t>
              <w:br/>
              <w:t>Action: Forward to custodian or direct requester.</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Request not submitted until custodian receives.</w:t>
              <w:br/>
              <w:t>Communication: Routing direction.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local routing</w:t>
              <w:br/>
              <w:t>Status/applicability: Mandatory; cities unless noted</w:t>
              <w:br/>
              <w:t>Authority: N.J.S.A. 47:1A-5(h); GRC Guide</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NJ-03</w:t>
              <w:br/>
              <w:t>Ordinary response</w:t>
            </w:r>
          </w:p>
        </w:tc>
        <w:tc>
          <w:tcPr>
            <w:tcW w:type="dxa" w:w="2592"/>
            <w:vAlign w:val="center"/>
            <w:tcMar>
              <w:top w:w="55" w:type="dxa"/>
              <w:start w:w="70" w:type="dxa"/>
              <w:bottom w:w="55" w:type="dxa"/>
              <w:end w:w="70" w:type="dxa"/>
            </w:tcMar>
          </w:tcPr>
          <w:p>
            <w:pPr>
              <w:jc w:val="left"/>
            </w:pPr>
            <w:r/>
            <w:r>
              <w:rPr>
                <w:rFonts w:ascii="Aptos" w:hAnsi="Aptos"/>
                <w:b w:val="0"/>
                <w:sz w:val="13"/>
              </w:rPr>
              <w:t>Trigger/condition: Complete ordinary request received by custodian</w:t>
              <w:br/>
              <w:t>Action: Grant, deny, clarify, or extend in writing.</w:t>
            </w:r>
          </w:p>
        </w:tc>
        <w:tc>
          <w:tcPr>
            <w:tcW w:type="dxa" w:w="2592"/>
            <w:vAlign w:val="center"/>
            <w:tcMar>
              <w:top w:w="55" w:type="dxa"/>
              <w:start w:w="70" w:type="dxa"/>
              <w:bottom w:w="55" w:type="dxa"/>
              <w:end w:w="70" w:type="dxa"/>
            </w:tcMar>
          </w:tcPr>
          <w:p>
            <w:pPr>
              <w:jc w:val="left"/>
            </w:pPr>
            <w:r/>
            <w:r>
              <w:rPr>
                <w:rFonts w:ascii="Aptos" w:hAnsi="Aptos"/>
                <w:b w:val="0"/>
                <w:sz w:val="13"/>
              </w:rPr>
              <w:t>Deadline/clock: ASAP, no later than seven business days; day one next business day.</w:t>
              <w:br/>
              <w:t>Communication: Written response.</w:t>
            </w:r>
          </w:p>
        </w:tc>
        <w:tc>
          <w:tcPr>
            <w:tcW w:type="dxa" w:w="2592"/>
            <w:vAlign w:val="center"/>
            <w:tcMar>
              <w:top w:w="55" w:type="dxa"/>
              <w:start w:w="70" w:type="dxa"/>
              <w:bottom w:w="55" w:type="dxa"/>
              <w:end w:w="70" w:type="dxa"/>
            </w:tcMar>
          </w:tcPr>
          <w:p>
            <w:pPr>
              <w:jc w:val="left"/>
            </w:pPr>
            <w:r/>
            <w:r>
              <w:rPr>
                <w:rFonts w:ascii="Aptos" w:hAnsi="Aptos"/>
                <w:b w:val="0"/>
                <w:sz w:val="13"/>
              </w:rPr>
              <w:t>Source: Statewide + business calendar</w:t>
              <w:br/>
              <w:t>Status/applicability: Mandatory; cities unless noted</w:t>
              <w:br/>
              <w:t>Authority: N.J.S.A. 47:1A-5(i)</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NJ-04</w:t>
              <w:br/>
              <w:t>Commercial purpose</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Certified commercial-purpose request</w:t>
              <w:br/>
              <w:t>Action: Use 14-day track; notify within seven.</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Fourteen business days; optional seven-day expedited for &lt;=2x cost.</w:t>
              <w:br/>
              <w:t>Communication: Track notice/expedite option.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N.J.S.A. 47:1A-5(i)</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NJ-05</w:t>
              <w:br/>
              <w:t>Daniel’s Law</w:t>
            </w:r>
          </w:p>
        </w:tc>
        <w:tc>
          <w:tcPr>
            <w:tcW w:type="dxa" w:w="2592"/>
            <w:vAlign w:val="center"/>
            <w:tcMar>
              <w:top w:w="55" w:type="dxa"/>
              <w:start w:w="70" w:type="dxa"/>
              <w:bottom w:w="55" w:type="dxa"/>
              <w:end w:w="70" w:type="dxa"/>
            </w:tcMar>
          </w:tcPr>
          <w:p>
            <w:pPr>
              <w:jc w:val="left"/>
            </w:pPr>
            <w:r/>
            <w:r>
              <w:rPr>
                <w:rFonts w:ascii="Aptos" w:hAnsi="Aptos"/>
                <w:b w:val="0"/>
                <w:sz w:val="13"/>
              </w:rPr>
              <w:t>Trigger/condition: Records require Daniel’s Law review</w:t>
              <w:br/>
              <w:t>Action: Use 14-day track and notify within seven.</w:t>
            </w:r>
          </w:p>
        </w:tc>
        <w:tc>
          <w:tcPr>
            <w:tcW w:type="dxa" w:w="2592"/>
            <w:vAlign w:val="center"/>
            <w:tcMar>
              <w:top w:w="55" w:type="dxa"/>
              <w:start w:w="70" w:type="dxa"/>
              <w:bottom w:w="55" w:type="dxa"/>
              <w:end w:w="70" w:type="dxa"/>
            </w:tcMar>
          </w:tcPr>
          <w:p>
            <w:pPr>
              <w:jc w:val="left"/>
            </w:pPr>
            <w:r/>
            <w:r>
              <w:rPr>
                <w:rFonts w:ascii="Aptos" w:hAnsi="Aptos"/>
                <w:b w:val="0"/>
                <w:sz w:val="13"/>
              </w:rPr>
              <w:t>Deadline/clock: Fourteen business days.</w:t>
              <w:br/>
              <w:t>Communication: Additional-time notice.</w:t>
            </w:r>
          </w:p>
        </w:tc>
        <w:tc>
          <w:tcPr>
            <w:tcW w:type="dxa" w:w="2592"/>
            <w:vAlign w:val="center"/>
            <w:tcMar>
              <w:top w:w="55" w:type="dxa"/>
              <w:start w:w="70" w:type="dxa"/>
              <w:bottom w:w="55" w:type="dxa"/>
              <w:end w:w="70" w:type="dxa"/>
            </w:tcMar>
          </w:tcPr>
          <w:p>
            <w:pPr>
              <w:jc w:val="left"/>
            </w:pPr>
            <w:r/>
            <w:r>
              <w:rPr>
                <w:rFonts w:ascii="Aptos" w:hAnsi="Aptos"/>
                <w:b w:val="0"/>
                <w:sz w:val="13"/>
              </w:rPr>
              <w:t>Source: Statewide + record classifier</w:t>
              <w:br/>
              <w:t>Status/applicability: Mandatory; cities unless noted</w:t>
              <w:br/>
              <w:t>Authority: N.J.S.A. 47:1A-5(i)</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NJ-06</w:t>
              <w:br/>
              <w:t>Immediate access</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Specified immediate-access record within 24 months</w:t>
              <w:br/>
              <w:t>Action: Produce immediately or explain legitimate delay/date in writing.</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Immediately.</w:t>
              <w:br/>
              <w:t>Communication: Production or immediate reason/anticipated date.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record-type classifier</w:t>
              <w:br/>
              <w:t>Status/applicability: Mandatory; cities unless noted</w:t>
              <w:br/>
              <w:t>Authority: N.J.S.A. 47:1A-5(e)</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NJ-07</w:t>
              <w:br/>
              <w:t>Election records</w:t>
            </w:r>
          </w:p>
        </w:tc>
        <w:tc>
          <w:tcPr>
            <w:tcW w:type="dxa" w:w="2592"/>
            <w:vAlign w:val="center"/>
            <w:tcMar>
              <w:top w:w="55" w:type="dxa"/>
              <w:start w:w="70" w:type="dxa"/>
              <w:bottom w:w="55" w:type="dxa"/>
              <w:end w:w="70" w:type="dxa"/>
            </w:tcMar>
          </w:tcPr>
          <w:p>
            <w:pPr>
              <w:jc w:val="left"/>
            </w:pPr>
            <w:r/>
            <w:r>
              <w:rPr>
                <w:rFonts w:ascii="Aptos" w:hAnsi="Aptos"/>
                <w:b w:val="0"/>
                <w:sz w:val="13"/>
              </w:rPr>
              <w:t>Trigger/condition: Specified § 5.3 election record</w:t>
              <w:br/>
              <w:t>Action: Produce/transmit.</w:t>
            </w:r>
          </w:p>
        </w:tc>
        <w:tc>
          <w:tcPr>
            <w:tcW w:type="dxa" w:w="2592"/>
            <w:vAlign w:val="center"/>
            <w:tcMar>
              <w:top w:w="55" w:type="dxa"/>
              <w:start w:w="70" w:type="dxa"/>
              <w:bottom w:w="55" w:type="dxa"/>
              <w:end w:w="70" w:type="dxa"/>
            </w:tcMar>
          </w:tcPr>
          <w:p>
            <w:pPr>
              <w:jc w:val="left"/>
            </w:pPr>
            <w:r/>
            <w:r>
              <w:rPr>
                <w:rFonts w:ascii="Aptos" w:hAnsi="Aptos"/>
                <w:b w:val="0"/>
                <w:sz w:val="13"/>
              </w:rPr>
              <w:t>Deadline/clock: Immediate, no later than two business days.</w:t>
              <w:br/>
              <w:t>Communication: Production.</w:t>
            </w:r>
          </w:p>
        </w:tc>
        <w:tc>
          <w:tcPr>
            <w:tcW w:type="dxa" w:w="2592"/>
            <w:vAlign w:val="center"/>
            <w:tcMar>
              <w:top w:w="55" w:type="dxa"/>
              <w:start w:w="70" w:type="dxa"/>
              <w:bottom w:w="55" w:type="dxa"/>
              <w:end w:w="70" w:type="dxa"/>
            </w:tcMar>
          </w:tcPr>
          <w:p>
            <w:pPr>
              <w:jc w:val="left"/>
            </w:pPr>
            <w:r/>
            <w:r>
              <w:rPr>
                <w:rFonts w:ascii="Aptos" w:hAnsi="Aptos"/>
                <w:b w:val="0"/>
                <w:sz w:val="13"/>
              </w:rPr>
              <w:t>Source: Statewide + record classifier</w:t>
              <w:br/>
              <w:t>Status/applicability: Mandatory; cities unless noted</w:t>
              <w:br/>
              <w:t>Authority: N.J.S.A. 47:1A-5.3</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NJ-08</w:t>
              <w:br/>
              <w:t>Clarification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Broad/unclear request and custodian elects clarification</w:t>
              <w:br/>
              <w:t>Action: Send written clarification request.</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Within seven/applicable period; clock stops; on response period begins anew.</w:t>
              <w:br/>
              <w:t>Communication: Specific clarification needed.</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Statewide/official guidance</w:t>
              <w:br/>
              <w:t>Status/applicability: Mandatory; cities unless noted</w:t>
              <w:br/>
              <w:t>Authority: GRC Citizen’s Guide and Custodian FAQ; N.J.S.A. 47:1A-5(g),(i)</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NJ-09</w:t>
              <w:br/>
              <w:t>Communications validity</w:t>
            </w:r>
          </w:p>
        </w:tc>
        <w:tc>
          <w:tcPr>
            <w:tcW w:type="dxa" w:w="2592"/>
            <w:vAlign w:val="center"/>
            <w:tcMar>
              <w:top w:w="55" w:type="dxa"/>
              <w:start w:w="70" w:type="dxa"/>
              <w:bottom w:w="55" w:type="dxa"/>
              <w:end w:w="70" w:type="dxa"/>
            </w:tcMar>
          </w:tcPr>
          <w:p>
            <w:pPr>
              <w:jc w:val="left"/>
            </w:pPr>
            <w:r/>
            <w:r>
              <w:rPr>
                <w:rFonts w:ascii="Aptos" w:hAnsi="Aptos"/>
                <w:b w:val="0"/>
                <w:sz w:val="13"/>
              </w:rPr>
              <w:t>Trigger/condition: Emails/texts/correspondence/social media requested</w:t>
              <w:br/>
              <w:t>Action: Require specific accounts/job title, subject, reasonable time period.</w:t>
            </w:r>
          </w:p>
        </w:tc>
        <w:tc>
          <w:tcPr>
            <w:tcW w:type="dxa" w:w="2592"/>
            <w:vAlign w:val="center"/>
            <w:tcMar>
              <w:top w:w="55" w:type="dxa"/>
              <w:start w:w="70" w:type="dxa"/>
              <w:bottom w:w="55" w:type="dxa"/>
              <w:end w:w="70" w:type="dxa"/>
            </w:tcMar>
          </w:tcPr>
          <w:p>
            <w:pPr>
              <w:jc w:val="left"/>
            </w:pPr>
            <w:r/>
            <w:r>
              <w:rPr>
                <w:rFonts w:ascii="Aptos" w:hAnsi="Aptos"/>
                <w:b w:val="0"/>
                <w:sz w:val="13"/>
              </w:rPr>
              <w:t>Deadline/clock: Intake/response period.</w:t>
              <w:br/>
              <w:t>Communication: Clarify or deny if criteria absent.</w:t>
            </w:r>
          </w:p>
        </w:tc>
        <w:tc>
          <w:tcPr>
            <w:tcW w:type="dxa" w:w="2592"/>
            <w:vAlign w:val="center"/>
            <w:tcMar>
              <w:top w:w="55" w:type="dxa"/>
              <w:start w:w="70" w:type="dxa"/>
              <w:bottom w:w="55" w:type="dxa"/>
              <w:end w:w="70" w:type="dxa"/>
            </w:tcMar>
          </w:tcPr>
          <w:p>
            <w:pPr>
              <w:jc w:val="left"/>
            </w:pPr>
            <w:r/>
            <w:r>
              <w:rPr>
                <w:rFonts w:ascii="Aptos" w:hAnsi="Aptos"/>
                <w:b w:val="0"/>
                <w:sz w:val="13"/>
              </w:rPr>
              <w:t>Source: Statewide + human determination</w:t>
              <w:br/>
              <w:t>Status/applicability: Mandatory; cities unless noted</w:t>
              <w:br/>
              <w:t>Authority: N.J.S.A. 47:1A-5(g)</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NJ-10</w:t>
              <w:br/>
              <w:t>Storage/archive</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Records in storage/archive</w:t>
              <w:br/>
              <w:t>Action: Notify and set date.</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Notice within initial period; date &lt;=21 business days from notice.</w:t>
              <w:br/>
              <w:t>Communication: Written extension/anticipated date.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N.J.S.A. 47:1A-5(i)</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NJ-11</w:t>
              <w:br/>
              <w:t>Reasonable extension</w:t>
            </w:r>
          </w:p>
        </w:tc>
        <w:tc>
          <w:tcPr>
            <w:tcW w:type="dxa" w:w="2592"/>
            <w:vAlign w:val="center"/>
            <w:tcMar>
              <w:top w:w="55" w:type="dxa"/>
              <w:start w:w="70" w:type="dxa"/>
              <w:bottom w:w="55" w:type="dxa"/>
              <w:end w:w="70" w:type="dxa"/>
            </w:tcMar>
          </w:tcPr>
          <w:p>
            <w:pPr>
              <w:jc w:val="left"/>
            </w:pPr>
            <w:r/>
            <w:r>
              <w:rPr>
                <w:rFonts w:ascii="Aptos" w:hAnsi="Aptos"/>
                <w:b w:val="0"/>
                <w:sz w:val="13"/>
              </w:rPr>
              <w:t>Trigger/condition: Unforeseen/reasonably necessary circumstances</w:t>
              <w:br/>
              <w:t>Action: Request reasonable extension with date.</w:t>
            </w:r>
          </w:p>
        </w:tc>
        <w:tc>
          <w:tcPr>
            <w:tcW w:type="dxa" w:w="2592"/>
            <w:vAlign w:val="center"/>
            <w:tcMar>
              <w:top w:w="55" w:type="dxa"/>
              <w:start w:w="70" w:type="dxa"/>
              <w:bottom w:w="55" w:type="dxa"/>
              <w:end w:w="70" w:type="dxa"/>
            </w:tcMar>
          </w:tcPr>
          <w:p>
            <w:pPr>
              <w:jc w:val="left"/>
            </w:pPr>
            <w:r/>
            <w:r>
              <w:rPr>
                <w:rFonts w:ascii="Aptos" w:hAnsi="Aptos"/>
                <w:b w:val="0"/>
                <w:sz w:val="13"/>
              </w:rPr>
              <w:t>Deadline/clock: Notice within initial period; failure at extended date = deemed denial.</w:t>
              <w:br/>
              <w:t>Communication: Written reason/anticipated deadline.</w:t>
            </w:r>
          </w:p>
        </w:tc>
        <w:tc>
          <w:tcPr>
            <w:tcW w:type="dxa" w:w="2592"/>
            <w:vAlign w:val="center"/>
            <w:tcMar>
              <w:top w:w="55" w:type="dxa"/>
              <w:start w:w="70" w:type="dxa"/>
              <w:bottom w:w="55" w:type="dxa"/>
              <w:end w:w="70" w:type="dxa"/>
            </w:tcMar>
          </w:tcPr>
          <w:p>
            <w:pPr>
              <w:jc w:val="left"/>
            </w:pPr>
            <w:r/>
            <w:r>
              <w:rPr>
                <w:rFonts w:ascii="Aptos" w:hAnsi="Aptos"/>
                <w:b w:val="0"/>
                <w:sz w:val="13"/>
              </w:rPr>
              <w:t>Source: Human determination</w:t>
              <w:br/>
              <w:t>Status/applicability: Mandatory; cities unless noted</w:t>
              <w:br/>
              <w:t>Authority: N.J.S.A. 47:1A-5(i); GRC FAQ</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NJ-12</w:t>
              <w:br/>
              <w:t>Substantial disruption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Request would substantially disrupt operations</w:t>
              <w:br/>
              <w:t>Action: Inform and attempt reasonable solution before denial.</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Within applicable response period.</w:t>
              <w:br/>
              <w:t>Communication: Disruption explanation/solution outreach.</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Human determination</w:t>
              <w:br/>
              <w:t>Status/applicability: Mandatory; cities unless noted</w:t>
              <w:br/>
              <w:t>Authority: N.J.S.A. 47:1A-5(g)</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NJ-13</w:t>
              <w:br/>
              <w:t>Denial/partial denial</w:t>
            </w:r>
          </w:p>
        </w:tc>
        <w:tc>
          <w:tcPr>
            <w:tcW w:type="dxa" w:w="2592"/>
            <w:vAlign w:val="center"/>
            <w:tcMar>
              <w:top w:w="55" w:type="dxa"/>
              <w:start w:w="70" w:type="dxa"/>
              <w:bottom w:w="55" w:type="dxa"/>
              <w:end w:w="70" w:type="dxa"/>
            </w:tcMar>
          </w:tcPr>
          <w:p>
            <w:pPr>
              <w:jc w:val="left"/>
            </w:pPr>
            <w:r/>
            <w:r>
              <w:rPr>
                <w:rFonts w:ascii="Aptos" w:hAnsi="Aptos"/>
                <w:b w:val="0"/>
                <w:sz w:val="13"/>
              </w:rPr>
              <w:t>Trigger/condition: Access denied in whole/part</w:t>
              <w:br/>
              <w:t>Action: State specific reason; redact and promptly provide remainder.</w:t>
            </w:r>
          </w:p>
        </w:tc>
        <w:tc>
          <w:tcPr>
            <w:tcW w:type="dxa" w:w="2592"/>
            <w:vAlign w:val="center"/>
            <w:tcMar>
              <w:top w:w="55" w:type="dxa"/>
              <w:start w:w="70" w:type="dxa"/>
              <w:bottom w:w="55" w:type="dxa"/>
              <w:end w:w="70" w:type="dxa"/>
            </w:tcMar>
          </w:tcPr>
          <w:p>
            <w:pPr>
              <w:jc w:val="left"/>
            </w:pPr>
            <w:r/>
            <w:r>
              <w:rPr>
                <w:rFonts w:ascii="Aptos" w:hAnsi="Aptos"/>
                <w:b w:val="0"/>
                <w:sz w:val="13"/>
              </w:rPr>
              <w:t>Deadline/clock: Within applicable response period.</w:t>
              <w:br/>
              <w:t>Communication: Written denial/partial denial.</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N.J.S.A. 47:1A-5(g)</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NJ-14</w:t>
              <w:br/>
              <w:t>Deposit</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Anticipated reproduction cost &gt; $5</w:t>
              <w:br/>
              <w:t>Action: May require deposit.</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Before reproduction under local process.</w:t>
              <w:br/>
              <w:t>Communication: Deposit request.</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 threshold + local procedure</w:t>
              <w:br/>
              <w:t>Status/applicability: Mandatory; cities unless noted</w:t>
              <w:br/>
              <w:t>Authority: N.J.S.A. 47:1A-5(f); GRC FAQ</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NJ-15</w:t>
              <w:br/>
              <w:t>Special service charge</w:t>
            </w:r>
          </w:p>
        </w:tc>
        <w:tc>
          <w:tcPr>
            <w:tcW w:type="dxa" w:w="2592"/>
            <w:vAlign w:val="center"/>
            <w:tcMar>
              <w:top w:w="55" w:type="dxa"/>
              <w:start w:w="70" w:type="dxa"/>
              <w:bottom w:w="55" w:type="dxa"/>
              <w:end w:w="70" w:type="dxa"/>
            </w:tcMar>
          </w:tcPr>
          <w:p>
            <w:pPr>
              <w:jc w:val="left"/>
            </w:pPr>
            <w:r/>
            <w:r>
              <w:rPr>
                <w:rFonts w:ascii="Aptos" w:hAnsi="Aptos"/>
                <w:b w:val="0"/>
                <w:sz w:val="13"/>
              </w:rPr>
              <w:t>Trigger/condition: Voluminous/extraordinary labor or extensive technology/manipulation</w:t>
              <w:br/>
              <w:t>Action: Explain and itemize estimate; obtain requester decision before incurring.</w:t>
            </w:r>
          </w:p>
        </w:tc>
        <w:tc>
          <w:tcPr>
            <w:tcW w:type="dxa" w:w="2592"/>
            <w:vAlign w:val="center"/>
            <w:tcMar>
              <w:top w:w="55" w:type="dxa"/>
              <w:start w:w="70" w:type="dxa"/>
              <w:bottom w:w="55" w:type="dxa"/>
              <w:end w:w="70" w:type="dxa"/>
            </w:tcMar>
          </w:tcPr>
          <w:p>
            <w:pPr>
              <w:jc w:val="left"/>
            </w:pPr>
            <w:r/>
            <w:r>
              <w:rPr>
                <w:rFonts w:ascii="Aptos" w:hAnsi="Aptos"/>
                <w:b w:val="0"/>
                <w:sz w:val="13"/>
              </w:rPr>
              <w:t>Deadline/clock: Advance notice; underlying deadline/extension still managed.</w:t>
              <w:br/>
              <w:t>Communication: Detailed estimate and objection right.</w:t>
            </w:r>
          </w:p>
        </w:tc>
        <w:tc>
          <w:tcPr>
            <w:tcW w:type="dxa" w:w="2592"/>
            <w:vAlign w:val="center"/>
            <w:tcMar>
              <w:top w:w="55" w:type="dxa"/>
              <w:start w:w="70" w:type="dxa"/>
              <w:bottom w:w="55" w:type="dxa"/>
              <w:end w:w="70" w:type="dxa"/>
            </w:tcMar>
          </w:tcPr>
          <w:p>
            <w:pPr>
              <w:jc w:val="left"/>
            </w:pPr>
            <w:r/>
            <w:r>
              <w:rPr>
                <w:rFonts w:ascii="Aptos" w:hAnsi="Aptos"/>
                <w:b w:val="0"/>
                <w:sz w:val="13"/>
              </w:rPr>
              <w:t>Source: Statewide standard + human/local cost data</w:t>
              <w:br/>
              <w:t>Status/applicability: Mandatory; cities unless noted</w:t>
              <w:br/>
              <w:t>Authority: N.J.S.A. 47:1A-5(c); GRC FAQ</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NJ-16</w:t>
              <w:br/>
              <w:t>Website fulfillment</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Complete record available online</w:t>
              <w:br/>
              <w:t>Action: Provide URL/instructions; assist if requester responds.</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Requester 7 business days; assistance within 7; silence = fulfilled.</w:t>
              <w:br/>
              <w:t>Communication: URL/instructions and rights.</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N.J.S.A. 47:1A-5(e) as amended</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NJ-17</w:t>
              <w:br/>
              <w:t>Deemed denial</w:t>
            </w:r>
          </w:p>
        </w:tc>
        <w:tc>
          <w:tcPr>
            <w:tcW w:type="dxa" w:w="2592"/>
            <w:vAlign w:val="center"/>
            <w:tcMar>
              <w:top w:w="55" w:type="dxa"/>
              <w:start w:w="70" w:type="dxa"/>
              <w:bottom w:w="55" w:type="dxa"/>
              <w:end w:w="70" w:type="dxa"/>
            </w:tcMar>
          </w:tcPr>
          <w:p>
            <w:pPr>
              <w:jc w:val="left"/>
            </w:pPr>
            <w:r/>
            <w:r>
              <w:rPr>
                <w:rFonts w:ascii="Aptos" w:hAnsi="Aptos"/>
                <w:b w:val="0"/>
                <w:sz w:val="13"/>
              </w:rPr>
              <w:t>Trigger/condition: No response by applicable initial/extended deadline</w:t>
              <w:br/>
              <w:t>Action: Mark deemed denial and expose appeal route.</w:t>
            </w:r>
          </w:p>
        </w:tc>
        <w:tc>
          <w:tcPr>
            <w:tcW w:type="dxa" w:w="2592"/>
            <w:vAlign w:val="center"/>
            <w:tcMar>
              <w:top w:w="55" w:type="dxa"/>
              <w:start w:w="70" w:type="dxa"/>
              <w:bottom w:w="55" w:type="dxa"/>
              <w:end w:w="70" w:type="dxa"/>
            </w:tcMar>
          </w:tcPr>
          <w:p>
            <w:pPr>
              <w:jc w:val="left"/>
            </w:pPr>
            <w:r/>
            <w:r>
              <w:rPr>
                <w:rFonts w:ascii="Aptos" w:hAnsi="Aptos"/>
                <w:b w:val="0"/>
                <w:sz w:val="13"/>
              </w:rPr>
              <w:t>Deadline/clock: At deadline.</w:t>
              <w:br/>
              <w:t>Communication: System alert; requester may appeal.</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N.J.S.A. 47:1A-5(i)</w:t>
              <w:br/>
              <w:t>Confidence/open issue: High</w:t>
            </w:r>
          </w:p>
        </w:tc>
      </w:tr>
    </w:tbl>
    <w:p>
      <w:pPr>
        <w:spacing w:after="20"/>
      </w:pPr>
    </w:p>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field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Source type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value / legal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Local configuration needed</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custodian_directory_and_routing</w:t>
            </w:r>
          </w:p>
        </w:tc>
        <w:tc>
          <w:tcPr>
            <w:tcW w:type="dxa" w:w="2592"/>
            <w:vAlign w:val="center"/>
            <w:tcMar>
              <w:top w:w="55" w:type="dxa"/>
              <w:start w:w="70" w:type="dxa"/>
              <w:bottom w:w="55" w:type="dxa"/>
              <w:end w:w="70" w:type="dxa"/>
            </w:tcMar>
          </w:tcPr>
          <w:p>
            <w:pPr>
              <w:jc w:val="left"/>
            </w:pPr>
            <w:r/>
            <w:r>
              <w:rPr>
                <w:rFonts w:ascii="Aptos" w:hAnsi="Aptos"/>
                <w:b w:val="0"/>
                <w:sz w:val="14"/>
              </w:rPr>
              <w:t>Statutory + local</w:t>
            </w:r>
          </w:p>
        </w:tc>
        <w:tc>
          <w:tcPr>
            <w:tcW w:type="dxa" w:w="2592"/>
            <w:vAlign w:val="center"/>
            <w:tcMar>
              <w:top w:w="55" w:type="dxa"/>
              <w:start w:w="70" w:type="dxa"/>
              <w:bottom w:w="55" w:type="dxa"/>
              <w:end w:w="70" w:type="dxa"/>
            </w:tcMar>
          </w:tcPr>
          <w:p>
            <w:pPr>
              <w:jc w:val="left"/>
            </w:pPr>
            <w:r/>
            <w:r>
              <w:rPr>
                <w:rFonts w:ascii="Aptos" w:hAnsi="Aptos"/>
                <w:b w:val="0"/>
                <w:sz w:val="14"/>
              </w:rPr>
              <w:t>Clock starts at custodian receipt</w:t>
            </w:r>
          </w:p>
        </w:tc>
        <w:tc>
          <w:tcPr>
            <w:tcW w:type="dxa" w:w="2592"/>
            <w:vAlign w:val="center"/>
            <w:tcMar>
              <w:top w:w="55" w:type="dxa"/>
              <w:start w:w="70" w:type="dxa"/>
              <w:bottom w:w="55" w:type="dxa"/>
              <w:end w:w="70" w:type="dxa"/>
            </w:tcMar>
          </w:tcPr>
          <w:p>
            <w:pPr>
              <w:jc w:val="left"/>
            </w:pPr>
            <w:r/>
            <w:r>
              <w:rPr>
                <w:rFonts w:ascii="Aptos" w:hAnsi="Aptos"/>
                <w:b w:val="0"/>
                <w:sz w:val="14"/>
              </w:rPr>
              <w:t>Employees, forwarding rules, published identity.</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required_request_fields</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Statutory + local form</w:t>
            </w:r>
          </w:p>
        </w:tc>
        <w:tc>
          <w:tcPr>
            <w:tcW w:type="dxa" w:w="2592"/>
            <w:vAlign w:val="center"/>
            <w:tcMar>
              <w:top w:w="55" w:type="dxa"/>
              <w:start w:w="70" w:type="dxa"/>
              <w:bottom w:w="55" w:type="dxa"/>
              <w:end w:w="70" w:type="dxa"/>
            </w:tcMar>
            <w:shd w:fill="F2F2F2"/>
          </w:tcPr>
          <w:p>
            <w:pPr>
              <w:jc w:val="left"/>
            </w:pPr>
            <w:r/>
            <w:r>
              <w:rPr>
                <w:rFonts w:ascii="Aptos" w:hAnsi="Aptos"/>
                <w:b w:val="0"/>
                <w:sz w:val="14"/>
              </w:rPr>
              <w:t>GRC form or complete equivalent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Form schema, validation, anonymous flag.</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legal_track_classifier</w:t>
            </w:r>
          </w:p>
        </w:tc>
        <w:tc>
          <w:tcPr>
            <w:tcW w:type="dxa" w:w="2592"/>
            <w:vAlign w:val="center"/>
            <w:tcMar>
              <w:top w:w="55" w:type="dxa"/>
              <w:start w:w="70" w:type="dxa"/>
              <w:bottom w:w="55" w:type="dxa"/>
              <w:end w:w="70" w:type="dxa"/>
            </w:tcMar>
          </w:tcPr>
          <w:p>
            <w:pPr>
              <w:jc w:val="left"/>
            </w:pPr>
            <w:r/>
            <w:r>
              <w:rPr>
                <w:rFonts w:ascii="Aptos" w:hAnsi="Aptos"/>
                <w:b w:val="0"/>
                <w:sz w:val="14"/>
              </w:rPr>
              <w:t>Statutory</w:t>
            </w:r>
          </w:p>
        </w:tc>
        <w:tc>
          <w:tcPr>
            <w:tcW w:type="dxa" w:w="2592"/>
            <w:vAlign w:val="center"/>
            <w:tcMar>
              <w:top w:w="55" w:type="dxa"/>
              <w:start w:w="70" w:type="dxa"/>
              <w:bottom w:w="55" w:type="dxa"/>
              <w:end w:w="70" w:type="dxa"/>
            </w:tcMar>
          </w:tcPr>
          <w:p>
            <w:pPr>
              <w:jc w:val="left"/>
            </w:pPr>
            <w:r/>
            <w:r>
              <w:rPr>
                <w:rFonts w:ascii="Aptos" w:hAnsi="Aptos"/>
                <w:b w:val="0"/>
                <w:sz w:val="14"/>
              </w:rPr>
              <w:t>Ordinary, immediate, commercial, Daniel’s Law, election, storage/archive</w:t>
            </w:r>
          </w:p>
        </w:tc>
        <w:tc>
          <w:tcPr>
            <w:tcW w:type="dxa" w:w="2592"/>
            <w:vAlign w:val="center"/>
            <w:tcMar>
              <w:top w:w="55" w:type="dxa"/>
              <w:start w:w="70" w:type="dxa"/>
              <w:bottom w:w="55" w:type="dxa"/>
              <w:end w:w="70" w:type="dxa"/>
            </w:tcMar>
          </w:tcPr>
          <w:p>
            <w:pPr>
              <w:jc w:val="left"/>
            </w:pPr>
            <w:r/>
            <w:r>
              <w:rPr>
                <w:rFonts w:ascii="Aptos" w:hAnsi="Aptos"/>
                <w:b w:val="0"/>
                <w:sz w:val="14"/>
              </w:rPr>
              <w:t>Purpose and record-type rules.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communication_request_fields</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Statutory</w:t>
            </w:r>
          </w:p>
        </w:tc>
        <w:tc>
          <w:tcPr>
            <w:tcW w:type="dxa" w:w="2592"/>
            <w:vAlign w:val="center"/>
            <w:tcMar>
              <w:top w:w="55" w:type="dxa"/>
              <w:start w:w="70" w:type="dxa"/>
              <w:bottom w:w="55" w:type="dxa"/>
              <w:end w:w="70" w:type="dxa"/>
            </w:tcMar>
            <w:shd w:fill="F2F2F2"/>
          </w:tcPr>
          <w:p>
            <w:pPr>
              <w:jc w:val="left"/>
            </w:pPr>
            <w:r/>
            <w:r>
              <w:rPr>
                <w:rFonts w:ascii="Aptos" w:hAnsi="Aptos"/>
                <w:b w:val="0"/>
                <w:sz w:val="14"/>
              </w:rPr>
              <w:t>Specific accounts/job title, subject, reasonable time period</w:t>
            </w:r>
          </w:p>
        </w:tc>
        <w:tc>
          <w:tcPr>
            <w:tcW w:type="dxa" w:w="2592"/>
            <w:vAlign w:val="center"/>
            <w:tcMar>
              <w:top w:w="55" w:type="dxa"/>
              <w:start w:w="70" w:type="dxa"/>
              <w:bottom w:w="55" w:type="dxa"/>
              <w:end w:w="70" w:type="dxa"/>
            </w:tcMar>
            <w:shd w:fill="F2F2F2"/>
          </w:tcPr>
          <w:p>
            <w:pPr>
              <w:jc w:val="left"/>
            </w:pPr>
            <w:r/>
            <w:r>
              <w:rPr>
                <w:rFonts w:ascii="Aptos" w:hAnsi="Aptos"/>
                <w:b w:val="0"/>
                <w:sz w:val="14"/>
              </w:rPr>
              <w:t>Structured intake validation.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clarification_timer_behavior</w:t>
            </w:r>
          </w:p>
        </w:tc>
        <w:tc>
          <w:tcPr>
            <w:tcW w:type="dxa" w:w="2592"/>
            <w:vAlign w:val="center"/>
            <w:tcMar>
              <w:top w:w="55" w:type="dxa"/>
              <w:start w:w="70" w:type="dxa"/>
              <w:bottom w:w="55" w:type="dxa"/>
              <w:end w:w="70" w:type="dxa"/>
            </w:tcMar>
          </w:tcPr>
          <w:p>
            <w:pPr>
              <w:jc w:val="left"/>
            </w:pPr>
            <w:r/>
            <w:r>
              <w:rPr>
                <w:rFonts w:ascii="Aptos" w:hAnsi="Aptos"/>
                <w:b w:val="0"/>
                <w:sz w:val="14"/>
              </w:rPr>
              <w:t>Statutory/official guidance</w:t>
            </w:r>
          </w:p>
        </w:tc>
        <w:tc>
          <w:tcPr>
            <w:tcW w:type="dxa" w:w="2592"/>
            <w:vAlign w:val="center"/>
            <w:tcMar>
              <w:top w:w="55" w:type="dxa"/>
              <w:start w:w="70" w:type="dxa"/>
              <w:bottom w:w="55" w:type="dxa"/>
              <w:end w:w="70" w:type="dxa"/>
            </w:tcMar>
          </w:tcPr>
          <w:p>
            <w:pPr>
              <w:jc w:val="left"/>
            </w:pPr>
            <w:r/>
            <w:r>
              <w:rPr>
                <w:rFonts w:ascii="Aptos" w:hAnsi="Aptos"/>
                <w:b w:val="0"/>
                <w:sz w:val="14"/>
              </w:rPr>
              <w:t>Stop; restart applicable period anew</w:t>
            </w:r>
          </w:p>
        </w:tc>
        <w:tc>
          <w:tcPr>
            <w:tcW w:type="dxa" w:w="2592"/>
            <w:vAlign w:val="center"/>
            <w:tcMar>
              <w:top w:w="55" w:type="dxa"/>
              <w:start w:w="70" w:type="dxa"/>
              <w:bottom w:w="55" w:type="dxa"/>
              <w:end w:w="70" w:type="dxa"/>
            </w:tcMar>
          </w:tcPr>
          <w:p>
            <w:pPr>
              <w:jc w:val="left"/>
            </w:pPr>
            <w:r/>
            <w:r>
              <w:rPr>
                <w:rFonts w:ascii="Aptos" w:hAnsi="Aptos"/>
                <w:b w:val="0"/>
                <w:sz w:val="14"/>
              </w:rPr>
              <w:t>Automated pause/restart and audit.</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reasonable_extension_duration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Human/local</w:t>
            </w:r>
          </w:p>
        </w:tc>
        <w:tc>
          <w:tcPr>
            <w:tcW w:type="dxa" w:w="2592"/>
            <w:vAlign w:val="center"/>
            <w:tcMar>
              <w:top w:w="55" w:type="dxa"/>
              <w:start w:w="70" w:type="dxa"/>
              <w:bottom w:w="55" w:type="dxa"/>
              <w:end w:w="70" w:type="dxa"/>
            </w:tcMar>
            <w:shd w:fill="F2F2F2"/>
          </w:tcPr>
          <w:p>
            <w:pPr>
              <w:jc w:val="left"/>
            </w:pPr>
            <w:r/>
            <w:r>
              <w:rPr>
                <w:rFonts w:ascii="Aptos" w:hAnsi="Aptos"/>
                <w:b w:val="0"/>
                <w:sz w:val="14"/>
              </w:rPr>
              <w:t>Must be reasonable with anticipated date</w:t>
            </w:r>
          </w:p>
        </w:tc>
        <w:tc>
          <w:tcPr>
            <w:tcW w:type="dxa" w:w="2592"/>
            <w:vAlign w:val="center"/>
            <w:tcMar>
              <w:top w:w="55" w:type="dxa"/>
              <w:start w:w="70" w:type="dxa"/>
              <w:bottom w:w="55" w:type="dxa"/>
              <w:end w:w="70" w:type="dxa"/>
            </w:tcMar>
            <w:shd w:fill="F2F2F2"/>
          </w:tcPr>
          <w:p>
            <w:pPr>
              <w:jc w:val="left"/>
            </w:pPr>
            <w:r/>
            <w:r>
              <w:rPr>
                <w:rFonts w:ascii="Aptos" w:hAnsi="Aptos"/>
                <w:b w:val="0"/>
                <w:sz w:val="14"/>
              </w:rPr>
              <w:t>Approval and deadline selection.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deposit_policy</w:t>
            </w:r>
          </w:p>
        </w:tc>
        <w:tc>
          <w:tcPr>
            <w:tcW w:type="dxa" w:w="2592"/>
            <w:vAlign w:val="center"/>
            <w:tcMar>
              <w:top w:w="55" w:type="dxa"/>
              <w:start w:w="70" w:type="dxa"/>
              <w:bottom w:w="55" w:type="dxa"/>
              <w:end w:w="70" w:type="dxa"/>
            </w:tcMar>
          </w:tcPr>
          <w:p>
            <w:pPr>
              <w:jc w:val="left"/>
            </w:pPr>
            <w:r/>
            <w:r>
              <w:rPr>
                <w:rFonts w:ascii="Aptos" w:hAnsi="Aptos"/>
                <w:b w:val="0"/>
                <w:sz w:val="14"/>
              </w:rPr>
              <w:t>Statutory option + local</w:t>
            </w:r>
          </w:p>
        </w:tc>
        <w:tc>
          <w:tcPr>
            <w:tcW w:type="dxa" w:w="2592"/>
            <w:vAlign w:val="center"/>
            <w:tcMar>
              <w:top w:w="55" w:type="dxa"/>
              <w:start w:w="70" w:type="dxa"/>
              <w:bottom w:w="55" w:type="dxa"/>
              <w:end w:w="70" w:type="dxa"/>
            </w:tcMar>
          </w:tcPr>
          <w:p>
            <w:pPr>
              <w:jc w:val="left"/>
            </w:pPr>
            <w:r/>
            <w:r>
              <w:rPr>
                <w:rFonts w:ascii="Aptos" w:hAnsi="Aptos"/>
                <w:b w:val="0"/>
                <w:sz w:val="14"/>
              </w:rPr>
              <w:t>$5 anticipated reproduction threshold</w:t>
            </w:r>
          </w:p>
        </w:tc>
        <w:tc>
          <w:tcPr>
            <w:tcW w:type="dxa" w:w="2592"/>
            <w:vAlign w:val="center"/>
            <w:tcMar>
              <w:top w:w="55" w:type="dxa"/>
              <w:start w:w="70" w:type="dxa"/>
              <w:bottom w:w="55" w:type="dxa"/>
              <w:end w:w="70" w:type="dxa"/>
            </w:tcMar>
          </w:tcPr>
          <w:p>
            <w:pPr>
              <w:jc w:val="left"/>
            </w:pPr>
            <w:r/>
            <w:r>
              <w:rPr>
                <w:rFonts w:ascii="Aptos" w:hAnsi="Aptos"/>
                <w:b w:val="0"/>
                <w:sz w:val="14"/>
              </w:rPr>
              <w:t>Deposit amount/percentage and payment method.</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special_service_charge_calculator</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State standard + local costs</w:t>
            </w:r>
          </w:p>
        </w:tc>
        <w:tc>
          <w:tcPr>
            <w:tcW w:type="dxa" w:w="2592"/>
            <w:vAlign w:val="center"/>
            <w:tcMar>
              <w:top w:w="55" w:type="dxa"/>
              <w:start w:w="70" w:type="dxa"/>
              <w:bottom w:w="55" w:type="dxa"/>
              <w:end w:w="70" w:type="dxa"/>
            </w:tcMar>
            <w:shd w:fill="F2F2F2"/>
          </w:tcPr>
          <w:p>
            <w:pPr>
              <w:jc w:val="left"/>
            </w:pPr>
            <w:r/>
            <w:r>
              <w:rPr>
                <w:rFonts w:ascii="Aptos" w:hAnsi="Aptos"/>
                <w:b w:val="0"/>
                <w:sz w:val="14"/>
              </w:rPr>
              <w:t>Actual direct reasonable cost; advance itemization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Rates, work estimates, acceptance/objection.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website_fulfillment_timer</w:t>
            </w:r>
          </w:p>
        </w:tc>
        <w:tc>
          <w:tcPr>
            <w:tcW w:type="dxa" w:w="2592"/>
            <w:vAlign w:val="center"/>
            <w:tcMar>
              <w:top w:w="55" w:type="dxa"/>
              <w:start w:w="70" w:type="dxa"/>
              <w:bottom w:w="55" w:type="dxa"/>
              <w:end w:w="70" w:type="dxa"/>
            </w:tcMar>
          </w:tcPr>
          <w:p>
            <w:pPr>
              <w:jc w:val="left"/>
            </w:pPr>
            <w:r/>
            <w:r>
              <w:rPr>
                <w:rFonts w:ascii="Aptos" w:hAnsi="Aptos"/>
                <w:b w:val="0"/>
                <w:sz w:val="14"/>
              </w:rPr>
              <w:t>Statutory</w:t>
            </w:r>
          </w:p>
        </w:tc>
        <w:tc>
          <w:tcPr>
            <w:tcW w:type="dxa" w:w="2592"/>
            <w:vAlign w:val="center"/>
            <w:tcMar>
              <w:top w:w="55" w:type="dxa"/>
              <w:start w:w="70" w:type="dxa"/>
              <w:bottom w:w="55" w:type="dxa"/>
              <w:end w:w="70" w:type="dxa"/>
            </w:tcMar>
          </w:tcPr>
          <w:p>
            <w:pPr>
              <w:jc w:val="left"/>
            </w:pPr>
            <w:r/>
            <w:r>
              <w:rPr>
                <w:rFonts w:ascii="Aptos" w:hAnsi="Aptos"/>
                <w:b w:val="0"/>
                <w:sz w:val="14"/>
              </w:rPr>
              <w:t>Seven-day requester/assistance branches</w:t>
            </w:r>
          </w:p>
        </w:tc>
        <w:tc>
          <w:tcPr>
            <w:tcW w:type="dxa" w:w="2592"/>
            <w:vAlign w:val="center"/>
            <w:tcMar>
              <w:top w:w="55" w:type="dxa"/>
              <w:start w:w="70" w:type="dxa"/>
              <w:bottom w:w="55" w:type="dxa"/>
              <w:end w:w="70" w:type="dxa"/>
            </w:tcMar>
          </w:tcPr>
          <w:p>
            <w:pPr>
              <w:jc w:val="left"/>
            </w:pPr>
            <w:r/>
            <w:r>
              <w:rPr>
                <w:rFonts w:ascii="Aptos" w:hAnsi="Aptos"/>
                <w:b w:val="0"/>
                <w:sz w:val="14"/>
              </w:rPr>
              <w:t>URL validation and reminders.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operational_complexity_labels</w:t>
            </w:r>
          </w:p>
        </w:tc>
        <w:tc>
          <w:tcPr>
            <w:tcW w:type="dxa" w:w="2592"/>
            <w:vAlign w:val="center"/>
            <w:tcMar>
              <w:top w:w="55" w:type="dxa"/>
              <w:start w:w="70" w:type="dxa"/>
              <w:bottom w:w="55" w:type="dxa"/>
              <w:end w:w="70" w:type="dxa"/>
            </w:tcMar>
            <w:shd w:fill="F2F2F2"/>
          </w:tcPr>
          <w:p>
            <w:pPr>
              <w:jc w:val="left"/>
            </w:pPr>
            <w:r/>
            <w:r>
              <w:rPr>
                <w:rFonts w:ascii="Aptos" w:hAnsi="Aptos"/>
                <w:b w:val="0"/>
                <w:sz w:val="14"/>
              </w:rPr>
              <w:t>Operational</w:t>
            </w:r>
          </w:p>
        </w:tc>
        <w:tc>
          <w:tcPr>
            <w:tcW w:type="dxa" w:w="2592"/>
            <w:vAlign w:val="center"/>
            <w:tcMar>
              <w:top w:w="55" w:type="dxa"/>
              <w:start w:w="70" w:type="dxa"/>
              <w:bottom w:w="55" w:type="dxa"/>
              <w:end w:w="70" w:type="dxa"/>
            </w:tcMar>
            <w:shd w:fill="F2F2F2"/>
          </w:tcPr>
          <w:p>
            <w:pPr>
              <w:jc w:val="left"/>
            </w:pPr>
            <w:r/>
            <w:r>
              <w:rPr>
                <w:rFonts w:ascii="Aptos" w:hAnsi="Aptos"/>
                <w:b w:val="0"/>
                <w:sz w:val="14"/>
              </w:rPr>
              <w:t>No substitute for legal tracks</w:t>
            </w:r>
          </w:p>
        </w:tc>
        <w:tc>
          <w:tcPr>
            <w:tcW w:type="dxa" w:w="2592"/>
            <w:vAlign w:val="center"/>
            <w:tcMar>
              <w:top w:w="55" w:type="dxa"/>
              <w:start w:w="70" w:type="dxa"/>
              <w:bottom w:w="55" w:type="dxa"/>
              <w:end w:w="70" w:type="dxa"/>
            </w:tcMar>
            <w:shd w:fill="F2F2F2"/>
          </w:tcPr>
          <w:p>
            <w:pPr>
              <w:jc w:val="left"/>
            </w:pPr>
            <w:r/>
            <w:r>
              <w:rPr>
                <w:rFonts w:ascii="Aptos" w:hAnsi="Aptos"/>
                <w:b w:val="0"/>
                <w:sz w:val="14"/>
              </w:rPr>
              <w:t>Optional workload labels.</w:t>
            </w:r>
          </w:p>
        </w:tc>
      </w:tr>
    </w:tbl>
    <w:p>
      <w:pPr>
        <w:spacing w:after="20"/>
      </w:pPr>
    </w:p>
    <w:p>
      <w:pPr>
        <w:pStyle w:val="Heading1"/>
      </w:pPr>
      <w:r>
        <w:t>12. Recommended Workflow States and Transitions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4"/>
              </w:rPr>
              <w:t>State</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Entry event</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Permitted next states / exit condition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RECEIVED_NONCUSTODIAN</w:t>
            </w:r>
          </w:p>
        </w:tc>
        <w:tc>
          <w:tcPr>
            <w:tcW w:type="dxa" w:w="3456"/>
            <w:vAlign w:val="center"/>
            <w:tcMar>
              <w:top w:w="55" w:type="dxa"/>
              <w:start w:w="70" w:type="dxa"/>
              <w:bottom w:w="55" w:type="dxa"/>
              <w:end w:w="70" w:type="dxa"/>
            </w:tcMar>
          </w:tcPr>
          <w:p>
            <w:pPr>
              <w:jc w:val="left"/>
            </w:pPr>
            <w:r/>
            <w:r>
              <w:rPr>
                <w:rFonts w:ascii="Aptos" w:hAnsi="Aptos"/>
                <w:b w:val="0"/>
                <w:sz w:val="14"/>
              </w:rPr>
              <w:t>Employee receives request</w:t>
            </w:r>
          </w:p>
        </w:tc>
        <w:tc>
          <w:tcPr>
            <w:tcW w:type="dxa" w:w="3456"/>
            <w:vAlign w:val="center"/>
            <w:tcMar>
              <w:top w:w="55" w:type="dxa"/>
              <w:start w:w="70" w:type="dxa"/>
              <w:bottom w:w="55" w:type="dxa"/>
              <w:end w:w="70" w:type="dxa"/>
            </w:tcMar>
          </w:tcPr>
          <w:p>
            <w:pPr>
              <w:jc w:val="left"/>
            </w:pPr>
            <w:r/>
            <w:r>
              <w:rPr>
                <w:rFonts w:ascii="Aptos" w:hAnsi="Aptos"/>
                <w:b w:val="0"/>
                <w:sz w:val="14"/>
              </w:rPr>
              <w:t>FORWARDED_TO_CUSTODIAN, DIRECTED_TO_CUSTODIAN</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RECEIVED_BY_CUSTODIAN</w:t>
            </w:r>
          </w:p>
        </w:tc>
        <w:tc>
          <w:tcPr>
            <w:tcW w:type="dxa" w:w="3456"/>
            <w:vAlign w:val="center"/>
            <w:tcMar>
              <w:top w:w="55" w:type="dxa"/>
              <w:start w:w="70" w:type="dxa"/>
              <w:bottom w:w="55" w:type="dxa"/>
              <w:end w:w="70" w:type="dxa"/>
            </w:tcMar>
            <w:shd w:fill="F2F2F2"/>
          </w:tcPr>
          <w:p>
            <w:pPr>
              <w:jc w:val="left"/>
            </w:pPr>
            <w:r/>
            <w:r>
              <w:rPr>
                <w:rFonts w:ascii="Aptos" w:hAnsi="Aptos"/>
                <w:b w:val="0"/>
                <w:sz w:val="14"/>
              </w:rPr>
              <w:t>Complete request received</w:t>
            </w:r>
          </w:p>
        </w:tc>
        <w:tc>
          <w:tcPr>
            <w:tcW w:type="dxa" w:w="3456"/>
            <w:vAlign w:val="center"/>
            <w:tcMar>
              <w:top w:w="55" w:type="dxa"/>
              <w:start w:w="70" w:type="dxa"/>
              <w:bottom w:w="55" w:type="dxa"/>
              <w:end w:w="70" w:type="dxa"/>
            </w:tcMar>
            <w:shd w:fill="F2F2F2"/>
          </w:tcPr>
          <w:p>
            <w:pPr>
              <w:jc w:val="left"/>
            </w:pPr>
            <w:r/>
            <w:r>
              <w:rPr>
                <w:rFonts w:ascii="Aptos" w:hAnsi="Aptos"/>
                <w:b w:val="0"/>
                <w:sz w:val="14"/>
              </w:rPr>
              <w:t>VALIDITY_REVIEW, TRACK_CLASSIFICATION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INVALID_OR_INCOMPLETE</w:t>
            </w:r>
          </w:p>
        </w:tc>
        <w:tc>
          <w:tcPr>
            <w:tcW w:type="dxa" w:w="3456"/>
            <w:vAlign w:val="center"/>
            <w:tcMar>
              <w:top w:w="55" w:type="dxa"/>
              <w:start w:w="70" w:type="dxa"/>
              <w:bottom w:w="55" w:type="dxa"/>
              <w:end w:w="70" w:type="dxa"/>
            </w:tcMar>
          </w:tcPr>
          <w:p>
            <w:pPr>
              <w:jc w:val="left"/>
            </w:pPr>
            <w:r/>
            <w:r>
              <w:rPr>
                <w:rFonts w:ascii="Aptos" w:hAnsi="Aptos"/>
                <w:b w:val="0"/>
                <w:sz w:val="14"/>
              </w:rPr>
              <w:t>Required fields/communications criteria absent</w:t>
            </w:r>
          </w:p>
        </w:tc>
        <w:tc>
          <w:tcPr>
            <w:tcW w:type="dxa" w:w="3456"/>
            <w:vAlign w:val="center"/>
            <w:tcMar>
              <w:top w:w="55" w:type="dxa"/>
              <w:start w:w="70" w:type="dxa"/>
              <w:bottom w:w="55" w:type="dxa"/>
              <w:end w:w="70" w:type="dxa"/>
            </w:tcMar>
          </w:tcPr>
          <w:p>
            <w:pPr>
              <w:jc w:val="left"/>
            </w:pPr>
            <w:r/>
            <w:r>
              <w:rPr>
                <w:rFonts w:ascii="Aptos" w:hAnsi="Aptos"/>
                <w:b w:val="0"/>
                <w:sz w:val="14"/>
              </w:rPr>
              <w:t>DENIED_INVALID, CLARIFICATION_REQUESTED</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TRACK_CLASSIFICATION</w:t>
            </w:r>
          </w:p>
        </w:tc>
        <w:tc>
          <w:tcPr>
            <w:tcW w:type="dxa" w:w="3456"/>
            <w:vAlign w:val="center"/>
            <w:tcMar>
              <w:top w:w="55" w:type="dxa"/>
              <w:start w:w="70" w:type="dxa"/>
              <w:bottom w:w="55" w:type="dxa"/>
              <w:end w:w="70" w:type="dxa"/>
            </w:tcMar>
            <w:shd w:fill="F2F2F2"/>
          </w:tcPr>
          <w:p>
            <w:pPr>
              <w:jc w:val="left"/>
            </w:pPr>
            <w:r/>
            <w:r>
              <w:rPr>
                <w:rFonts w:ascii="Aptos" w:hAnsi="Aptos"/>
                <w:b w:val="0"/>
                <w:sz w:val="14"/>
              </w:rPr>
              <w:t>Valid request</w:t>
            </w:r>
          </w:p>
        </w:tc>
        <w:tc>
          <w:tcPr>
            <w:tcW w:type="dxa" w:w="3456"/>
            <w:vAlign w:val="center"/>
            <w:tcMar>
              <w:top w:w="55" w:type="dxa"/>
              <w:start w:w="70" w:type="dxa"/>
              <w:bottom w:w="55" w:type="dxa"/>
              <w:end w:w="70" w:type="dxa"/>
            </w:tcMar>
            <w:shd w:fill="F2F2F2"/>
          </w:tcPr>
          <w:p>
            <w:pPr>
              <w:jc w:val="left"/>
            </w:pPr>
            <w:r/>
            <w:r>
              <w:rPr>
                <w:rFonts w:ascii="Aptos" w:hAnsi="Aptos"/>
                <w:b w:val="0"/>
                <w:sz w:val="14"/>
              </w:rPr>
              <w:t>ORDINARY_7, IMMEDIATE, COMMERCIAL_14, DANIELS_14, ELECTION_2, STORAGE_ARCHIVE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CLARIFICATION_REQUESTED</w:t>
            </w:r>
          </w:p>
        </w:tc>
        <w:tc>
          <w:tcPr>
            <w:tcW w:type="dxa" w:w="3456"/>
            <w:vAlign w:val="center"/>
            <w:tcMar>
              <w:top w:w="55" w:type="dxa"/>
              <w:start w:w="70" w:type="dxa"/>
              <w:bottom w:w="55" w:type="dxa"/>
              <w:end w:w="70" w:type="dxa"/>
            </w:tcMar>
          </w:tcPr>
          <w:p>
            <w:pPr>
              <w:jc w:val="left"/>
            </w:pPr>
            <w:r/>
            <w:r>
              <w:rPr>
                <w:rFonts w:ascii="Aptos" w:hAnsi="Aptos"/>
                <w:b w:val="0"/>
                <w:sz w:val="14"/>
              </w:rPr>
              <w:t>Written timely request</w:t>
            </w:r>
          </w:p>
        </w:tc>
        <w:tc>
          <w:tcPr>
            <w:tcW w:type="dxa" w:w="3456"/>
            <w:vAlign w:val="center"/>
            <w:tcMar>
              <w:top w:w="55" w:type="dxa"/>
              <w:start w:w="70" w:type="dxa"/>
              <w:bottom w:w="55" w:type="dxa"/>
              <w:end w:w="70" w:type="dxa"/>
            </w:tcMar>
          </w:tcPr>
          <w:p>
            <w:pPr>
              <w:jc w:val="left"/>
            </w:pPr>
            <w:r/>
            <w:r>
              <w:rPr>
                <w:rFonts w:ascii="Aptos" w:hAnsi="Aptos"/>
                <w:b w:val="0"/>
                <w:sz w:val="14"/>
              </w:rPr>
              <w:t>CLOCK_STOPPED</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CLOCK_STOPPED</w:t>
            </w:r>
          </w:p>
        </w:tc>
        <w:tc>
          <w:tcPr>
            <w:tcW w:type="dxa" w:w="3456"/>
            <w:vAlign w:val="center"/>
            <w:tcMar>
              <w:top w:w="55" w:type="dxa"/>
              <w:start w:w="70" w:type="dxa"/>
              <w:bottom w:w="55" w:type="dxa"/>
              <w:end w:w="70" w:type="dxa"/>
            </w:tcMar>
            <w:shd w:fill="F2F2F2"/>
          </w:tcPr>
          <w:p>
            <w:pPr>
              <w:jc w:val="left"/>
            </w:pPr>
            <w:r/>
            <w:r>
              <w:rPr>
                <w:rFonts w:ascii="Aptos" w:hAnsi="Aptos"/>
                <w:b w:val="0"/>
                <w:sz w:val="14"/>
              </w:rPr>
              <w:t>Awaiting requester clarification</w:t>
            </w:r>
          </w:p>
        </w:tc>
        <w:tc>
          <w:tcPr>
            <w:tcW w:type="dxa" w:w="3456"/>
            <w:vAlign w:val="center"/>
            <w:tcMar>
              <w:top w:w="55" w:type="dxa"/>
              <w:start w:w="70" w:type="dxa"/>
              <w:bottom w:w="55" w:type="dxa"/>
              <w:end w:w="70" w:type="dxa"/>
            </w:tcMar>
            <w:shd w:fill="F2F2F2"/>
          </w:tcPr>
          <w:p>
            <w:pPr>
              <w:jc w:val="left"/>
            </w:pPr>
            <w:r/>
            <w:r>
              <w:rPr>
                <w:rFonts w:ascii="Aptos" w:hAnsi="Aptos"/>
                <w:b w:val="0"/>
                <w:sz w:val="14"/>
              </w:rPr>
              <w:t>TRACK_CLASSIFICATION_RESTARTED</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EXTENSION_REQUESTED</w:t>
            </w:r>
          </w:p>
        </w:tc>
        <w:tc>
          <w:tcPr>
            <w:tcW w:type="dxa" w:w="3456"/>
            <w:vAlign w:val="center"/>
            <w:tcMar>
              <w:top w:w="55" w:type="dxa"/>
              <w:start w:w="70" w:type="dxa"/>
              <w:bottom w:w="55" w:type="dxa"/>
              <w:end w:w="70" w:type="dxa"/>
            </w:tcMar>
          </w:tcPr>
          <w:p>
            <w:pPr>
              <w:jc w:val="left"/>
            </w:pPr>
            <w:r/>
            <w:r>
              <w:rPr>
                <w:rFonts w:ascii="Aptos" w:hAnsi="Aptos"/>
                <w:b w:val="0"/>
                <w:sz w:val="14"/>
              </w:rPr>
              <w:t>Unforeseen/necessary or immediate delay</w:t>
            </w:r>
          </w:p>
        </w:tc>
        <w:tc>
          <w:tcPr>
            <w:tcW w:type="dxa" w:w="3456"/>
            <w:vAlign w:val="center"/>
            <w:tcMar>
              <w:top w:w="55" w:type="dxa"/>
              <w:start w:w="70" w:type="dxa"/>
              <w:bottom w:w="55" w:type="dxa"/>
              <w:end w:w="70" w:type="dxa"/>
            </w:tcMar>
          </w:tcPr>
          <w:p>
            <w:pPr>
              <w:jc w:val="left"/>
            </w:pPr>
            <w:r/>
            <w:r>
              <w:rPr>
                <w:rFonts w:ascii="Aptos" w:hAnsi="Aptos"/>
                <w:b w:val="0"/>
                <w:sz w:val="14"/>
              </w:rPr>
              <w:t>PROCESSING_TO_ANTICIPATED_DATE</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SUBSTANTIAL_DISRUPTION_REVIEW</w:t>
            </w:r>
          </w:p>
        </w:tc>
        <w:tc>
          <w:tcPr>
            <w:tcW w:type="dxa" w:w="3456"/>
            <w:vAlign w:val="center"/>
            <w:tcMar>
              <w:top w:w="55" w:type="dxa"/>
              <w:start w:w="70" w:type="dxa"/>
              <w:bottom w:w="55" w:type="dxa"/>
              <w:end w:w="70" w:type="dxa"/>
            </w:tcMar>
            <w:shd w:fill="F2F2F2"/>
          </w:tcPr>
          <w:p>
            <w:pPr>
              <w:jc w:val="left"/>
            </w:pPr>
            <w:r/>
            <w:r>
              <w:rPr>
                <w:rFonts w:ascii="Aptos" w:hAnsi="Aptos"/>
                <w:b w:val="0"/>
                <w:sz w:val="14"/>
              </w:rPr>
              <w:t>Potential disruption</w:t>
            </w:r>
          </w:p>
        </w:tc>
        <w:tc>
          <w:tcPr>
            <w:tcW w:type="dxa" w:w="3456"/>
            <w:vAlign w:val="center"/>
            <w:tcMar>
              <w:top w:w="55" w:type="dxa"/>
              <w:start w:w="70" w:type="dxa"/>
              <w:bottom w:w="55" w:type="dxa"/>
              <w:end w:w="70" w:type="dxa"/>
            </w:tcMar>
            <w:shd w:fill="F2F2F2"/>
          </w:tcPr>
          <w:p>
            <w:pPr>
              <w:jc w:val="left"/>
            </w:pPr>
            <w:r/>
            <w:r>
              <w:rPr>
                <w:rFonts w:ascii="Aptos" w:hAnsi="Aptos"/>
                <w:b w:val="0"/>
                <w:sz w:val="14"/>
              </w:rPr>
              <w:t>REASONABLE_SOLUTION_NEGOTIATION, DENIED_DISRUPTION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SPECIAL_SERVICE_ESTIMATE</w:t>
            </w:r>
          </w:p>
        </w:tc>
        <w:tc>
          <w:tcPr>
            <w:tcW w:type="dxa" w:w="3456"/>
            <w:vAlign w:val="center"/>
            <w:tcMar>
              <w:top w:w="55" w:type="dxa"/>
              <w:start w:w="70" w:type="dxa"/>
              <w:bottom w:w="55" w:type="dxa"/>
              <w:end w:w="70" w:type="dxa"/>
            </w:tcMar>
          </w:tcPr>
          <w:p>
            <w:pPr>
              <w:jc w:val="left"/>
            </w:pPr>
            <w:r/>
            <w:r>
              <w:rPr>
                <w:rFonts w:ascii="Aptos" w:hAnsi="Aptos"/>
                <w:b w:val="0"/>
                <w:sz w:val="14"/>
              </w:rPr>
              <w:t>Charge may apply</w:t>
            </w:r>
          </w:p>
        </w:tc>
        <w:tc>
          <w:tcPr>
            <w:tcW w:type="dxa" w:w="3456"/>
            <w:vAlign w:val="center"/>
            <w:tcMar>
              <w:top w:w="55" w:type="dxa"/>
              <w:start w:w="70" w:type="dxa"/>
              <w:bottom w:w="55" w:type="dxa"/>
              <w:end w:w="70" w:type="dxa"/>
            </w:tcMar>
          </w:tcPr>
          <w:p>
            <w:pPr>
              <w:jc w:val="left"/>
            </w:pPr>
            <w:r/>
            <w:r>
              <w:rPr>
                <w:rFonts w:ascii="Aptos" w:hAnsi="Aptos"/>
                <w:b w:val="0"/>
                <w:sz w:val="14"/>
              </w:rPr>
              <w:t>AWAITING_REQUESTER_AGREEMENT, PROCESSING, DENIED_FEE_DISPUTE</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WEBSITE_FULFILLMENT</w:t>
            </w:r>
          </w:p>
        </w:tc>
        <w:tc>
          <w:tcPr>
            <w:tcW w:type="dxa" w:w="3456"/>
            <w:vAlign w:val="center"/>
            <w:tcMar>
              <w:top w:w="55" w:type="dxa"/>
              <w:start w:w="70" w:type="dxa"/>
              <w:bottom w:w="55" w:type="dxa"/>
              <w:end w:w="70" w:type="dxa"/>
            </w:tcMar>
            <w:shd w:fill="F2F2F2"/>
          </w:tcPr>
          <w:p>
            <w:pPr>
              <w:jc w:val="left"/>
            </w:pPr>
            <w:r/>
            <w:r>
              <w:rPr>
                <w:rFonts w:ascii="Aptos" w:hAnsi="Aptos"/>
                <w:b w:val="0"/>
                <w:sz w:val="14"/>
              </w:rPr>
              <w:t>URL/instructions sent</w:t>
            </w:r>
          </w:p>
        </w:tc>
        <w:tc>
          <w:tcPr>
            <w:tcW w:type="dxa" w:w="3456"/>
            <w:vAlign w:val="center"/>
            <w:tcMar>
              <w:top w:w="55" w:type="dxa"/>
              <w:start w:w="70" w:type="dxa"/>
              <w:bottom w:w="55" w:type="dxa"/>
              <w:end w:w="70" w:type="dxa"/>
            </w:tcMar>
            <w:shd w:fill="F2F2F2"/>
          </w:tcPr>
          <w:p>
            <w:pPr>
              <w:jc w:val="left"/>
            </w:pPr>
            <w:r/>
            <w:r>
              <w:rPr>
                <w:rFonts w:ascii="Aptos" w:hAnsi="Aptos"/>
                <w:b w:val="0"/>
                <w:sz w:val="14"/>
              </w:rPr>
              <w:t>FULFILLED_AFTER_7_DAYS, ASSISTANCE_REQUESTED, PHYSICAL_COPY_REQUESTED</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READY_TO_PRODUCE</w:t>
            </w:r>
          </w:p>
        </w:tc>
        <w:tc>
          <w:tcPr>
            <w:tcW w:type="dxa" w:w="3456"/>
            <w:vAlign w:val="center"/>
            <w:tcMar>
              <w:top w:w="55" w:type="dxa"/>
              <w:start w:w="70" w:type="dxa"/>
              <w:bottom w:w="55" w:type="dxa"/>
              <w:end w:w="70" w:type="dxa"/>
            </w:tcMar>
          </w:tcPr>
          <w:p>
            <w:pPr>
              <w:jc w:val="left"/>
            </w:pPr>
            <w:r/>
            <w:r>
              <w:rPr>
                <w:rFonts w:ascii="Aptos" w:hAnsi="Aptos"/>
                <w:b w:val="0"/>
                <w:sz w:val="14"/>
              </w:rPr>
              <w:t>Approved records</w:t>
            </w:r>
          </w:p>
        </w:tc>
        <w:tc>
          <w:tcPr>
            <w:tcW w:type="dxa" w:w="3456"/>
            <w:vAlign w:val="center"/>
            <w:tcMar>
              <w:top w:w="55" w:type="dxa"/>
              <w:start w:w="70" w:type="dxa"/>
              <w:bottom w:w="55" w:type="dxa"/>
              <w:end w:w="70" w:type="dxa"/>
            </w:tcMar>
          </w:tcPr>
          <w:p>
            <w:pPr>
              <w:jc w:val="left"/>
            </w:pPr>
            <w:r/>
            <w:r>
              <w:rPr>
                <w:rFonts w:ascii="Aptos" w:hAnsi="Aptos"/>
                <w:b w:val="0"/>
                <w:sz w:val="14"/>
              </w:rPr>
              <w:t>DEPOSIT_OR_PAYMENT, DELIVERED</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DEEMED_DENIAL</w:t>
            </w:r>
          </w:p>
        </w:tc>
        <w:tc>
          <w:tcPr>
            <w:tcW w:type="dxa" w:w="3456"/>
            <w:vAlign w:val="center"/>
            <w:tcMar>
              <w:top w:w="55" w:type="dxa"/>
              <w:start w:w="70" w:type="dxa"/>
              <w:bottom w:w="55" w:type="dxa"/>
              <w:end w:w="70" w:type="dxa"/>
            </w:tcMar>
            <w:shd w:fill="F2F2F2"/>
          </w:tcPr>
          <w:p>
            <w:pPr>
              <w:jc w:val="left"/>
            </w:pPr>
            <w:r/>
            <w:r>
              <w:rPr>
                <w:rFonts w:ascii="Aptos" w:hAnsi="Aptos"/>
                <w:b w:val="0"/>
                <w:sz w:val="14"/>
              </w:rPr>
              <w:t>Applicable deadline missed</w:t>
            </w:r>
          </w:p>
        </w:tc>
        <w:tc>
          <w:tcPr>
            <w:tcW w:type="dxa" w:w="3456"/>
            <w:vAlign w:val="center"/>
            <w:tcMar>
              <w:top w:w="55" w:type="dxa"/>
              <w:start w:w="70" w:type="dxa"/>
              <w:bottom w:w="55" w:type="dxa"/>
              <w:end w:w="70" w:type="dxa"/>
            </w:tcMar>
            <w:shd w:fill="F2F2F2"/>
          </w:tcPr>
          <w:p>
            <w:pPr>
              <w:jc w:val="left"/>
            </w:pPr>
            <w:r/>
            <w:r>
              <w:rPr>
                <w:rFonts w:ascii="Aptos" w:hAnsi="Aptos"/>
                <w:b w:val="0"/>
                <w:sz w:val="14"/>
              </w:rPr>
              <w:t>APPEAL_AVAILABLE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CLOSED</w:t>
            </w:r>
          </w:p>
        </w:tc>
        <w:tc>
          <w:tcPr>
            <w:tcW w:type="dxa" w:w="3456"/>
            <w:vAlign w:val="center"/>
            <w:tcMar>
              <w:top w:w="55" w:type="dxa"/>
              <w:start w:w="70" w:type="dxa"/>
              <w:bottom w:w="55" w:type="dxa"/>
              <w:end w:w="70" w:type="dxa"/>
            </w:tcMar>
          </w:tcPr>
          <w:p>
            <w:pPr>
              <w:jc w:val="left"/>
            </w:pPr>
            <w:r/>
            <w:r>
              <w:rPr>
                <w:rFonts w:ascii="Aptos" w:hAnsi="Aptos"/>
                <w:b w:val="0"/>
                <w:sz w:val="14"/>
              </w:rPr>
              <w:t>Produced, denied, deemed fulfilled, or otherwise completed</w:t>
            </w:r>
          </w:p>
        </w:tc>
        <w:tc>
          <w:tcPr>
            <w:tcW w:type="dxa" w:w="3456"/>
            <w:vAlign w:val="center"/>
            <w:tcMar>
              <w:top w:w="55" w:type="dxa"/>
              <w:start w:w="70" w:type="dxa"/>
              <w:bottom w:w="55" w:type="dxa"/>
              <w:end w:w="70" w:type="dxa"/>
            </w:tcMar>
          </w:tcPr>
          <w:p>
            <w:pPr>
              <w:jc w:val="left"/>
            </w:pPr>
            <w:r/>
            <w:r>
              <w:rPr>
                <w:rFonts w:ascii="Aptos" w:hAnsi="Aptos"/>
                <w:b w:val="0"/>
                <w:sz w:val="14"/>
              </w:rPr>
              <w:t>Terminal with track history</w:t>
            </w:r>
          </w:p>
        </w:tc>
      </w:tr>
    </w:tbl>
    <w:p>
      <w:pPr>
        <w:spacing w:after="20"/>
      </w:pPr>
    </w:p>
    <w:p>
      <w:pPr>
        <w:pStyle w:val="Heading1"/>
      </w:pPr>
      <w:r>
        <w:t>13. Unresolved Questions and Local-Policy Decisions</w:t>
      </w:r>
    </w:p>
    <w:p>
      <w:pPr>
        <w:pStyle w:val="ListBullet"/>
        <w:spacing w:after="30"/>
      </w:pPr>
      <w:r>
        <w:t>City form fields and portal validation aligned to the current GRC form, including commercial-purpose certification and anonymous requests.</w:t>
      </w:r>
    </w:p>
    <w:p>
      <w:pPr>
        <w:pStyle w:val="ListBullet"/>
        <w:spacing w:after="30"/>
      </w:pPr>
      <w:r>
        <w:t>Automated rules for classifying Daniel’s Law review and specified election/immediate-access records.</w:t>
      </w:r>
    </w:p>
    <w:p>
      <w:pPr>
        <w:pStyle w:val="ListBullet"/>
        <w:spacing w:after="30"/>
      </w:pPr>
      <w:r>
        <w:t>Local approval and duration standards for a “reasonable” unforeseen-circumstances extension.</w:t>
      </w:r>
    </w:p>
    <w:p>
      <w:pPr>
        <w:pStyle w:val="ListBullet"/>
        <w:spacing w:after="30"/>
      </w:pPr>
      <w:r>
        <w:t>Deposit amount and collection policy once anticipated reproduction exceeds $5.</w:t>
      </w:r>
    </w:p>
    <w:p>
      <w:pPr>
        <w:pStyle w:val="ListBullet"/>
        <w:spacing w:after="30"/>
      </w:pPr>
      <w:r>
        <w:t>How long a city keeps an ordinary clarification request open when OPRA provides a clock stop/restart but no universal clarification-abandonment period in the cited guidance.</w:t>
      </w:r>
    </w:p>
    <w:p>
      <w:pPr>
        <w:pStyle w:val="ListBullet"/>
        <w:spacing w:after="30"/>
      </w:pPr>
      <w:r>
        <w:t>Operational integration between the statutory website-fulfillment process and physical-copy fallback.</w:t>
      </w:r>
    </w:p>
    <w:p>
      <w:pPr>
        <w:pStyle w:val="Heading1"/>
      </w:pPr>
      <w:r>
        <w:t>14. Suggestions Discovered During This State Review</w:t>
      </w:r>
    </w:p>
    <w:p>
      <w:pPr>
        <w:pStyle w:val="ListBullet"/>
        <w:spacing w:after="30"/>
      </w:pPr>
      <w:r>
        <w:t>The universal model needs legal track selection based on request purpose and record category before timer creation.</w:t>
      </w:r>
    </w:p>
    <w:p>
      <w:pPr>
        <w:pStyle w:val="ListBullet"/>
        <w:spacing w:after="30"/>
      </w:pPr>
      <w:r>
        <w:t>Clarification can stop a timer and then start an entirely new full period, which is different from resuming remaining time.</w:t>
      </w:r>
    </w:p>
    <w:p>
      <w:pPr>
        <w:pStyle w:val="ListBullet"/>
        <w:spacing w:after="30"/>
      </w:pPr>
      <w:r>
        <w:t>“Invalid request,” exemption denial, substantial-disruption denial, fee-disagreement denial, and deemed denial should be distinct terminal/outcome codes.</w:t>
      </w:r>
    </w:p>
    <w:p>
      <w:pPr>
        <w:pStyle w:val="ListBullet"/>
        <w:spacing w:after="30"/>
      </w:pPr>
      <w:r>
        <w:t>Website fulfillment can include requester-response and assistance sub-timers and should be modeled as a workflow, not merely a delivery channel.</w:t>
      </w:r>
    </w:p>
    <w:p>
      <w:pPr>
        <w:pStyle w:val="Heading1"/>
      </w:pPr>
      <w:r>
        <w:t>15. Primary Sources</w:t>
      </w:r>
    </w:p>
    <w:p>
      <w:pPr>
        <w:spacing w:after="40"/>
      </w:pPr>
      <w:r>
        <w:rPr>
          <w:b/>
        </w:rPr>
        <w:t>New Jersey Government Records Council - Readable Version of OPRA</w:t>
      </w:r>
      <w:r>
        <w:t xml:space="preserve"> - Official readable statutory compilation reflecting P.L. 2024, c.16.</w:t>
        <w:br/>
        <w:t>https://www.nj.gov/grc/laws/act/</w:t>
      </w:r>
    </w:p>
    <w:p>
      <w:pPr>
        <w:spacing w:after="40"/>
      </w:pPr>
      <w:r>
        <w:rPr>
          <w:b/>
        </w:rPr>
        <w:t>New Jersey Government Records Council - Citizen’s Guide to OPRA</w:t>
      </w:r>
      <w:r>
        <w:t xml:space="preserve"> - Official guide updated for the September 3, 2024 amendments.</w:t>
        <w:br/>
        <w:t>https://www.nj.gov/grc/public/citizens/</w:t>
      </w:r>
    </w:p>
    <w:p>
      <w:pPr>
        <w:spacing w:after="40"/>
      </w:pPr>
      <w:r>
        <w:rPr>
          <w:b/>
        </w:rPr>
        <w:t>GRC Time Frame for Access</w:t>
      </w:r>
      <w:r>
        <w:t xml:space="preserve"> - Official summary of seven-day and special response tracks.</w:t>
        <w:br/>
        <w:t>https://www.nj.gov/grc/public/complaints/time.html</w:t>
      </w:r>
    </w:p>
    <w:p>
      <w:pPr>
        <w:spacing w:after="40"/>
      </w:pPr>
      <w:r>
        <w:rPr>
          <w:b/>
        </w:rPr>
        <w:t>GRC Public FAQs</w:t>
      </w:r>
      <w:r>
        <w:t xml:space="preserve"> - Official fee, deposit, extension, and response guidance.</w:t>
        <w:br/>
        <w:t>https://www.nj.gov/grc/public/faqs/</w:t>
      </w:r>
    </w:p>
    <w:p>
      <w:pPr>
        <w:spacing w:after="40"/>
      </w:pPr>
      <w:r>
        <w:rPr>
          <w:b/>
        </w:rPr>
        <w:t>GRC Custodian FAQs</w:t>
      </w:r>
      <w:r>
        <w:t xml:space="preserve"> - Official clarification, routing, denial, and custodian workflow guidance.</w:t>
        <w:br/>
        <w:t>https://www.nj.gov/grc/custodians/faqs/</w:t>
      </w:r>
    </w:p>
    <w:sectPr w:rsidR="00FC693F" w:rsidRPr="0006063C" w:rsidSect="00034616">
      <w:headerReference w:type="default" r:id="rId9"/>
      <w:footerReference w:type="default" r:id="rId10"/>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Initial-processing legal workflow and software configuration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New Jersey | National Open Records Workflow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Jersey Public Records Workflow</dc:title>
  <dc:subject>Initial processing reverse-engineered into software configuration requirements</dc:subject>
  <dc:creator>OpenAI</dc:creator>
  <cp:keywords>public records, open records, city workflow, software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