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Oklahoma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Oklahoma Open Records Act, 51 O.S. §§ 24A.1 et seq.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Oklahoma uses a qualitative statewide production standard rather than a fixed response-day deadline. A city must provide prompt, reasonable access, may adopt protective procedures, and may delay only for preparation and avoidance of excessive disruption. Current law also contains an explicit reasonable-specificity validation process and permits denial only after engagement fails to make the request sufficiently specific.</w:t>
      </w:r>
    </w:p>
    <w:p>
      <w:r>
        <w:rPr>
          <w:b/>
        </w:rPr>
        <w:t xml:space="preserve">Core engine pattern: </w:t>
      </w:r>
      <w:r>
        <w:t>Qualitative access timer + specificity-remediation branch + purpose/burden-based search-fee branch + conditional advance payment.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51 O.S. § 24A.5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Access, fees, specificity, segregation, designated release personnel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Directly applicable to city public bodies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Oklahoma Open Records Act, §§ 24A.1-.40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Definitions, exemptions, enforcement, specialized records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Applicable according to public-body definition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Official Oklahoma agency fee/request guidance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Illustrates implementation of estimates, forms, and fee schedules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Agency policy only; local values must be configured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Receive and route: </w:t>
      </w:r>
      <w:r>
        <w:t>Timestamp receipt and route it to an authorized records-release person. Oklahoma requires designated persons and at least one available during regular business hours.</w:t>
      </w:r>
    </w:p>
    <w:p>
      <w:pPr>
        <w:pStyle w:val="ListNumber"/>
        <w:spacing w:after="40"/>
      </w:pPr>
      <w:r>
        <w:rPr>
          <w:b/>
        </w:rPr>
        <w:t xml:space="preserve">Validate the request: </w:t>
      </w:r>
      <w:r>
        <w:t>Determine whether it seeks identifiable existing records and whether it supplies a general timeframe, identifiable records, and sufficiently specific search terms.</w:t>
      </w:r>
    </w:p>
    <w:p>
      <w:pPr>
        <w:pStyle w:val="ListNumber"/>
        <w:spacing w:after="40"/>
      </w:pPr>
      <w:r>
        <w:rPr>
          <w:b/>
        </w:rPr>
        <w:t xml:space="preserve">Clarify if deficient: </w:t>
      </w:r>
      <w:r>
        <w:t>When reasonable specificity is lacking, engage the requester, explain what is missing, and offer general topics or a list of potentially responsive record types.</w:t>
      </w:r>
    </w:p>
    <w:p>
      <w:pPr>
        <w:pStyle w:val="ListNumber"/>
        <w:spacing w:after="40"/>
      </w:pPr>
      <w:r>
        <w:rPr>
          <w:b/>
        </w:rPr>
        <w:t xml:space="preserve">Classify fee authority: </w:t>
      </w:r>
      <w:r>
        <w:t>Determine whether only direct copying costs apply, or whether the request is solely commercial or would clearly cause excessive disruption and may therefore support a search fee.</w:t>
      </w:r>
    </w:p>
    <w:p>
      <w:pPr>
        <w:pStyle w:val="ListNumber"/>
        <w:spacing w:after="40"/>
      </w:pPr>
      <w:r>
        <w:rPr>
          <w:b/>
        </w:rPr>
        <w:t xml:space="preserve">Estimate and obtain advance payment when authorized: </w:t>
      </w:r>
      <w:r>
        <w:t>If estimated authorized fees exceed $75, or prior fees remain outstanding, issue an estimate and require advance payment if the city elects to use that authority.</w:t>
      </w:r>
    </w:p>
    <w:p>
      <w:pPr>
        <w:pStyle w:val="ListNumber"/>
        <w:spacing w:after="40"/>
      </w:pPr>
      <w:r>
        <w:rPr>
          <w:b/>
        </w:rPr>
        <w:t xml:space="preserve">Search, review, segregate, and release: </w:t>
      </w:r>
      <w:r>
        <w:t>Provide reasonably segregable portions and complete work promptly; do not queue a quick request behind a substantially longer one in a manner that causes unreasonable delay.</w:t>
      </w:r>
    </w:p>
    <w:p>
      <w:pPr>
        <w:pStyle w:val="ListNumber"/>
        <w:spacing w:after="40"/>
      </w:pPr>
      <w:r>
        <w:rPr>
          <w:b/>
        </w:rPr>
        <w:t xml:space="preserve">Close or deny: </w:t>
      </w:r>
      <w:r>
        <w:t>If engagement does not cure the statutory specificity defects, issue a documented denial. Otherwise provide records, a partial release, or an exemption determination.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Valid request received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Prompt, reasonable access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Begin processing and communicate operationally as needed; no fixed statewide number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Qualitative timer starts at receipt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51 O.S. § 24A.5(6)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Specificity deficient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numeric period stated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Ask for clarification and engage to identify records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Statewide toll/reset rule not stated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 24A.5(7)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Estimate &gt; $75 or prior unpaid fees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work when advance payment invoked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Estimated authorized fees and payment demand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branch; no statutory response-period conversion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 24A.5 fee provisions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Still not reasonably specific after engagement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numeric period stated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Documented denial recommended; statute permits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Ends clarification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 24A.5(7)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Responsive exempt and nonexempt content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Prompt, reasonable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Release segregable portions after deletion of exempt content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separate deadline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 24A.5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request may be required to use a form, but the form does not replace the substantive reasonable-specificity test.</w:t>
      </w:r>
    </w:p>
    <w:p>
      <w:pPr>
        <w:pStyle w:val="ListBullet"/>
        <w:spacing w:after="30"/>
      </w:pPr>
      <w:r>
        <w:t>Reasonable specificity expressly includes a general timeframe, identifiable records rather than general information, and sufficiently specific search terms.</w:t>
      </w:r>
    </w:p>
    <w:p>
      <w:pPr>
        <w:pStyle w:val="ListBullet"/>
        <w:spacing w:after="30"/>
      </w:pPr>
      <w:r>
        <w:t>The city should record each engagement step and the topics or record lists offered; this evidence is a condition precedent to the statutory authority to deny a still-insufficient request.</w:t>
      </w:r>
    </w:p>
    <w:p>
      <w:pPr>
        <w:pStyle w:val="ListBullet"/>
        <w:spacing w:after="30"/>
      </w:pPr>
      <w:r>
        <w:t>The statute does not expressly say that clarification pauses or restarts the qualitative prompt-access obligation. The engine should mark the request Awaiting Clarification while retaining the receipt and elapsed-time audit trail.</w:t>
      </w:r>
    </w:p>
    <w:p>
      <w:pPr>
        <w:pStyle w:val="ListBullet"/>
        <w:spacing w:after="30"/>
      </w:pPr>
      <w:r>
        <w:t>No statewide requester-abandonment period was identified for nonresponse. A local closure rule must remain configurable and should not be described as state law.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A request may be denied for continued lack of reasonable specificity only after the public body has engaged with the requester as specified by § 24A.5(7).</w:t>
      </w:r>
    </w:p>
    <w:p>
      <w:pPr>
        <w:pStyle w:val="ListBullet"/>
        <w:spacing w:after="30"/>
      </w:pPr>
      <w:r>
        <w:t>Exempt material should be deleted and reasonably segregable portions released rather than withholding the entire record.</w:t>
      </w:r>
    </w:p>
    <w:p>
      <w:pPr>
        <w:pStyle w:val="ListBullet"/>
        <w:spacing w:after="30"/>
      </w:pPr>
      <w:r>
        <w:t>The general Act does not create a universal numeric deadline for a written denial comparable to fixed-deadline states; prompt, reasonable processing remains the governing standard.</w:t>
      </w:r>
    </w:p>
    <w:p>
      <w:pPr>
        <w:pStyle w:val="ListBullet"/>
        <w:spacing w:after="30"/>
      </w:pPr>
      <w:r>
        <w:t>The engine should require the legal basis, factual application, decision-maker, and partial-release analysis even where the statewide statute does not prescribe a universal denial template.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Reasonably specific / deficient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validation status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Determines whether search can proceed or clarification is needed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separate numeric deadline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Solely commercial purpose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fee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authorize search fee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Estimate/payment communication if charged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Excessive disruption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burden/fee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support search fee and protective procedures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determination; no automatic denial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Estimated fees &gt; $75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payment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Permits advance payment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Moves to Awaiting Payment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 / voluminous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routing, staffing, QA, and escalation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Must not change statewide legal standard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The city is not required to create special or custom reports merely to answer a request; configure create-record detection separately from database extraction that existing law requires.</w:t>
      </w:r>
    </w:p>
    <w:p>
      <w:pPr>
        <w:pStyle w:val="ListBullet"/>
        <w:spacing w:after="30"/>
      </w:pPr>
      <w:r>
        <w:t>Programming or processing charges require an authorized fee basis and a posted local fee schedule; an agency schedule is not automatically a city rate.</w:t>
      </w:r>
    </w:p>
    <w:p>
      <w:pPr>
        <w:pStyle w:val="ListBullet"/>
        <w:spacing w:after="30"/>
      </w:pPr>
      <w:r>
        <w:t>Redaction does not create a separate statutory track; it contributes only to the time actually necessary to prepare records under the qualitative standard.</w:t>
      </w:r>
    </w:p>
    <w:p>
      <w:pPr>
        <w:pStyle w:val="ListBullet"/>
        <w:spacing w:after="30"/>
      </w:pPr>
      <w:r>
        <w:t>The engine should support prioritized parallel work because the statute forbids unreasonable delay of a current request merely because an earlier request will take substantially longer.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Copying / mechanical reproduction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 direct cost; posted fee schedule; not a deterrent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Collect according to local schedule; communicate amount before requiring 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rates within statutory authority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Search fee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Only for solely commercial requests or requests that clearly cause excessive disruption; public-interest releases protected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before charging; document classification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determination + local hourly rate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payment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Permitted if estimated authorized fees exceed $75 or requester has outstanding fees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and payment request before work if invoked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threshold; local election to require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Public-interest waiver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Search fee may not be charged when release is in public interest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Apply before invoice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Rule-based waiver with human review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Final reconciliation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detailed statewide reconciliation workflow identified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 should compare estimate and actual authorized cost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Jurisdiction-configured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Receipt by authorized city function; existing record request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Timestamp, route, open qualitative service timer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Prompt/reasonable; no fixed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Statewide; cities; 51 O.S. §24A.5(6),(8)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Missing timeframe, identifiable records, or specific search terms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Send clarification; offer topics/record list; log engagement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statutory toll/reset stated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Statewide validation; §24A.5(7)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Still deficient after required engagement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May deny; communicate basis and engagement history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numeric deadline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Discretionary after condition; §24A.5(7)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Exempt content mixed with releasable content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Delete exempt portions and release segregable material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Prompt/reasonable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§24A.5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Solely commercial or clear excessive disruption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Calculate permitted search charge; provide estimate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fee acceptance/payment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Human classification; §24A.5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Authorized estimate &gt;$75 or outstanding fees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May require advance payment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 payment before work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threshold; local policy choice; §24A.5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OK-07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Quick request pending behind substantially longer request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Reprioritize or parallelize to avoid unreasonable delay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Continuous compliance control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 operational safeguard; §24A.5(6)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business_calendar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Jurisdiction configured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City office hours and holidays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Supports qualitative elapsed-time reporting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specificity_checklist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timeframe; identifiable records; specific terms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Do not add mandatory elements inconsistent with law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clarification_nonresponse_policy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Open / reminder / administrative closure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statewide abandonment period identified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copy_fee_schedule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Posted direct-cost rates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Version and effective date required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search_fee_rates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Commercial / excessive-disruption rates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 classification evidence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advance_payment_enabled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choice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Yes/no; statutory trigger &gt;$75 or outstanding fees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Do not lower threshold as statewide rule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operational_complexity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standard / complex / extraordinary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legal deadline effect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-&gt; Specificity Review -&gt; Awaiting Clarification -&gt; Fee Authority Review -&gt; Estimate Issued -&gt; Awaiting Payment -&gt; Search and Collection -&gt; Review and Segregation -&gt; Released / Partially Released / Denied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reminder and administrative-closure interval will the city adopt when a requester does not clarify?</w:t>
      </w:r>
    </w:p>
    <w:p>
      <w:pPr>
        <w:pStyle w:val="ListBullet"/>
        <w:spacing w:after="30"/>
      </w:pPr>
      <w:r>
        <w:t>What local rates and documentation standards will support commercial-purpose or excessive-disruption search fees?</w:t>
      </w:r>
    </w:p>
    <w:p>
      <w:pPr>
        <w:pStyle w:val="ListBullet"/>
        <w:spacing w:after="30"/>
      </w:pPr>
      <w:r>
        <w:t>What operational service targets will implement “prompt, reasonable” without being mislabeled as statutory deadlines?</w:t>
      </w:r>
    </w:p>
    <w:p>
      <w:pPr>
        <w:pStyle w:val="ListBullet"/>
        <w:spacing w:after="30"/>
      </w:pPr>
      <w:r>
        <w:t>Who may approve a specificity denial and a public-interest search-fee waiver?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S-012: </w:t>
      </w:r>
      <w:r>
        <w:t>Model reasonable specificity as a remediable validation state with a required engagement history before denial, separate from burden and fee classifications.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Oklahoma Statutes Citationized (51 O.S. § 24A.5)</w:t>
      </w:r>
      <w:r>
        <w:t xml:space="preserve"> - Current access, fee, specificity, and segregation rules.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Oklahoma State Election Board - Information and Records Requests (Official implementation guidance)</w:t>
      </w:r>
      <w:r>
        <w:t xml:space="preserve"> - Current example of form, fee, estimate, and specificity implementation.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Oklahoma Attorney General - Open Records Request (Official request portal)</w:t>
      </w:r>
      <w:r>
        <w:t xml:space="preserve"> - Agency process reference.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Oklahoma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scn.net/applications/oscn/deliverdocument.asp?citeid=80292" TargetMode="External"/><Relationship Id="rId12" Type="http://schemas.openxmlformats.org/officeDocument/2006/relationships/hyperlink" Target="https://www.oklahoma.gov/elections/about-us/information-and-records-requests.html" TargetMode="External"/><Relationship Id="rId13" Type="http://schemas.openxmlformats.org/officeDocument/2006/relationships/hyperlink" Target="https://oklahoma.gov/oag/news/open-records-request/ora-requ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