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17365D"/>
          <w:sz w:val="38"/>
        </w:rPr>
        <w:t>Wisconsin Public Records Workflow</w:t>
      </w:r>
    </w:p>
    <w:p>
      <w:pPr>
        <w:spacing w:after="100"/>
        <w:jc w:val="center"/>
      </w:pPr>
      <w:r>
        <w:rPr>
          <w:rFonts w:ascii="Aptos Display" w:hAnsi="Aptos Display"/>
          <w:b/>
          <w:color w:val="2F5597"/>
          <w:sz w:val="22"/>
        </w:rPr>
        <w:t>Initial Processing Reverse-Engineered into Software Configuration Requirements</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cantSplit/>
        </w:trPr>
        <w:tc>
          <w:tcPr>
            <w:tcW w:type="dxa" w:w="2613"/>
            <w:tcMar>
              <w:top w:w="55" w:type="dxa"/>
              <w:start w:w="65" w:type="dxa"/>
              <w:bottom w:w="55" w:type="dxa"/>
              <w:end w:w="65" w:type="dxa"/>
            </w:tcMar>
            <w:shd w:fill="D9EAF7"/>
          </w:tcPr>
          <w:p>
            <w:pPr>
              <w:jc w:val="center"/>
            </w:pPr>
            <w:r>
              <w:rPr>
                <w:b/>
                <w:sz w:val="16"/>
              </w:rPr>
              <w:t>Primary law</w:t>
            </w:r>
          </w:p>
        </w:tc>
        <w:tc>
          <w:tcPr>
            <w:tcW w:type="dxa" w:w="2613"/>
            <w:tcMar>
              <w:top w:w="55" w:type="dxa"/>
              <w:start w:w="65" w:type="dxa"/>
              <w:bottom w:w="55" w:type="dxa"/>
              <w:end w:w="65" w:type="dxa"/>
            </w:tcMar>
          </w:tcPr>
          <w:p>
            <w:pPr>
              <w:jc w:val="center"/>
            </w:pPr>
            <w:r>
              <w:rPr>
                <w:b w:val="0"/>
                <w:sz w:val="16"/>
              </w:rPr>
              <w:t>Wisconsin Public Records Law, Wis. Stat. §§ 19.31-19.39</w:t>
            </w:r>
          </w:p>
        </w:tc>
        <w:tc>
          <w:tcPr>
            <w:tcW w:type="dxa" w:w="2613"/>
            <w:tcMar>
              <w:top w:w="55" w:type="dxa"/>
              <w:start w:w="65" w:type="dxa"/>
              <w:bottom w:w="55" w:type="dxa"/>
              <w:end w:w="65" w:type="dxa"/>
            </w:tcMar>
            <w:shd w:fill="D9EAF7"/>
          </w:tcPr>
          <w:p>
            <w:pPr>
              <w:jc w:val="center"/>
            </w:pPr>
            <w:r>
              <w:rPr>
                <w:b/>
                <w:sz w:val="16"/>
              </w:rPr>
              <w:t>Research date</w:t>
            </w:r>
          </w:p>
        </w:tc>
        <w:tc>
          <w:tcPr>
            <w:tcW w:type="dxa" w:w="2613"/>
            <w:tcMar>
              <w:top w:w="55" w:type="dxa"/>
              <w:start w:w="65" w:type="dxa"/>
              <w:bottom w:w="55" w:type="dxa"/>
              <w:end w:w="65" w:type="dxa"/>
            </w:tcMar>
          </w:tcPr>
          <w:p>
            <w:pPr>
              <w:jc w:val="center"/>
            </w:pPr>
            <w:r>
              <w:rPr>
                <w:b w:val="0"/>
                <w:sz w:val="16"/>
              </w:rPr>
              <w:t>2026-07-22</w:t>
            </w:r>
          </w:p>
        </w:tc>
      </w:tr>
      <w:tr>
        <w:trPr>
          <w:cantSplit/>
        </w:trPr>
        <w:tc>
          <w:tcPr>
            <w:tcW w:type="dxa" w:w="2613"/>
            <w:tcMar>
              <w:top w:w="55" w:type="dxa"/>
              <w:start w:w="65" w:type="dxa"/>
              <w:bottom w:w="55" w:type="dxa"/>
              <w:end w:w="65" w:type="dxa"/>
            </w:tcMar>
            <w:shd w:fill="D9EAF7"/>
          </w:tcPr>
          <w:p>
            <w:pPr>
              <w:jc w:val="center"/>
            </w:pPr>
            <w:r>
              <w:rPr>
                <w:b/>
                <w:sz w:val="16"/>
              </w:rPr>
              <w:t>Applicability</w:t>
            </w:r>
          </w:p>
        </w:tc>
        <w:tc>
          <w:tcPr>
            <w:tcW w:type="dxa" w:w="2613"/>
            <w:tcMar>
              <w:top w:w="55" w:type="dxa"/>
              <w:start w:w="65" w:type="dxa"/>
              <w:bottom w:w="55" w:type="dxa"/>
              <w:end w:w="65" w:type="dxa"/>
            </w:tcMar>
          </w:tcPr>
          <w:p>
            <w:pPr>
              <w:jc w:val="center"/>
            </w:pPr>
            <w:r>
              <w:rPr>
                <w:b w:val="0"/>
                <w:sz w:val="16"/>
              </w:rPr>
              <w:t>Cities / municipal public bodies</w:t>
            </w:r>
          </w:p>
        </w:tc>
        <w:tc>
          <w:tcPr>
            <w:tcW w:type="dxa" w:w="2613"/>
            <w:tcMar>
              <w:top w:w="55" w:type="dxa"/>
              <w:start w:w="65" w:type="dxa"/>
              <w:bottom w:w="55" w:type="dxa"/>
              <w:end w:w="65" w:type="dxa"/>
            </w:tcMar>
            <w:shd w:fill="D9EAF7"/>
          </w:tcPr>
          <w:p>
            <w:pPr>
              <w:jc w:val="center"/>
            </w:pPr>
            <w:r>
              <w:rPr>
                <w:b/>
                <w:sz w:val="16"/>
              </w:rPr>
              <w:t>Method</w:t>
            </w:r>
          </w:p>
        </w:tc>
        <w:tc>
          <w:tcPr>
            <w:tcW w:type="dxa" w:w="2613"/>
            <w:tcMar>
              <w:top w:w="55" w:type="dxa"/>
              <w:start w:w="65" w:type="dxa"/>
              <w:bottom w:w="55" w:type="dxa"/>
              <w:end w:w="65" w:type="dxa"/>
            </w:tcMar>
          </w:tcPr>
          <w:p>
            <w:pPr>
              <w:jc w:val="center"/>
            </w:pPr>
            <w:r>
              <w:rPr>
                <w:b w:val="0"/>
                <w:sz w:val="16"/>
              </w:rPr>
              <w:t>Fixed national schema methodology</w:t>
            </w:r>
          </w:p>
        </w:tc>
      </w:tr>
    </w:tbl>
    <w:p/>
    <w:p>
      <w:pPr>
        <w:pStyle w:val="Heading1"/>
      </w:pPr>
      <w:r>
        <w:t>1. Executive Summary and Applicability</w:t>
      </w:r>
    </w:p>
    <w:p>
      <w:r>
        <w:t>Wisconsin requires an authority to fill or deny a request as soon as practicable and without delay. It deliberately does not impose a universal numeric deadline. Sufficiency turns on whether the request reasonably describes the records, including reasonable limitations as to subject matter and time. Fees are tightly limited to actual, necessary, direct costs and contain distinct $50 location-fee and $5 prepayment thresholds.</w:t>
      </w:r>
    </w:p>
    <w:p>
      <w:r>
        <w:rPr>
          <w:b/>
        </w:rPr>
        <w:t xml:space="preserve">Core engine pattern: </w:t>
      </w:r>
      <w:r>
        <w:t>Qualitative completion standard + sufficiency/balancing review + narrowly enumerated fee components.</w:t>
      </w:r>
    </w:p>
    <w:p>
      <w:r>
        <w:rPr>
          <w:b/>
        </w:rPr>
        <w:t xml:space="preserve">Scope caution: </w:t>
      </w:r>
      <w:r>
        <w:t>This analysis focuses on the statewide rules applicable to cities. Agency-specific fee schedules and local administrative practices are configuration inputs, not statewide law.</w:t>
      </w:r>
    </w:p>
    <w:p>
      <w:pPr>
        <w:pStyle w:val="Heading1"/>
      </w:pPr>
      <w:r>
        <w:t>2. Authority Inventory</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2952"/>
            <w:shd w:fill="17365D"/>
            <w:tcMar>
              <w:top w:w="55" w:type="dxa"/>
              <w:start w:w="65" w:type="dxa"/>
              <w:bottom w:w="55" w:type="dxa"/>
              <w:end w:w="65" w:type="dxa"/>
            </w:tcMar>
          </w:tcPr>
          <w:p>
            <w:pPr>
              <w:jc w:val="center"/>
            </w:pPr>
            <w:r>
              <w:rPr>
                <w:b/>
                <w:color w:val="FFFFFF"/>
                <w:sz w:val="15"/>
              </w:rPr>
              <w:t>Authority</w:t>
            </w:r>
          </w:p>
        </w:tc>
        <w:tc>
          <w:tcPr>
            <w:tcW w:type="dxa" w:w="4824"/>
            <w:shd w:fill="17365D"/>
            <w:tcMar>
              <w:top w:w="55" w:type="dxa"/>
              <w:start w:w="65" w:type="dxa"/>
              <w:bottom w:w="55" w:type="dxa"/>
              <w:end w:w="65" w:type="dxa"/>
            </w:tcMar>
          </w:tcPr>
          <w:p>
            <w:pPr>
              <w:jc w:val="center"/>
            </w:pPr>
            <w:r>
              <w:rPr>
                <w:b/>
                <w:color w:val="FFFFFF"/>
                <w:sz w:val="15"/>
              </w:rPr>
              <w:t>Workflow function</w:t>
            </w:r>
          </w:p>
        </w:tc>
        <w:tc>
          <w:tcPr>
            <w:tcW w:type="dxa" w:w="2232"/>
            <w:shd w:fill="17365D"/>
            <w:tcMar>
              <w:top w:w="55" w:type="dxa"/>
              <w:start w:w="65" w:type="dxa"/>
              <w:bottom w:w="55" w:type="dxa"/>
              <w:end w:w="65" w:type="dxa"/>
            </w:tcMar>
          </w:tcPr>
          <w:p>
            <w:pPr>
              <w:jc w:val="center"/>
            </w:pPr>
            <w:r>
              <w:rPr>
                <w:b/>
                <w:color w:val="FFFFFF"/>
                <w:sz w:val="15"/>
              </w:rPr>
              <w:t>City applicability</w:t>
            </w:r>
          </w:p>
        </w:tc>
      </w:tr>
      <w:tr>
        <w:trPr>
          <w:cantSplit/>
        </w:trPr>
        <w:tc>
          <w:tcPr>
            <w:tcW w:type="dxa" w:w="2952"/>
            <w:tcMar>
              <w:top w:w="55" w:type="dxa"/>
              <w:start w:w="65" w:type="dxa"/>
              <w:bottom w:w="55" w:type="dxa"/>
              <w:end w:w="65" w:type="dxa"/>
            </w:tcMar>
            <w:vAlign w:val="center"/>
          </w:tcPr>
          <w:p>
            <w:r>
              <w:rPr>
                <w:sz w:val="15"/>
              </w:rPr>
              <w:t>Wis. Stat. §§ 19.31-19.39</w:t>
            </w:r>
          </w:p>
        </w:tc>
        <w:tc>
          <w:tcPr>
            <w:tcW w:type="dxa" w:w="4824"/>
            <w:tcMar>
              <w:top w:w="55" w:type="dxa"/>
              <w:start w:w="65" w:type="dxa"/>
              <w:bottom w:w="55" w:type="dxa"/>
              <w:end w:w="65" w:type="dxa"/>
            </w:tcMar>
            <w:vAlign w:val="center"/>
          </w:tcPr>
          <w:p>
            <w:r>
              <w:rPr>
                <w:sz w:val="15"/>
              </w:rPr>
              <w:t>Access, response, denial, fees, enforcement</w:t>
            </w:r>
          </w:p>
        </w:tc>
        <w:tc>
          <w:tcPr>
            <w:tcW w:type="dxa" w:w="2232"/>
            <w:tcMar>
              <w:top w:w="55" w:type="dxa"/>
              <w:start w:w="65" w:type="dxa"/>
              <w:bottom w:w="55" w:type="dxa"/>
              <w:end w:w="65" w:type="dxa"/>
            </w:tcMar>
            <w:vAlign w:val="center"/>
          </w:tcPr>
          <w:p>
            <w:r>
              <w:rPr>
                <w:sz w:val="15"/>
              </w:rPr>
              <w:t>Authorities include municipal entities</w:t>
            </w:r>
          </w:p>
        </w:tc>
      </w:tr>
      <w:tr>
        <w:trPr>
          <w:cantSplit/>
        </w:trPr>
        <w:tc>
          <w:tcPr>
            <w:tcW w:type="dxa" w:w="2952"/>
            <w:tcMar>
              <w:top w:w="55" w:type="dxa"/>
              <w:start w:w="65" w:type="dxa"/>
              <w:bottom w:w="55" w:type="dxa"/>
              <w:end w:w="65" w:type="dxa"/>
            </w:tcMar>
            <w:vAlign w:val="center"/>
          </w:tcPr>
          <w:p>
            <w:r>
              <w:rPr>
                <w:sz w:val="15"/>
              </w:rPr>
              <w:t>Wisconsin DOJ Public Records Law guidance</w:t>
            </w:r>
          </w:p>
        </w:tc>
        <w:tc>
          <w:tcPr>
            <w:tcW w:type="dxa" w:w="4824"/>
            <w:tcMar>
              <w:top w:w="55" w:type="dxa"/>
              <w:start w:w="65" w:type="dxa"/>
              <w:bottom w:w="55" w:type="dxa"/>
              <w:end w:w="65" w:type="dxa"/>
            </w:tcMar>
            <w:vAlign w:val="center"/>
          </w:tcPr>
          <w:p>
            <w:r>
              <w:rPr>
                <w:sz w:val="15"/>
              </w:rPr>
              <w:t>Official interpretation and operational guidance</w:t>
            </w:r>
          </w:p>
        </w:tc>
        <w:tc>
          <w:tcPr>
            <w:tcW w:type="dxa" w:w="2232"/>
            <w:tcMar>
              <w:top w:w="55" w:type="dxa"/>
              <w:start w:w="65" w:type="dxa"/>
              <w:bottom w:w="55" w:type="dxa"/>
              <w:end w:w="65" w:type="dxa"/>
            </w:tcMar>
            <w:vAlign w:val="center"/>
          </w:tcPr>
          <w:p>
            <w:r>
              <w:rPr>
                <w:sz w:val="15"/>
              </w:rPr>
              <w:t>Strong authority; guidance distinguished from statutory mandates</w:t>
            </w:r>
          </w:p>
        </w:tc>
      </w:tr>
      <w:tr>
        <w:trPr>
          <w:cantSplit/>
        </w:trPr>
        <w:tc>
          <w:tcPr>
            <w:tcW w:type="dxa" w:w="2952"/>
            <w:tcMar>
              <w:top w:w="55" w:type="dxa"/>
              <w:start w:w="65" w:type="dxa"/>
              <w:bottom w:w="55" w:type="dxa"/>
              <w:end w:w="65" w:type="dxa"/>
            </w:tcMar>
            <w:vAlign w:val="center"/>
          </w:tcPr>
          <w:p>
            <w:r>
              <w:rPr>
                <w:sz w:val="15"/>
              </w:rPr>
              <w:t>Wisconsin DOJ Compliance Guide / advisories</w:t>
            </w:r>
          </w:p>
        </w:tc>
        <w:tc>
          <w:tcPr>
            <w:tcW w:type="dxa" w:w="4824"/>
            <w:tcMar>
              <w:top w:w="55" w:type="dxa"/>
              <w:start w:w="65" w:type="dxa"/>
              <w:bottom w:w="55" w:type="dxa"/>
              <w:end w:w="65" w:type="dxa"/>
            </w:tcMar>
            <w:vAlign w:val="center"/>
          </w:tcPr>
          <w:p>
            <w:r>
              <w:rPr>
                <w:sz w:val="15"/>
              </w:rPr>
              <w:t>Detailed balancing, timing, and fee implementation</w:t>
            </w:r>
          </w:p>
        </w:tc>
        <w:tc>
          <w:tcPr>
            <w:tcW w:type="dxa" w:w="2232"/>
            <w:tcMar>
              <w:top w:w="55" w:type="dxa"/>
              <w:start w:w="65" w:type="dxa"/>
              <w:bottom w:w="55" w:type="dxa"/>
              <w:end w:w="65" w:type="dxa"/>
            </w:tcMar>
            <w:vAlign w:val="center"/>
          </w:tcPr>
          <w:p>
            <w:r>
              <w:rPr>
                <w:sz w:val="15"/>
              </w:rPr>
              <w:t>Useful for city configuration and training</w:t>
            </w:r>
          </w:p>
        </w:tc>
      </w:tr>
    </w:tbl>
    <w:p>
      <w:pPr>
        <w:pStyle w:val="Heading1"/>
      </w:pPr>
      <w:r>
        <w:t>3. Human-Readable Initial Processing Workflow</w:t>
      </w:r>
    </w:p>
    <w:p>
      <w:pPr>
        <w:pStyle w:val="ListNumber"/>
        <w:spacing w:after="40"/>
      </w:pPr>
      <w:r>
        <w:rPr>
          <w:b/>
        </w:rPr>
        <w:t xml:space="preserve">Receive and route: </w:t>
      </w:r>
      <w:r>
        <w:t>Accept oral or written requests under statewide law and route to the legal custodian or records authority.</w:t>
      </w:r>
    </w:p>
    <w:p>
      <w:pPr>
        <w:pStyle w:val="ListNumber"/>
        <w:spacing w:after="40"/>
      </w:pPr>
      <w:r>
        <w:rPr>
          <w:b/>
        </w:rPr>
        <w:t xml:space="preserve">Assess reasonable description: </w:t>
      </w:r>
      <w:r>
        <w:t>Determine whether records are reasonably described and whether the request has reasonable subject-matter and time limitations.</w:t>
      </w:r>
    </w:p>
    <w:p>
      <w:pPr>
        <w:pStyle w:val="ListNumber"/>
        <w:spacing w:after="40"/>
      </w:pPr>
      <w:r>
        <w:rPr>
          <w:b/>
        </w:rPr>
        <w:t xml:space="preserve">Acknowledge and communicate: </w:t>
      </w:r>
      <w:r>
        <w:t>Although not independently mandated, DOJ advises acknowledgment and an open line of communication, especially where fulfillment will not be immediate.</w:t>
      </w:r>
    </w:p>
    <w:p>
      <w:pPr>
        <w:pStyle w:val="ListNumber"/>
        <w:spacing w:after="40"/>
      </w:pPr>
      <w:r>
        <w:rPr>
          <w:b/>
        </w:rPr>
        <w:t xml:space="preserve">Locate and review: </w:t>
      </w:r>
      <w:r>
        <w:t>Search for responsive records, apply statutory confidentiality and the common-law balancing test where applicable, and segregate releasable material.</w:t>
      </w:r>
    </w:p>
    <w:p>
      <w:pPr>
        <w:pStyle w:val="ListNumber"/>
        <w:spacing w:after="40"/>
      </w:pPr>
      <w:r>
        <w:rPr>
          <w:b/>
        </w:rPr>
        <w:t xml:space="preserve">Calculate authorized costs: </w:t>
      </w:r>
      <w:r>
        <w:t>Charge only enumerated actual, necessary, direct costs; exclude redaction time. Apply the $50 location-fee minimum and $5 prepayment threshold.</w:t>
      </w:r>
    </w:p>
    <w:p>
      <w:pPr>
        <w:pStyle w:val="ListNumber"/>
        <w:spacing w:after="40"/>
      </w:pPr>
      <w:r>
        <w:rPr>
          <w:b/>
        </w:rPr>
        <w:t xml:space="preserve">Fill or deny: </w:t>
      </w:r>
      <w:r>
        <w:t>Complete as soon as practicable and without delay. Written requests require written denials; oral denials may trigger a written statement within five business days if requested.</w:t>
      </w:r>
    </w:p>
    <w:p>
      <w:pPr>
        <w:pStyle w:val="ListNumber"/>
        <w:spacing w:after="40"/>
      </w:pPr>
      <w:r>
        <w:rPr>
          <w:b/>
        </w:rPr>
        <w:t xml:space="preserve">Close with communication: </w:t>
      </w:r>
      <w:r>
        <w:t>Notify the requester of completion, denial, or—per DOJ advice—absence of responsive records.</w:t>
      </w:r>
    </w:p>
    <w:p>
      <w:pPr>
        <w:pStyle w:val="Heading1"/>
      </w:pPr>
      <w:r>
        <w:t>4. Deadline and Required-Communication Matrix</w:t>
      </w:r>
    </w:p>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cantSplit/>
        </w:trPr>
        <w:tc>
          <w:tcPr>
            <w:tcW w:type="dxa" w:w="2016"/>
            <w:shd w:fill="17365D"/>
            <w:tcMar>
              <w:top w:w="55" w:type="dxa"/>
              <w:start w:w="65" w:type="dxa"/>
              <w:bottom w:w="55" w:type="dxa"/>
              <w:end w:w="65" w:type="dxa"/>
            </w:tcMar>
          </w:tcPr>
          <w:p>
            <w:pPr>
              <w:jc w:val="center"/>
            </w:pPr>
            <w:r>
              <w:rPr>
                <w:b/>
                <w:color w:val="FFFFFF"/>
                <w:sz w:val="14"/>
              </w:rPr>
              <w:t>Trigger / condition</w:t>
            </w:r>
          </w:p>
        </w:tc>
        <w:tc>
          <w:tcPr>
            <w:tcW w:type="dxa" w:w="1584"/>
            <w:shd w:fill="17365D"/>
            <w:tcMar>
              <w:top w:w="55" w:type="dxa"/>
              <w:start w:w="65" w:type="dxa"/>
              <w:bottom w:w="55" w:type="dxa"/>
              <w:end w:w="65" w:type="dxa"/>
            </w:tcMar>
          </w:tcPr>
          <w:p>
            <w:pPr>
              <w:jc w:val="center"/>
            </w:pPr>
            <w:r>
              <w:rPr>
                <w:b/>
                <w:color w:val="FFFFFF"/>
                <w:sz w:val="14"/>
              </w:rPr>
              <w:t>Deadline or standard</w:t>
            </w:r>
          </w:p>
        </w:tc>
        <w:tc>
          <w:tcPr>
            <w:tcW w:type="dxa" w:w="3960"/>
            <w:shd w:fill="17365D"/>
            <w:tcMar>
              <w:top w:w="55" w:type="dxa"/>
              <w:start w:w="65" w:type="dxa"/>
              <w:bottom w:w="55" w:type="dxa"/>
              <w:end w:w="65" w:type="dxa"/>
            </w:tcMar>
          </w:tcPr>
          <w:p>
            <w:pPr>
              <w:jc w:val="center"/>
            </w:pPr>
            <w:r>
              <w:rPr>
                <w:b/>
                <w:color w:val="FFFFFF"/>
                <w:sz w:val="14"/>
              </w:rPr>
              <w:t>Required communication / action</w:t>
            </w:r>
          </w:p>
        </w:tc>
        <w:tc>
          <w:tcPr>
            <w:tcW w:type="dxa" w:w="1584"/>
            <w:shd w:fill="17365D"/>
            <w:tcMar>
              <w:top w:w="55" w:type="dxa"/>
              <w:start w:w="65" w:type="dxa"/>
              <w:bottom w:w="55" w:type="dxa"/>
              <w:end w:w="65" w:type="dxa"/>
            </w:tcMar>
          </w:tcPr>
          <w:p>
            <w:pPr>
              <w:jc w:val="center"/>
            </w:pPr>
            <w:r>
              <w:rPr>
                <w:b/>
                <w:color w:val="FFFFFF"/>
                <w:sz w:val="14"/>
              </w:rPr>
              <w:t>Clock effect</w:t>
            </w:r>
          </w:p>
        </w:tc>
        <w:tc>
          <w:tcPr>
            <w:tcW w:type="dxa" w:w="1584"/>
            <w:shd w:fill="17365D"/>
            <w:tcMar>
              <w:top w:w="55" w:type="dxa"/>
              <w:start w:w="65" w:type="dxa"/>
              <w:bottom w:w="55" w:type="dxa"/>
              <w:end w:w="65" w:type="dxa"/>
            </w:tcMar>
          </w:tcPr>
          <w:p>
            <w:pPr>
              <w:jc w:val="center"/>
            </w:pPr>
            <w:r>
              <w:rPr>
                <w:b/>
                <w:color w:val="FFFFFF"/>
                <w:sz w:val="14"/>
              </w:rPr>
              <w:t>Authority</w:t>
            </w:r>
          </w:p>
        </w:tc>
      </w:tr>
      <w:tr>
        <w:trPr>
          <w:cantSplit/>
        </w:trPr>
        <w:tc>
          <w:tcPr>
            <w:tcW w:type="dxa" w:w="2016"/>
            <w:tcMar>
              <w:top w:w="55" w:type="dxa"/>
              <w:start w:w="65" w:type="dxa"/>
              <w:bottom w:w="55" w:type="dxa"/>
              <w:end w:w="65" w:type="dxa"/>
            </w:tcMar>
            <w:vAlign w:val="center"/>
          </w:tcPr>
          <w:p>
            <w:r>
              <w:rPr>
                <w:sz w:val="13"/>
              </w:rPr>
              <w:t>Any request</w:t>
            </w:r>
          </w:p>
        </w:tc>
        <w:tc>
          <w:tcPr>
            <w:tcW w:type="dxa" w:w="1584"/>
            <w:tcMar>
              <w:top w:w="55" w:type="dxa"/>
              <w:start w:w="65" w:type="dxa"/>
              <w:bottom w:w="55" w:type="dxa"/>
              <w:end w:w="65" w:type="dxa"/>
            </w:tcMar>
            <w:vAlign w:val="center"/>
          </w:tcPr>
          <w:p>
            <w:r>
              <w:rPr>
                <w:sz w:val="13"/>
              </w:rPr>
              <w:t>As soon as practicable and without delay</w:t>
            </w:r>
          </w:p>
        </w:tc>
        <w:tc>
          <w:tcPr>
            <w:tcW w:type="dxa" w:w="3960"/>
            <w:tcMar>
              <w:top w:w="55" w:type="dxa"/>
              <w:start w:w="65" w:type="dxa"/>
              <w:bottom w:w="55" w:type="dxa"/>
              <w:end w:w="65" w:type="dxa"/>
            </w:tcMar>
            <w:vAlign w:val="center"/>
          </w:tcPr>
          <w:p>
            <w:r>
              <w:rPr>
                <w:sz w:val="13"/>
              </w:rPr>
              <w:t>Fill or deny; acknowledgments/status updates are advised</w:t>
            </w:r>
          </w:p>
        </w:tc>
        <w:tc>
          <w:tcPr>
            <w:tcW w:type="dxa" w:w="1584"/>
            <w:tcMar>
              <w:top w:w="55" w:type="dxa"/>
              <w:start w:w="65" w:type="dxa"/>
              <w:bottom w:w="55" w:type="dxa"/>
              <w:end w:w="65" w:type="dxa"/>
            </w:tcMar>
            <w:vAlign w:val="center"/>
          </w:tcPr>
          <w:p>
            <w:r>
              <w:rPr>
                <w:sz w:val="13"/>
              </w:rPr>
              <w:t>Qualitative timer begins</w:t>
            </w:r>
          </w:p>
        </w:tc>
        <w:tc>
          <w:tcPr>
            <w:tcW w:type="dxa" w:w="1584"/>
            <w:tcMar>
              <w:top w:w="55" w:type="dxa"/>
              <w:start w:w="65" w:type="dxa"/>
              <w:bottom w:w="55" w:type="dxa"/>
              <w:end w:w="65" w:type="dxa"/>
            </w:tcMar>
            <w:vAlign w:val="center"/>
          </w:tcPr>
          <w:p>
            <w:r>
              <w:rPr>
                <w:sz w:val="13"/>
              </w:rPr>
              <w:t>Wis. Stat. §19.35(4); DOJ guidance</w:t>
            </w:r>
          </w:p>
        </w:tc>
      </w:tr>
      <w:tr>
        <w:trPr>
          <w:cantSplit/>
        </w:trPr>
        <w:tc>
          <w:tcPr>
            <w:tcW w:type="dxa" w:w="2016"/>
            <w:tcMar>
              <w:top w:w="55" w:type="dxa"/>
              <w:start w:w="65" w:type="dxa"/>
              <w:bottom w:w="55" w:type="dxa"/>
              <w:end w:w="65" w:type="dxa"/>
            </w:tcMar>
            <w:vAlign w:val="center"/>
          </w:tcPr>
          <w:p>
            <w:r>
              <w:rPr>
                <w:sz w:val="13"/>
              </w:rPr>
              <w:t>Oral denial followed by demand for writing</w:t>
            </w:r>
          </w:p>
        </w:tc>
        <w:tc>
          <w:tcPr>
            <w:tcW w:type="dxa" w:w="1584"/>
            <w:tcMar>
              <w:top w:w="55" w:type="dxa"/>
              <w:start w:w="65" w:type="dxa"/>
              <w:bottom w:w="55" w:type="dxa"/>
              <w:end w:w="65" w:type="dxa"/>
            </w:tcMar>
            <w:vAlign w:val="center"/>
          </w:tcPr>
          <w:p>
            <w:r>
              <w:rPr>
                <w:sz w:val="13"/>
              </w:rPr>
              <w:t>5 business days</w:t>
            </w:r>
          </w:p>
        </w:tc>
        <w:tc>
          <w:tcPr>
            <w:tcW w:type="dxa" w:w="3960"/>
            <w:tcMar>
              <w:top w:w="55" w:type="dxa"/>
              <w:start w:w="65" w:type="dxa"/>
              <w:bottom w:w="55" w:type="dxa"/>
              <w:end w:w="65" w:type="dxa"/>
            </w:tcMar>
            <w:vAlign w:val="center"/>
          </w:tcPr>
          <w:p>
            <w:r>
              <w:rPr>
                <w:sz w:val="13"/>
              </w:rPr>
              <w:t>Written statement of reasons</w:t>
            </w:r>
          </w:p>
        </w:tc>
        <w:tc>
          <w:tcPr>
            <w:tcW w:type="dxa" w:w="1584"/>
            <w:tcMar>
              <w:top w:w="55" w:type="dxa"/>
              <w:start w:w="65" w:type="dxa"/>
              <w:bottom w:w="55" w:type="dxa"/>
              <w:end w:w="65" w:type="dxa"/>
            </w:tcMar>
            <w:vAlign w:val="center"/>
          </w:tcPr>
          <w:p>
            <w:r>
              <w:rPr>
                <w:sz w:val="13"/>
              </w:rPr>
              <w:t>New five-business-day timer</w:t>
            </w:r>
          </w:p>
        </w:tc>
        <w:tc>
          <w:tcPr>
            <w:tcW w:type="dxa" w:w="1584"/>
            <w:tcMar>
              <w:top w:w="55" w:type="dxa"/>
              <w:start w:w="65" w:type="dxa"/>
              <w:bottom w:w="55" w:type="dxa"/>
              <w:end w:w="65" w:type="dxa"/>
            </w:tcMar>
            <w:vAlign w:val="center"/>
          </w:tcPr>
          <w:p>
            <w:r>
              <w:rPr>
                <w:sz w:val="13"/>
              </w:rPr>
              <w:t>§19.35(4)(b)</w:t>
            </w:r>
          </w:p>
        </w:tc>
      </w:tr>
      <w:tr>
        <w:trPr>
          <w:cantSplit/>
        </w:trPr>
        <w:tc>
          <w:tcPr>
            <w:tcW w:type="dxa" w:w="2016"/>
            <w:tcMar>
              <w:top w:w="55" w:type="dxa"/>
              <w:start w:w="65" w:type="dxa"/>
              <w:bottom w:w="55" w:type="dxa"/>
              <w:end w:w="65" w:type="dxa"/>
            </w:tcMar>
            <w:vAlign w:val="center"/>
          </w:tcPr>
          <w:p>
            <w:r>
              <w:rPr>
                <w:sz w:val="13"/>
              </w:rPr>
              <w:t>Written request denied</w:t>
            </w:r>
          </w:p>
        </w:tc>
        <w:tc>
          <w:tcPr>
            <w:tcW w:type="dxa" w:w="1584"/>
            <w:tcMar>
              <w:top w:w="55" w:type="dxa"/>
              <w:start w:w="65" w:type="dxa"/>
              <w:bottom w:w="55" w:type="dxa"/>
              <w:end w:w="65" w:type="dxa"/>
            </w:tcMar>
            <w:vAlign w:val="center"/>
          </w:tcPr>
          <w:p>
            <w:r>
              <w:rPr>
                <w:sz w:val="13"/>
              </w:rPr>
              <w:t>At time of denial</w:t>
            </w:r>
          </w:p>
        </w:tc>
        <w:tc>
          <w:tcPr>
            <w:tcW w:type="dxa" w:w="3960"/>
            <w:tcMar>
              <w:top w:w="55" w:type="dxa"/>
              <w:start w:w="65" w:type="dxa"/>
              <w:bottom w:w="55" w:type="dxa"/>
              <w:end w:w="65" w:type="dxa"/>
            </w:tcMar>
            <w:vAlign w:val="center"/>
          </w:tcPr>
          <w:p>
            <w:r>
              <w:rPr>
                <w:sz w:val="13"/>
              </w:rPr>
              <w:t>Written reasons and notice of enforcement options</w:t>
            </w:r>
          </w:p>
        </w:tc>
        <w:tc>
          <w:tcPr>
            <w:tcW w:type="dxa" w:w="1584"/>
            <w:tcMar>
              <w:top w:w="55" w:type="dxa"/>
              <w:start w:w="65" w:type="dxa"/>
              <w:bottom w:w="55" w:type="dxa"/>
              <w:end w:w="65" w:type="dxa"/>
            </w:tcMar>
            <w:vAlign w:val="center"/>
          </w:tcPr>
          <w:p>
            <w:r>
              <w:rPr>
                <w:sz w:val="13"/>
              </w:rPr>
              <w:t>Ends request or begins review</w:t>
            </w:r>
          </w:p>
        </w:tc>
        <w:tc>
          <w:tcPr>
            <w:tcW w:type="dxa" w:w="1584"/>
            <w:tcMar>
              <w:top w:w="55" w:type="dxa"/>
              <w:start w:w="65" w:type="dxa"/>
              <w:bottom w:w="55" w:type="dxa"/>
              <w:end w:w="65" w:type="dxa"/>
            </w:tcMar>
            <w:vAlign w:val="center"/>
          </w:tcPr>
          <w:p>
            <w:r>
              <w:rPr>
                <w:sz w:val="13"/>
              </w:rPr>
              <w:t>§19.35(4)(b)</w:t>
            </w:r>
          </w:p>
        </w:tc>
      </w:tr>
      <w:tr>
        <w:trPr>
          <w:cantSplit/>
        </w:trPr>
        <w:tc>
          <w:tcPr>
            <w:tcW w:type="dxa" w:w="2016"/>
            <w:tcMar>
              <w:top w:w="55" w:type="dxa"/>
              <w:start w:w="65" w:type="dxa"/>
              <w:bottom w:w="55" w:type="dxa"/>
              <w:end w:w="65" w:type="dxa"/>
            </w:tcMar>
            <w:vAlign w:val="center"/>
          </w:tcPr>
          <w:p>
            <w:r>
              <w:rPr>
                <w:sz w:val="13"/>
              </w:rPr>
              <w:t>Location cost reaches $50</w:t>
            </w:r>
          </w:p>
        </w:tc>
        <w:tc>
          <w:tcPr>
            <w:tcW w:type="dxa" w:w="1584"/>
            <w:tcMar>
              <w:top w:w="55" w:type="dxa"/>
              <w:start w:w="65" w:type="dxa"/>
              <w:bottom w:w="55" w:type="dxa"/>
              <w:end w:w="65" w:type="dxa"/>
            </w:tcMar>
            <w:vAlign w:val="center"/>
          </w:tcPr>
          <w:p>
            <w:r>
              <w:rPr>
                <w:sz w:val="13"/>
              </w:rPr>
              <w:t>Before charging</w:t>
            </w:r>
          </w:p>
        </w:tc>
        <w:tc>
          <w:tcPr>
            <w:tcW w:type="dxa" w:w="3960"/>
            <w:tcMar>
              <w:top w:w="55" w:type="dxa"/>
              <w:start w:w="65" w:type="dxa"/>
              <w:bottom w:w="55" w:type="dxa"/>
              <w:end w:w="65" w:type="dxa"/>
            </w:tcMar>
            <w:vAlign w:val="center"/>
          </w:tcPr>
          <w:p>
            <w:r>
              <w:rPr>
                <w:sz w:val="13"/>
              </w:rPr>
              <w:t>Explain location charge / estimate</w:t>
            </w:r>
          </w:p>
        </w:tc>
        <w:tc>
          <w:tcPr>
            <w:tcW w:type="dxa" w:w="1584"/>
            <w:tcMar>
              <w:top w:w="55" w:type="dxa"/>
              <w:start w:w="65" w:type="dxa"/>
              <w:bottom w:w="55" w:type="dxa"/>
              <w:end w:w="65" w:type="dxa"/>
            </w:tcMar>
            <w:vAlign w:val="center"/>
          </w:tcPr>
          <w:p>
            <w:r>
              <w:rPr>
                <w:sz w:val="13"/>
              </w:rPr>
              <w:t>Fee branch; no change to legal service standard</w:t>
            </w:r>
          </w:p>
        </w:tc>
        <w:tc>
          <w:tcPr>
            <w:tcW w:type="dxa" w:w="1584"/>
            <w:tcMar>
              <w:top w:w="55" w:type="dxa"/>
              <w:start w:w="65" w:type="dxa"/>
              <w:bottom w:w="55" w:type="dxa"/>
              <w:end w:w="65" w:type="dxa"/>
            </w:tcMar>
            <w:vAlign w:val="center"/>
          </w:tcPr>
          <w:p>
            <w:r>
              <w:rPr>
                <w:sz w:val="13"/>
              </w:rPr>
              <w:t>§19.35(3)(c)</w:t>
            </w:r>
          </w:p>
        </w:tc>
      </w:tr>
      <w:tr>
        <w:trPr>
          <w:cantSplit/>
        </w:trPr>
        <w:tc>
          <w:tcPr>
            <w:tcW w:type="dxa" w:w="2016"/>
            <w:tcMar>
              <w:top w:w="55" w:type="dxa"/>
              <w:start w:w="65" w:type="dxa"/>
              <w:bottom w:w="55" w:type="dxa"/>
              <w:end w:w="65" w:type="dxa"/>
            </w:tcMar>
            <w:vAlign w:val="center"/>
          </w:tcPr>
          <w:p>
            <w:r>
              <w:rPr>
                <w:sz w:val="13"/>
              </w:rPr>
              <w:t>Total authorized cost exceeds $5</w:t>
            </w:r>
          </w:p>
        </w:tc>
        <w:tc>
          <w:tcPr>
            <w:tcW w:type="dxa" w:w="1584"/>
            <w:tcMar>
              <w:top w:w="55" w:type="dxa"/>
              <w:start w:w="65" w:type="dxa"/>
              <w:bottom w:w="55" w:type="dxa"/>
              <w:end w:w="65" w:type="dxa"/>
            </w:tcMar>
            <w:vAlign w:val="center"/>
          </w:tcPr>
          <w:p>
            <w:r>
              <w:rPr>
                <w:sz w:val="13"/>
              </w:rPr>
              <w:t>Before fulfillment if prepayment required</w:t>
            </w:r>
          </w:p>
        </w:tc>
        <w:tc>
          <w:tcPr>
            <w:tcW w:type="dxa" w:w="3960"/>
            <w:tcMar>
              <w:top w:w="55" w:type="dxa"/>
              <w:start w:w="65" w:type="dxa"/>
              <w:bottom w:w="55" w:type="dxa"/>
              <w:end w:w="65" w:type="dxa"/>
            </w:tcMar>
            <w:vAlign w:val="center"/>
          </w:tcPr>
          <w:p>
            <w:r>
              <w:rPr>
                <w:sz w:val="13"/>
              </w:rPr>
              <w:t>Prepayment request</w:t>
            </w:r>
          </w:p>
        </w:tc>
        <w:tc>
          <w:tcPr>
            <w:tcW w:type="dxa" w:w="1584"/>
            <w:tcMar>
              <w:top w:w="55" w:type="dxa"/>
              <w:start w:w="65" w:type="dxa"/>
              <w:bottom w:w="55" w:type="dxa"/>
              <w:end w:w="65" w:type="dxa"/>
            </w:tcMar>
            <w:vAlign w:val="center"/>
          </w:tcPr>
          <w:p>
            <w:r>
              <w:rPr>
                <w:sz w:val="13"/>
              </w:rPr>
              <w:t>Awaiting-payment branch</w:t>
            </w:r>
          </w:p>
        </w:tc>
        <w:tc>
          <w:tcPr>
            <w:tcW w:type="dxa" w:w="1584"/>
            <w:tcMar>
              <w:top w:w="55" w:type="dxa"/>
              <w:start w:w="65" w:type="dxa"/>
              <w:bottom w:w="55" w:type="dxa"/>
              <w:end w:w="65" w:type="dxa"/>
            </w:tcMar>
            <w:vAlign w:val="center"/>
          </w:tcPr>
          <w:p>
            <w:r>
              <w:rPr>
                <w:sz w:val="13"/>
              </w:rPr>
              <w:t>§19.35(3)(f)</w:t>
            </w:r>
          </w:p>
        </w:tc>
      </w:tr>
    </w:tbl>
    <w:p>
      <w:pPr>
        <w:pStyle w:val="Heading1"/>
      </w:pPr>
      <w:r>
        <w:t>5. Vague, Unclear, or Overly Broad Requests</w:t>
      </w:r>
    </w:p>
    <w:p>
      <w:pPr>
        <w:pStyle w:val="ListBullet"/>
        <w:spacing w:after="30"/>
      </w:pPr>
      <w:r>
        <w:t>A request must reasonably describe the requested record or information; a request lacking reasonable subject-matter or time limitations may be insufficient.</w:t>
      </w:r>
    </w:p>
    <w:p>
      <w:pPr>
        <w:pStyle w:val="ListBullet"/>
        <w:spacing w:after="30"/>
      </w:pPr>
      <w:r>
        <w:t>The city may ask the requester to clarify or narrow and should explain the practical deficiency rather than label every large request “overbroad.”</w:t>
      </w:r>
    </w:p>
    <w:p>
      <w:pPr>
        <w:pStyle w:val="ListBullet"/>
        <w:spacing w:after="30"/>
      </w:pPr>
      <w:r>
        <w:t>No express statutory clock-pause or restart rule was identified. Preserve receipt time and record requester-response periods as operational data.</w:t>
      </w:r>
    </w:p>
    <w:p>
      <w:pPr>
        <w:pStyle w:val="ListBullet"/>
        <w:spacing w:after="30"/>
      </w:pPr>
      <w:r>
        <w:t>Ten business days is cited by DOJ only as a possible reasonable period for a simple, easy-to-identify request; it is not a statewide deadline and must not be preconfigured as one.</w:t>
      </w:r>
    </w:p>
    <w:p>
      <w:pPr>
        <w:pStyle w:val="ListBullet"/>
        <w:spacing w:after="30"/>
      </w:pPr>
      <w:r>
        <w:t>No universal statutory abandonment period was identified for nonresponse to clarification.</w:t>
      </w:r>
    </w:p>
    <w:p>
      <w:pPr>
        <w:pStyle w:val="Heading1"/>
      </w:pPr>
      <w:r>
        <w:t>6. Denial and Partial-Denial Process</w:t>
      </w:r>
    </w:p>
    <w:p>
      <w:pPr>
        <w:pStyle w:val="ListBullet"/>
        <w:spacing w:after="30"/>
      </w:pPr>
      <w:r>
        <w:t>A written request must receive a written denial stating reasons; enforcement routes should be included as required by law/guidance.</w:t>
      </w:r>
    </w:p>
    <w:p>
      <w:pPr>
        <w:pStyle w:val="ListBullet"/>
        <w:spacing w:after="30"/>
      </w:pPr>
      <w:r>
        <w:t>If an oral request is denied, the requester may demand a written statement; the authority must furnish it within five business days.</w:t>
      </w:r>
    </w:p>
    <w:p>
      <w:pPr>
        <w:pStyle w:val="ListBullet"/>
        <w:spacing w:after="30"/>
      </w:pPr>
      <w:r>
        <w:t>Denial may rest on insufficient description, statutory confidentiality, or the balancing test, but the factual and legal basis should be captured.</w:t>
      </w:r>
    </w:p>
    <w:p>
      <w:pPr>
        <w:pStyle w:val="ListBullet"/>
        <w:spacing w:after="30"/>
      </w:pPr>
      <w:r>
        <w:t>Nonexistence notification is advised by DOJ even though the law is described as requiring a response when the authority fills or denies.</w:t>
      </w:r>
    </w:p>
    <w:p>
      <w:pPr>
        <w:pStyle w:val="Heading1"/>
      </w:pPr>
      <w:r>
        <w:t>7. Legal Classifications, Tracks, and Operational Classifications</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2376"/>
            <w:shd w:fill="17365D"/>
            <w:tcMar>
              <w:top w:w="55" w:type="dxa"/>
              <w:start w:w="65" w:type="dxa"/>
              <w:bottom w:w="55" w:type="dxa"/>
              <w:end w:w="65" w:type="dxa"/>
            </w:tcMar>
          </w:tcPr>
          <w:p>
            <w:pPr>
              <w:jc w:val="center"/>
            </w:pPr>
            <w:r>
              <w:rPr>
                <w:b/>
                <w:color w:val="FFFFFF"/>
                <w:sz w:val="14"/>
              </w:rPr>
              <w:t>Classification / flag</w:t>
            </w:r>
          </w:p>
        </w:tc>
        <w:tc>
          <w:tcPr>
            <w:tcW w:type="dxa" w:w="1656"/>
            <w:shd w:fill="17365D"/>
            <w:tcMar>
              <w:top w:w="55" w:type="dxa"/>
              <w:start w:w="65" w:type="dxa"/>
              <w:bottom w:w="55" w:type="dxa"/>
              <w:end w:w="65" w:type="dxa"/>
            </w:tcMar>
          </w:tcPr>
          <w:p>
            <w:pPr>
              <w:jc w:val="center"/>
            </w:pPr>
            <w:r>
              <w:rPr>
                <w:b/>
                <w:color w:val="FFFFFF"/>
                <w:sz w:val="14"/>
              </w:rPr>
              <w:t>Legal or operational</w:t>
            </w:r>
          </w:p>
        </w:tc>
        <w:tc>
          <w:tcPr>
            <w:tcW w:type="dxa" w:w="3960"/>
            <w:shd w:fill="17365D"/>
            <w:tcMar>
              <w:top w:w="55" w:type="dxa"/>
              <w:start w:w="65" w:type="dxa"/>
              <w:bottom w:w="55" w:type="dxa"/>
              <w:end w:w="65" w:type="dxa"/>
            </w:tcMar>
          </w:tcPr>
          <w:p>
            <w:pPr>
              <w:jc w:val="center"/>
            </w:pPr>
            <w:r>
              <w:rPr>
                <w:b/>
                <w:color w:val="FFFFFF"/>
                <w:sz w:val="14"/>
              </w:rPr>
              <w:t>Workflow effect</w:t>
            </w:r>
          </w:p>
        </w:tc>
        <w:tc>
          <w:tcPr>
            <w:tcW w:type="dxa" w:w="2520"/>
            <w:shd w:fill="17365D"/>
            <w:tcMar>
              <w:top w:w="55" w:type="dxa"/>
              <w:start w:w="65" w:type="dxa"/>
              <w:bottom w:w="55" w:type="dxa"/>
              <w:end w:w="65" w:type="dxa"/>
            </w:tcMar>
          </w:tcPr>
          <w:p>
            <w:pPr>
              <w:jc w:val="center"/>
            </w:pPr>
            <w:r>
              <w:rPr>
                <w:b/>
                <w:color w:val="FFFFFF"/>
                <w:sz w:val="14"/>
              </w:rPr>
              <w:t>Timer / communication effect</w:t>
            </w:r>
          </w:p>
        </w:tc>
      </w:tr>
      <w:tr>
        <w:trPr>
          <w:cantSplit/>
        </w:trPr>
        <w:tc>
          <w:tcPr>
            <w:tcW w:type="dxa" w:w="2376"/>
            <w:tcMar>
              <w:top w:w="55" w:type="dxa"/>
              <w:start w:w="65" w:type="dxa"/>
              <w:bottom w:w="55" w:type="dxa"/>
              <w:end w:w="65" w:type="dxa"/>
            </w:tcMar>
            <w:vAlign w:val="center"/>
          </w:tcPr>
          <w:p>
            <w:r>
              <w:rPr>
                <w:sz w:val="14"/>
              </w:rPr>
              <w:t>Written vs oral request</w:t>
            </w:r>
          </w:p>
        </w:tc>
        <w:tc>
          <w:tcPr>
            <w:tcW w:type="dxa" w:w="1656"/>
            <w:tcMar>
              <w:top w:w="55" w:type="dxa"/>
              <w:start w:w="65" w:type="dxa"/>
              <w:bottom w:w="55" w:type="dxa"/>
              <w:end w:w="65" w:type="dxa"/>
            </w:tcMar>
            <w:vAlign w:val="center"/>
          </w:tcPr>
          <w:p>
            <w:r>
              <w:rPr>
                <w:sz w:val="14"/>
              </w:rPr>
              <w:t>Legal communication track</w:t>
            </w:r>
          </w:p>
        </w:tc>
        <w:tc>
          <w:tcPr>
            <w:tcW w:type="dxa" w:w="3960"/>
            <w:tcMar>
              <w:top w:w="55" w:type="dxa"/>
              <w:start w:w="65" w:type="dxa"/>
              <w:bottom w:w="55" w:type="dxa"/>
              <w:end w:w="65" w:type="dxa"/>
            </w:tcMar>
            <w:vAlign w:val="center"/>
          </w:tcPr>
          <w:p>
            <w:r>
              <w:rPr>
                <w:sz w:val="14"/>
              </w:rPr>
              <w:t>Controls denial form and written-statement option</w:t>
            </w:r>
          </w:p>
        </w:tc>
        <w:tc>
          <w:tcPr>
            <w:tcW w:type="dxa" w:w="2520"/>
            <w:tcMar>
              <w:top w:w="55" w:type="dxa"/>
              <w:start w:w="65" w:type="dxa"/>
              <w:bottom w:w="55" w:type="dxa"/>
              <w:end w:w="65" w:type="dxa"/>
            </w:tcMar>
            <w:vAlign w:val="center"/>
          </w:tcPr>
          <w:p>
            <w:r>
              <w:rPr>
                <w:sz w:val="14"/>
              </w:rPr>
              <w:t>5-day written-statement timer only after oral denial demand</w:t>
            </w:r>
          </w:p>
        </w:tc>
      </w:tr>
      <w:tr>
        <w:trPr>
          <w:cantSplit/>
        </w:trPr>
        <w:tc>
          <w:tcPr>
            <w:tcW w:type="dxa" w:w="2376"/>
            <w:tcMar>
              <w:top w:w="55" w:type="dxa"/>
              <w:start w:w="65" w:type="dxa"/>
              <w:bottom w:w="55" w:type="dxa"/>
              <w:end w:w="65" w:type="dxa"/>
            </w:tcMar>
            <w:vAlign w:val="center"/>
          </w:tcPr>
          <w:p>
            <w:r>
              <w:rPr>
                <w:sz w:val="14"/>
              </w:rPr>
              <w:t>Reasonably described / insufficient</w:t>
            </w:r>
          </w:p>
        </w:tc>
        <w:tc>
          <w:tcPr>
            <w:tcW w:type="dxa" w:w="1656"/>
            <w:tcMar>
              <w:top w:w="55" w:type="dxa"/>
              <w:start w:w="65" w:type="dxa"/>
              <w:bottom w:w="55" w:type="dxa"/>
              <w:end w:w="65" w:type="dxa"/>
            </w:tcMar>
            <w:vAlign w:val="center"/>
          </w:tcPr>
          <w:p>
            <w:r>
              <w:rPr>
                <w:sz w:val="14"/>
              </w:rPr>
              <w:t>Legal validation status</w:t>
            </w:r>
          </w:p>
        </w:tc>
        <w:tc>
          <w:tcPr>
            <w:tcW w:type="dxa" w:w="3960"/>
            <w:tcMar>
              <w:top w:w="55" w:type="dxa"/>
              <w:start w:w="65" w:type="dxa"/>
              <w:bottom w:w="55" w:type="dxa"/>
              <w:end w:w="65" w:type="dxa"/>
            </w:tcMar>
            <w:vAlign w:val="center"/>
          </w:tcPr>
          <w:p>
            <w:r>
              <w:rPr>
                <w:sz w:val="14"/>
              </w:rPr>
              <w:t>Proceed or seek clarification / deny</w:t>
            </w:r>
          </w:p>
        </w:tc>
        <w:tc>
          <w:tcPr>
            <w:tcW w:type="dxa" w:w="2520"/>
            <w:tcMar>
              <w:top w:w="55" w:type="dxa"/>
              <w:start w:w="65" w:type="dxa"/>
              <w:bottom w:w="55" w:type="dxa"/>
              <w:end w:w="65" w:type="dxa"/>
            </w:tcMar>
            <w:vAlign w:val="center"/>
          </w:tcPr>
          <w:p>
            <w:r>
              <w:rPr>
                <w:sz w:val="14"/>
              </w:rPr>
              <w:t>Qualitative service standard remains</w:t>
            </w:r>
          </w:p>
        </w:tc>
      </w:tr>
      <w:tr>
        <w:trPr>
          <w:cantSplit/>
        </w:trPr>
        <w:tc>
          <w:tcPr>
            <w:tcW w:type="dxa" w:w="2376"/>
            <w:tcMar>
              <w:top w:w="55" w:type="dxa"/>
              <w:start w:w="65" w:type="dxa"/>
              <w:bottom w:w="55" w:type="dxa"/>
              <w:end w:w="65" w:type="dxa"/>
            </w:tcMar>
            <w:vAlign w:val="center"/>
          </w:tcPr>
          <w:p>
            <w:r>
              <w:rPr>
                <w:sz w:val="14"/>
              </w:rPr>
              <w:t>Balancing-test review</w:t>
            </w:r>
          </w:p>
        </w:tc>
        <w:tc>
          <w:tcPr>
            <w:tcW w:type="dxa" w:w="1656"/>
            <w:tcMar>
              <w:top w:w="55" w:type="dxa"/>
              <w:start w:w="65" w:type="dxa"/>
              <w:bottom w:w="55" w:type="dxa"/>
              <w:end w:w="65" w:type="dxa"/>
            </w:tcMar>
            <w:vAlign w:val="center"/>
          </w:tcPr>
          <w:p>
            <w:r>
              <w:rPr>
                <w:sz w:val="14"/>
              </w:rPr>
              <w:t>Legal review flag</w:t>
            </w:r>
          </w:p>
        </w:tc>
        <w:tc>
          <w:tcPr>
            <w:tcW w:type="dxa" w:w="3960"/>
            <w:tcMar>
              <w:top w:w="55" w:type="dxa"/>
              <w:start w:w="65" w:type="dxa"/>
              <w:bottom w:w="55" w:type="dxa"/>
              <w:end w:w="65" w:type="dxa"/>
            </w:tcMar>
            <w:vAlign w:val="center"/>
          </w:tcPr>
          <w:p>
            <w:r>
              <w:rPr>
                <w:sz w:val="14"/>
              </w:rPr>
              <w:t>Requires public-interest balancing and documented reasoning</w:t>
            </w:r>
          </w:p>
        </w:tc>
        <w:tc>
          <w:tcPr>
            <w:tcW w:type="dxa" w:w="2520"/>
            <w:tcMar>
              <w:top w:w="55" w:type="dxa"/>
              <w:start w:w="65" w:type="dxa"/>
              <w:bottom w:w="55" w:type="dxa"/>
              <w:end w:w="65" w:type="dxa"/>
            </w:tcMar>
            <w:vAlign w:val="center"/>
          </w:tcPr>
          <w:p>
            <w:r>
              <w:rPr>
                <w:sz w:val="14"/>
              </w:rPr>
              <w:t>No separate statutory deadline</w:t>
            </w:r>
          </w:p>
        </w:tc>
      </w:tr>
      <w:tr>
        <w:trPr>
          <w:cantSplit/>
        </w:trPr>
        <w:tc>
          <w:tcPr>
            <w:tcW w:type="dxa" w:w="2376"/>
            <w:tcMar>
              <w:top w:w="55" w:type="dxa"/>
              <w:start w:w="65" w:type="dxa"/>
              <w:bottom w:w="55" w:type="dxa"/>
              <w:end w:w="65" w:type="dxa"/>
            </w:tcMar>
            <w:vAlign w:val="center"/>
          </w:tcPr>
          <w:p>
            <w:r>
              <w:rPr>
                <w:sz w:val="14"/>
              </w:rPr>
              <w:t>Location cost ≥ $50</w:t>
            </w:r>
          </w:p>
        </w:tc>
        <w:tc>
          <w:tcPr>
            <w:tcW w:type="dxa" w:w="1656"/>
            <w:tcMar>
              <w:top w:w="55" w:type="dxa"/>
              <w:start w:w="65" w:type="dxa"/>
              <w:bottom w:w="55" w:type="dxa"/>
              <w:end w:w="65" w:type="dxa"/>
            </w:tcMar>
            <w:vAlign w:val="center"/>
          </w:tcPr>
          <w:p>
            <w:r>
              <w:rPr>
                <w:sz w:val="14"/>
              </w:rPr>
              <w:t>Legal fee threshold</w:t>
            </w:r>
          </w:p>
        </w:tc>
        <w:tc>
          <w:tcPr>
            <w:tcW w:type="dxa" w:w="3960"/>
            <w:tcMar>
              <w:top w:w="55" w:type="dxa"/>
              <w:start w:w="65" w:type="dxa"/>
              <w:bottom w:w="55" w:type="dxa"/>
              <w:end w:w="65" w:type="dxa"/>
            </w:tcMar>
            <w:vAlign w:val="center"/>
          </w:tcPr>
          <w:p>
            <w:r>
              <w:rPr>
                <w:sz w:val="14"/>
              </w:rPr>
              <w:t>Permits location charge</w:t>
            </w:r>
          </w:p>
        </w:tc>
        <w:tc>
          <w:tcPr>
            <w:tcW w:type="dxa" w:w="2520"/>
            <w:tcMar>
              <w:top w:w="55" w:type="dxa"/>
              <w:start w:w="65" w:type="dxa"/>
              <w:bottom w:w="55" w:type="dxa"/>
              <w:end w:w="65" w:type="dxa"/>
            </w:tcMar>
            <w:vAlign w:val="center"/>
          </w:tcPr>
          <w:p>
            <w:r>
              <w:rPr>
                <w:sz w:val="14"/>
              </w:rPr>
              <w:t>Estimate/notice needed operationally</w:t>
            </w:r>
          </w:p>
        </w:tc>
      </w:tr>
      <w:tr>
        <w:trPr>
          <w:cantSplit/>
        </w:trPr>
        <w:tc>
          <w:tcPr>
            <w:tcW w:type="dxa" w:w="2376"/>
            <w:tcMar>
              <w:top w:w="55" w:type="dxa"/>
              <w:start w:w="65" w:type="dxa"/>
              <w:bottom w:w="55" w:type="dxa"/>
              <w:end w:w="65" w:type="dxa"/>
            </w:tcMar>
            <w:vAlign w:val="center"/>
          </w:tcPr>
          <w:p>
            <w:r>
              <w:rPr>
                <w:sz w:val="14"/>
              </w:rPr>
              <w:t>Total cost &gt; $5</w:t>
            </w:r>
          </w:p>
        </w:tc>
        <w:tc>
          <w:tcPr>
            <w:tcW w:type="dxa" w:w="1656"/>
            <w:tcMar>
              <w:top w:w="55" w:type="dxa"/>
              <w:start w:w="65" w:type="dxa"/>
              <w:bottom w:w="55" w:type="dxa"/>
              <w:end w:w="65" w:type="dxa"/>
            </w:tcMar>
            <w:vAlign w:val="center"/>
          </w:tcPr>
          <w:p>
            <w:r>
              <w:rPr>
                <w:sz w:val="14"/>
              </w:rPr>
              <w:t>Legal payment threshold</w:t>
            </w:r>
          </w:p>
        </w:tc>
        <w:tc>
          <w:tcPr>
            <w:tcW w:type="dxa" w:w="3960"/>
            <w:tcMar>
              <w:top w:w="55" w:type="dxa"/>
              <w:start w:w="65" w:type="dxa"/>
              <w:bottom w:w="55" w:type="dxa"/>
              <w:end w:w="65" w:type="dxa"/>
            </w:tcMar>
            <w:vAlign w:val="center"/>
          </w:tcPr>
          <w:p>
            <w:r>
              <w:rPr>
                <w:sz w:val="14"/>
              </w:rPr>
              <w:t>Permits prepayment</w:t>
            </w:r>
          </w:p>
        </w:tc>
        <w:tc>
          <w:tcPr>
            <w:tcW w:type="dxa" w:w="2520"/>
            <w:tcMar>
              <w:top w:w="55" w:type="dxa"/>
              <w:start w:w="65" w:type="dxa"/>
              <w:bottom w:w="55" w:type="dxa"/>
              <w:end w:w="65" w:type="dxa"/>
            </w:tcMar>
            <w:vAlign w:val="center"/>
          </w:tcPr>
          <w:p>
            <w:r>
              <w:rPr>
                <w:sz w:val="14"/>
              </w:rPr>
              <w:t>Awaiting Payment</w:t>
            </w:r>
          </w:p>
        </w:tc>
      </w:tr>
      <w:tr>
        <w:trPr>
          <w:cantSplit/>
        </w:trPr>
        <w:tc>
          <w:tcPr>
            <w:tcW w:type="dxa" w:w="2376"/>
            <w:tcMar>
              <w:top w:w="55" w:type="dxa"/>
              <w:start w:w="65" w:type="dxa"/>
              <w:bottom w:w="55" w:type="dxa"/>
              <w:end w:w="65" w:type="dxa"/>
            </w:tcMar>
            <w:vAlign w:val="center"/>
          </w:tcPr>
          <w:p>
            <w:r>
              <w:rPr>
                <w:sz w:val="14"/>
              </w:rPr>
              <w:t>Simple / complex</w:t>
            </w:r>
          </w:p>
        </w:tc>
        <w:tc>
          <w:tcPr>
            <w:tcW w:type="dxa" w:w="1656"/>
            <w:tcMar>
              <w:top w:w="55" w:type="dxa"/>
              <w:start w:w="65" w:type="dxa"/>
              <w:bottom w:w="55" w:type="dxa"/>
              <w:end w:w="65" w:type="dxa"/>
            </w:tcMar>
            <w:vAlign w:val="center"/>
          </w:tcPr>
          <w:p>
            <w:r>
              <w:rPr>
                <w:sz w:val="14"/>
              </w:rPr>
              <w:t>Operational only</w:t>
            </w:r>
          </w:p>
        </w:tc>
        <w:tc>
          <w:tcPr>
            <w:tcW w:type="dxa" w:w="3960"/>
            <w:tcMar>
              <w:top w:w="55" w:type="dxa"/>
              <w:start w:w="65" w:type="dxa"/>
              <w:bottom w:w="55" w:type="dxa"/>
              <w:end w:w="65" w:type="dxa"/>
            </w:tcMar>
            <w:vAlign w:val="center"/>
          </w:tcPr>
          <w:p>
            <w:r>
              <w:rPr>
                <w:sz w:val="14"/>
              </w:rPr>
              <w:t>Staffing and service targets</w:t>
            </w:r>
          </w:p>
        </w:tc>
        <w:tc>
          <w:tcPr>
            <w:tcW w:type="dxa" w:w="2520"/>
            <w:tcMar>
              <w:top w:w="55" w:type="dxa"/>
              <w:start w:w="65" w:type="dxa"/>
              <w:bottom w:w="55" w:type="dxa"/>
              <w:end w:w="65" w:type="dxa"/>
            </w:tcMar>
            <w:vAlign w:val="center"/>
          </w:tcPr>
          <w:p>
            <w:r>
              <w:rPr>
                <w:sz w:val="14"/>
              </w:rPr>
              <w:t>DOJ example cannot become statutory class</w:t>
            </w:r>
          </w:p>
        </w:tc>
      </w:tr>
    </w:tbl>
    <w:p>
      <w:pPr>
        <w:pStyle w:val="Heading1"/>
      </w:pPr>
      <w:r>
        <w:t>8. Large Volume, Redaction, Programming, and Electronic Records</w:t>
      </w:r>
    </w:p>
    <w:p>
      <w:pPr>
        <w:pStyle w:val="ListBullet"/>
        <w:spacing w:after="30"/>
      </w:pPr>
      <w:r>
        <w:t>Redaction time is not chargeable; the fee engine must distinguish locating from review/redaction activities.</w:t>
      </w:r>
    </w:p>
    <w:p>
      <w:pPr>
        <w:pStyle w:val="ListBullet"/>
        <w:spacing w:after="30"/>
      </w:pPr>
      <w:r>
        <w:t>Electronic format and copy method affect reproduction cost but do not create a separate response deadline.</w:t>
      </w:r>
    </w:p>
    <w:p>
      <w:pPr>
        <w:pStyle w:val="ListBullet"/>
        <w:spacing w:after="30"/>
      </w:pPr>
      <w:r>
        <w:t>Large volume affects what is practicable and may justify status updates, not an automatic extension of a fixed deadline.</w:t>
      </w:r>
    </w:p>
    <w:p>
      <w:pPr>
        <w:pStyle w:val="ListBullet"/>
        <w:spacing w:after="30"/>
      </w:pPr>
      <w:r>
        <w:t>The engine should record resource constraints and request characteristics because Wisconsin reasonableness is fact-dependent.</w:t>
      </w:r>
    </w:p>
    <w:p>
      <w:pPr>
        <w:pStyle w:val="Heading1"/>
      </w:pPr>
      <w:r>
        <w:t>9. Fee Estimate, Deposit, Payment, and Reconciliation Workflow</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2232"/>
            <w:shd w:fill="17365D"/>
            <w:tcMar>
              <w:top w:w="55" w:type="dxa"/>
              <w:start w:w="65" w:type="dxa"/>
              <w:bottom w:w="55" w:type="dxa"/>
              <w:end w:w="65" w:type="dxa"/>
            </w:tcMar>
          </w:tcPr>
          <w:p>
            <w:pPr>
              <w:jc w:val="center"/>
            </w:pPr>
            <w:r>
              <w:rPr>
                <w:b/>
                <w:color w:val="FFFFFF"/>
                <w:sz w:val="14"/>
              </w:rPr>
              <w:t>Fee component / trigger</w:t>
            </w:r>
          </w:p>
        </w:tc>
        <w:tc>
          <w:tcPr>
            <w:tcW w:type="dxa" w:w="3672"/>
            <w:shd w:fill="17365D"/>
            <w:tcMar>
              <w:top w:w="55" w:type="dxa"/>
              <w:start w:w="65" w:type="dxa"/>
              <w:bottom w:w="55" w:type="dxa"/>
              <w:end w:w="65" w:type="dxa"/>
            </w:tcMar>
          </w:tcPr>
          <w:p>
            <w:pPr>
              <w:jc w:val="center"/>
            </w:pPr>
            <w:r>
              <w:rPr>
                <w:b/>
                <w:color w:val="FFFFFF"/>
                <w:sz w:val="14"/>
              </w:rPr>
              <w:t>Statewide rule</w:t>
            </w:r>
          </w:p>
        </w:tc>
        <w:tc>
          <w:tcPr>
            <w:tcW w:type="dxa" w:w="2592"/>
            <w:shd w:fill="17365D"/>
            <w:tcMar>
              <w:top w:w="55" w:type="dxa"/>
              <w:start w:w="65" w:type="dxa"/>
              <w:bottom w:w="55" w:type="dxa"/>
              <w:end w:w="65" w:type="dxa"/>
            </w:tcMar>
          </w:tcPr>
          <w:p>
            <w:pPr>
              <w:jc w:val="center"/>
            </w:pPr>
            <w:r>
              <w:rPr>
                <w:b/>
                <w:color w:val="FFFFFF"/>
                <w:sz w:val="14"/>
              </w:rPr>
              <w:t>Estimate / payment timing</w:t>
            </w:r>
          </w:p>
        </w:tc>
        <w:tc>
          <w:tcPr>
            <w:tcW w:type="dxa" w:w="2232"/>
            <w:shd w:fill="17365D"/>
            <w:tcMar>
              <w:top w:w="55" w:type="dxa"/>
              <w:start w:w="65" w:type="dxa"/>
              <w:bottom w:w="55" w:type="dxa"/>
              <w:end w:w="65" w:type="dxa"/>
            </w:tcMar>
          </w:tcPr>
          <w:p>
            <w:pPr>
              <w:jc w:val="center"/>
            </w:pPr>
            <w:r>
              <w:rPr>
                <w:b/>
                <w:color w:val="FFFFFF"/>
                <w:sz w:val="14"/>
              </w:rPr>
              <w:t>Configuration treatment</w:t>
            </w:r>
          </w:p>
        </w:tc>
      </w:tr>
      <w:tr>
        <w:trPr>
          <w:cantSplit/>
        </w:trPr>
        <w:tc>
          <w:tcPr>
            <w:tcW w:type="dxa" w:w="2232"/>
            <w:tcMar>
              <w:top w:w="55" w:type="dxa"/>
              <w:start w:w="65" w:type="dxa"/>
              <w:bottom w:w="55" w:type="dxa"/>
              <w:end w:w="65" w:type="dxa"/>
            </w:tcMar>
            <w:vAlign w:val="center"/>
          </w:tcPr>
          <w:p>
            <w:r>
              <w:rPr>
                <w:sz w:val="14"/>
              </w:rPr>
              <w:t>Reproduction / transcription</w:t>
            </w:r>
          </w:p>
        </w:tc>
        <w:tc>
          <w:tcPr>
            <w:tcW w:type="dxa" w:w="3672"/>
            <w:tcMar>
              <w:top w:w="55" w:type="dxa"/>
              <w:start w:w="65" w:type="dxa"/>
              <w:bottom w:w="55" w:type="dxa"/>
              <w:end w:w="65" w:type="dxa"/>
            </w:tcMar>
            <w:vAlign w:val="center"/>
          </w:tcPr>
          <w:p>
            <w:r>
              <w:rPr>
                <w:sz w:val="14"/>
              </w:rPr>
              <w:t>Actual, necessary, direct cost</w:t>
            </w:r>
          </w:p>
        </w:tc>
        <w:tc>
          <w:tcPr>
            <w:tcW w:type="dxa" w:w="2592"/>
            <w:tcMar>
              <w:top w:w="55" w:type="dxa"/>
              <w:start w:w="65" w:type="dxa"/>
              <w:bottom w:w="55" w:type="dxa"/>
              <w:end w:w="65" w:type="dxa"/>
            </w:tcMar>
            <w:vAlign w:val="center"/>
          </w:tcPr>
          <w:p>
            <w:r>
              <w:rPr>
                <w:sz w:val="14"/>
              </w:rPr>
              <w:t>Invoice or prepayment if total &gt;$5</w:t>
            </w:r>
          </w:p>
        </w:tc>
        <w:tc>
          <w:tcPr>
            <w:tcW w:type="dxa" w:w="2232"/>
            <w:tcMar>
              <w:top w:w="55" w:type="dxa"/>
              <w:start w:w="65" w:type="dxa"/>
              <w:bottom w:w="55" w:type="dxa"/>
              <w:end w:w="65" w:type="dxa"/>
            </w:tcMar>
            <w:vAlign w:val="center"/>
          </w:tcPr>
          <w:p>
            <w:r>
              <w:rPr>
                <w:sz w:val="14"/>
              </w:rPr>
              <w:t>Local actual-cost method</w:t>
            </w:r>
          </w:p>
        </w:tc>
      </w:tr>
      <w:tr>
        <w:trPr>
          <w:cantSplit/>
        </w:trPr>
        <w:tc>
          <w:tcPr>
            <w:tcW w:type="dxa" w:w="2232"/>
            <w:tcMar>
              <w:top w:w="55" w:type="dxa"/>
              <w:start w:w="65" w:type="dxa"/>
              <w:bottom w:w="55" w:type="dxa"/>
              <w:end w:w="65" w:type="dxa"/>
            </w:tcMar>
            <w:vAlign w:val="center"/>
          </w:tcPr>
          <w:p>
            <w:r>
              <w:rPr>
                <w:sz w:val="14"/>
              </w:rPr>
              <w:t>Photographing / processing</w:t>
            </w:r>
          </w:p>
        </w:tc>
        <w:tc>
          <w:tcPr>
            <w:tcW w:type="dxa" w:w="3672"/>
            <w:tcMar>
              <w:top w:w="55" w:type="dxa"/>
              <w:start w:w="65" w:type="dxa"/>
              <w:bottom w:w="55" w:type="dxa"/>
              <w:end w:w="65" w:type="dxa"/>
            </w:tcMar>
            <w:vAlign w:val="center"/>
          </w:tcPr>
          <w:p>
            <w:r>
              <w:rPr>
                <w:sz w:val="14"/>
              </w:rPr>
              <w:t>Actual, necessary, direct cost</w:t>
            </w:r>
          </w:p>
        </w:tc>
        <w:tc>
          <w:tcPr>
            <w:tcW w:type="dxa" w:w="2592"/>
            <w:tcMar>
              <w:top w:w="55" w:type="dxa"/>
              <w:start w:w="65" w:type="dxa"/>
              <w:bottom w:w="55" w:type="dxa"/>
              <w:end w:w="65" w:type="dxa"/>
            </w:tcMar>
            <w:vAlign w:val="center"/>
          </w:tcPr>
          <w:p>
            <w:r>
              <w:rPr>
                <w:sz w:val="14"/>
              </w:rPr>
              <w:t>Communicate before charge</w:t>
            </w:r>
          </w:p>
        </w:tc>
        <w:tc>
          <w:tcPr>
            <w:tcW w:type="dxa" w:w="2232"/>
            <w:tcMar>
              <w:top w:w="55" w:type="dxa"/>
              <w:start w:w="65" w:type="dxa"/>
              <w:bottom w:w="55" w:type="dxa"/>
              <w:end w:w="65" w:type="dxa"/>
            </w:tcMar>
            <w:vAlign w:val="center"/>
          </w:tcPr>
          <w:p>
            <w:r>
              <w:rPr>
                <w:sz w:val="14"/>
              </w:rPr>
              <w:t>Media-specific configuration</w:t>
            </w:r>
          </w:p>
        </w:tc>
      </w:tr>
      <w:tr>
        <w:trPr>
          <w:cantSplit/>
        </w:trPr>
        <w:tc>
          <w:tcPr>
            <w:tcW w:type="dxa" w:w="2232"/>
            <w:tcMar>
              <w:top w:w="55" w:type="dxa"/>
              <w:start w:w="65" w:type="dxa"/>
              <w:bottom w:w="55" w:type="dxa"/>
              <w:end w:w="65" w:type="dxa"/>
            </w:tcMar>
            <w:vAlign w:val="center"/>
          </w:tcPr>
          <w:p>
            <w:r>
              <w:rPr>
                <w:sz w:val="14"/>
              </w:rPr>
              <w:t>Locating records</w:t>
            </w:r>
          </w:p>
        </w:tc>
        <w:tc>
          <w:tcPr>
            <w:tcW w:type="dxa" w:w="3672"/>
            <w:tcMar>
              <w:top w:w="55" w:type="dxa"/>
              <w:start w:w="65" w:type="dxa"/>
              <w:bottom w:w="55" w:type="dxa"/>
              <w:end w:w="65" w:type="dxa"/>
            </w:tcMar>
            <w:vAlign w:val="center"/>
          </w:tcPr>
          <w:p>
            <w:r>
              <w:rPr>
                <w:sz w:val="14"/>
              </w:rPr>
              <w:t>Charge only when location cost is $50 or more</w:t>
            </w:r>
          </w:p>
        </w:tc>
        <w:tc>
          <w:tcPr>
            <w:tcW w:type="dxa" w:w="2592"/>
            <w:tcMar>
              <w:top w:w="55" w:type="dxa"/>
              <w:start w:w="65" w:type="dxa"/>
              <w:bottom w:w="55" w:type="dxa"/>
              <w:end w:w="65" w:type="dxa"/>
            </w:tcMar>
            <w:vAlign w:val="center"/>
          </w:tcPr>
          <w:p>
            <w:r>
              <w:rPr>
                <w:sz w:val="14"/>
              </w:rPr>
              <w:t>Estimate supports requester decision</w:t>
            </w:r>
          </w:p>
        </w:tc>
        <w:tc>
          <w:tcPr>
            <w:tcW w:type="dxa" w:w="2232"/>
            <w:tcMar>
              <w:top w:w="55" w:type="dxa"/>
              <w:start w:w="65" w:type="dxa"/>
              <w:bottom w:w="55" w:type="dxa"/>
              <w:end w:w="65" w:type="dxa"/>
            </w:tcMar>
            <w:vAlign w:val="center"/>
          </w:tcPr>
          <w:p>
            <w:r>
              <w:rPr>
                <w:sz w:val="14"/>
              </w:rPr>
              <w:t>State threshold + lowest capable employee methodology</w:t>
            </w:r>
          </w:p>
        </w:tc>
      </w:tr>
      <w:tr>
        <w:trPr>
          <w:cantSplit/>
        </w:trPr>
        <w:tc>
          <w:tcPr>
            <w:tcW w:type="dxa" w:w="2232"/>
            <w:tcMar>
              <w:top w:w="55" w:type="dxa"/>
              <w:start w:w="65" w:type="dxa"/>
              <w:bottom w:w="55" w:type="dxa"/>
              <w:end w:w="65" w:type="dxa"/>
            </w:tcMar>
            <w:vAlign w:val="center"/>
          </w:tcPr>
          <w:p>
            <w:r>
              <w:rPr>
                <w:sz w:val="14"/>
              </w:rPr>
              <w:t>Mailing / shipping</w:t>
            </w:r>
          </w:p>
        </w:tc>
        <w:tc>
          <w:tcPr>
            <w:tcW w:type="dxa" w:w="3672"/>
            <w:tcMar>
              <w:top w:w="55" w:type="dxa"/>
              <w:start w:w="65" w:type="dxa"/>
              <w:bottom w:w="55" w:type="dxa"/>
              <w:end w:w="65" w:type="dxa"/>
            </w:tcMar>
            <w:vAlign w:val="center"/>
          </w:tcPr>
          <w:p>
            <w:r>
              <w:rPr>
                <w:sz w:val="14"/>
              </w:rPr>
              <w:t>Actual, necessary, direct cost</w:t>
            </w:r>
          </w:p>
        </w:tc>
        <w:tc>
          <w:tcPr>
            <w:tcW w:type="dxa" w:w="2592"/>
            <w:tcMar>
              <w:top w:w="55" w:type="dxa"/>
              <w:start w:w="65" w:type="dxa"/>
              <w:bottom w:w="55" w:type="dxa"/>
              <w:end w:w="65" w:type="dxa"/>
            </w:tcMar>
            <w:vAlign w:val="center"/>
          </w:tcPr>
          <w:p>
            <w:r>
              <w:rPr>
                <w:sz w:val="14"/>
              </w:rPr>
              <w:t>Before delivery</w:t>
            </w:r>
          </w:p>
        </w:tc>
        <w:tc>
          <w:tcPr>
            <w:tcW w:type="dxa" w:w="2232"/>
            <w:tcMar>
              <w:top w:w="55" w:type="dxa"/>
              <w:start w:w="65" w:type="dxa"/>
              <w:bottom w:w="55" w:type="dxa"/>
              <w:end w:w="65" w:type="dxa"/>
            </w:tcMar>
            <w:vAlign w:val="center"/>
          </w:tcPr>
          <w:p>
            <w:r>
              <w:rPr>
                <w:sz w:val="14"/>
              </w:rPr>
              <w:t>Actual cost</w:t>
            </w:r>
          </w:p>
        </w:tc>
      </w:tr>
      <w:tr>
        <w:trPr>
          <w:cantSplit/>
        </w:trPr>
        <w:tc>
          <w:tcPr>
            <w:tcW w:type="dxa" w:w="2232"/>
            <w:tcMar>
              <w:top w:w="55" w:type="dxa"/>
              <w:start w:w="65" w:type="dxa"/>
              <w:bottom w:w="55" w:type="dxa"/>
              <w:end w:w="65" w:type="dxa"/>
            </w:tcMar>
            <w:vAlign w:val="center"/>
          </w:tcPr>
          <w:p>
            <w:r>
              <w:rPr>
                <w:sz w:val="14"/>
              </w:rPr>
              <w:t>Redaction / legal review</w:t>
            </w:r>
          </w:p>
        </w:tc>
        <w:tc>
          <w:tcPr>
            <w:tcW w:type="dxa" w:w="3672"/>
            <w:tcMar>
              <w:top w:w="55" w:type="dxa"/>
              <w:start w:w="65" w:type="dxa"/>
              <w:bottom w:w="55" w:type="dxa"/>
              <w:end w:w="65" w:type="dxa"/>
            </w:tcMar>
            <w:vAlign w:val="center"/>
          </w:tcPr>
          <w:p>
            <w:r>
              <w:rPr>
                <w:sz w:val="14"/>
              </w:rPr>
              <w:t>Not chargeable as a public-records fee</w:t>
            </w:r>
          </w:p>
        </w:tc>
        <w:tc>
          <w:tcPr>
            <w:tcW w:type="dxa" w:w="2592"/>
            <w:tcMar>
              <w:top w:w="55" w:type="dxa"/>
              <w:start w:w="65" w:type="dxa"/>
              <w:bottom w:w="55" w:type="dxa"/>
              <w:end w:w="65" w:type="dxa"/>
            </w:tcMar>
            <w:vAlign w:val="center"/>
          </w:tcPr>
          <w:p>
            <w:r>
              <w:rPr>
                <w:sz w:val="14"/>
              </w:rPr>
              <w:t>Exclude from estimate</w:t>
            </w:r>
          </w:p>
        </w:tc>
        <w:tc>
          <w:tcPr>
            <w:tcW w:type="dxa" w:w="2232"/>
            <w:tcMar>
              <w:top w:w="55" w:type="dxa"/>
              <w:start w:w="65" w:type="dxa"/>
              <w:bottom w:w="55" w:type="dxa"/>
              <w:end w:w="65" w:type="dxa"/>
            </w:tcMar>
            <w:vAlign w:val="center"/>
          </w:tcPr>
          <w:p>
            <w:r>
              <w:rPr>
                <w:sz w:val="14"/>
              </w:rPr>
              <w:t>Activity-level prohibition</w:t>
            </w:r>
          </w:p>
        </w:tc>
      </w:tr>
      <w:tr>
        <w:trPr>
          <w:cantSplit/>
        </w:trPr>
        <w:tc>
          <w:tcPr>
            <w:tcW w:type="dxa" w:w="2232"/>
            <w:tcMar>
              <w:top w:w="55" w:type="dxa"/>
              <w:start w:w="65" w:type="dxa"/>
              <w:bottom w:w="55" w:type="dxa"/>
              <w:end w:w="65" w:type="dxa"/>
            </w:tcMar>
            <w:vAlign w:val="center"/>
          </w:tcPr>
          <w:p>
            <w:r>
              <w:rPr>
                <w:sz w:val="14"/>
              </w:rPr>
              <w:t>Waiver / reduction</w:t>
            </w:r>
          </w:p>
        </w:tc>
        <w:tc>
          <w:tcPr>
            <w:tcW w:type="dxa" w:w="3672"/>
            <w:tcMar>
              <w:top w:w="55" w:type="dxa"/>
              <w:start w:w="65" w:type="dxa"/>
              <w:bottom w:w="55" w:type="dxa"/>
              <w:end w:w="65" w:type="dxa"/>
            </w:tcMar>
            <w:vAlign w:val="center"/>
          </w:tcPr>
          <w:p>
            <w:r>
              <w:rPr>
                <w:sz w:val="14"/>
              </w:rPr>
              <w:t>Discretionary when in public interest</w:t>
            </w:r>
          </w:p>
        </w:tc>
        <w:tc>
          <w:tcPr>
            <w:tcW w:type="dxa" w:w="2592"/>
            <w:tcMar>
              <w:top w:w="55" w:type="dxa"/>
              <w:start w:w="65" w:type="dxa"/>
              <w:bottom w:w="55" w:type="dxa"/>
              <w:end w:w="65" w:type="dxa"/>
            </w:tcMar>
            <w:vAlign w:val="center"/>
          </w:tcPr>
          <w:p>
            <w:r>
              <w:rPr>
                <w:sz w:val="14"/>
              </w:rPr>
              <w:t>Decide before final invoice</w:t>
            </w:r>
          </w:p>
        </w:tc>
        <w:tc>
          <w:tcPr>
            <w:tcW w:type="dxa" w:w="2232"/>
            <w:tcMar>
              <w:top w:w="55" w:type="dxa"/>
              <w:start w:w="65" w:type="dxa"/>
              <w:bottom w:w="55" w:type="dxa"/>
              <w:end w:w="65" w:type="dxa"/>
            </w:tcMar>
            <w:vAlign w:val="center"/>
          </w:tcPr>
          <w:p>
            <w:r>
              <w:rPr>
                <w:sz w:val="14"/>
              </w:rPr>
              <w:t>Local approval workflow</w:t>
            </w:r>
          </w:p>
        </w:tc>
      </w:tr>
    </w:tbl>
    <w:p>
      <w:pPr>
        <w:pStyle w:val="Heading1"/>
      </w:pPr>
      <w:r>
        <w:t>10. Normalized Software Rules</w:t>
      </w:r>
    </w:p>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cantSplit/>
        </w:trPr>
        <w:tc>
          <w:tcPr>
            <w:tcW w:type="dxa" w:w="792"/>
            <w:shd w:fill="17365D"/>
            <w:tcMar>
              <w:top w:w="55" w:type="dxa"/>
              <w:start w:w="65" w:type="dxa"/>
              <w:bottom w:w="55" w:type="dxa"/>
              <w:end w:w="65" w:type="dxa"/>
            </w:tcMar>
          </w:tcPr>
          <w:p>
            <w:pPr>
              <w:jc w:val="center"/>
            </w:pPr>
            <w:r>
              <w:rPr>
                <w:b/>
                <w:color w:val="FFFFFF"/>
                <w:sz w:val="13"/>
              </w:rPr>
              <w:t>Rule</w:t>
            </w:r>
          </w:p>
        </w:tc>
        <w:tc>
          <w:tcPr>
            <w:tcW w:type="dxa" w:w="2088"/>
            <w:shd w:fill="17365D"/>
            <w:tcMar>
              <w:top w:w="55" w:type="dxa"/>
              <w:start w:w="65" w:type="dxa"/>
              <w:bottom w:w="55" w:type="dxa"/>
              <w:end w:w="65" w:type="dxa"/>
            </w:tcMar>
          </w:tcPr>
          <w:p>
            <w:pPr>
              <w:jc w:val="center"/>
            </w:pPr>
            <w:r>
              <w:rPr>
                <w:b/>
                <w:color w:val="FFFFFF"/>
                <w:sz w:val="13"/>
              </w:rPr>
              <w:t>Trigger / conditions</w:t>
            </w:r>
          </w:p>
        </w:tc>
        <w:tc>
          <w:tcPr>
            <w:tcW w:type="dxa" w:w="3384"/>
            <w:shd w:fill="17365D"/>
            <w:tcMar>
              <w:top w:w="55" w:type="dxa"/>
              <w:start w:w="65" w:type="dxa"/>
              <w:bottom w:w="55" w:type="dxa"/>
              <w:end w:w="65" w:type="dxa"/>
            </w:tcMar>
          </w:tcPr>
          <w:p>
            <w:pPr>
              <w:jc w:val="center"/>
            </w:pPr>
            <w:r>
              <w:rPr>
                <w:b/>
                <w:color w:val="FFFFFF"/>
                <w:sz w:val="13"/>
              </w:rPr>
              <w:t>Required action &amp; communication</w:t>
            </w:r>
          </w:p>
        </w:tc>
        <w:tc>
          <w:tcPr>
            <w:tcW w:type="dxa" w:w="1800"/>
            <w:shd w:fill="17365D"/>
            <w:tcMar>
              <w:top w:w="55" w:type="dxa"/>
              <w:start w:w="65" w:type="dxa"/>
              <w:bottom w:w="55" w:type="dxa"/>
              <w:end w:w="65" w:type="dxa"/>
            </w:tcMar>
          </w:tcPr>
          <w:p>
            <w:pPr>
              <w:jc w:val="center"/>
            </w:pPr>
            <w:r>
              <w:rPr>
                <w:b/>
                <w:color w:val="FFFFFF"/>
                <w:sz w:val="13"/>
              </w:rPr>
              <w:t>Deadline / clock effect</w:t>
            </w:r>
          </w:p>
        </w:tc>
        <w:tc>
          <w:tcPr>
            <w:tcW w:type="dxa" w:w="2664"/>
            <w:shd w:fill="17365D"/>
            <w:tcMar>
              <w:top w:w="55" w:type="dxa"/>
              <w:start w:w="65" w:type="dxa"/>
              <w:bottom w:w="55" w:type="dxa"/>
              <w:end w:w="65" w:type="dxa"/>
            </w:tcMar>
          </w:tcPr>
          <w:p>
            <w:pPr>
              <w:jc w:val="center"/>
            </w:pPr>
            <w:r>
              <w:rPr>
                <w:b/>
                <w:color w:val="FFFFFF"/>
                <w:sz w:val="13"/>
              </w:rPr>
              <w:t>Configuration, applicability &amp; authority</w:t>
            </w:r>
          </w:p>
        </w:tc>
      </w:tr>
      <w:tr>
        <w:trPr>
          <w:cantSplit/>
        </w:trPr>
        <w:tc>
          <w:tcPr>
            <w:tcW w:type="dxa" w:w="792"/>
            <w:tcMar>
              <w:top w:w="55" w:type="dxa"/>
              <w:start w:w="65" w:type="dxa"/>
              <w:bottom w:w="55" w:type="dxa"/>
              <w:end w:w="65" w:type="dxa"/>
            </w:tcMar>
            <w:vAlign w:val="center"/>
          </w:tcPr>
          <w:p>
            <w:r>
              <w:rPr>
                <w:sz w:val="13"/>
              </w:rPr>
              <w:t>WI-01</w:t>
            </w:r>
          </w:p>
        </w:tc>
        <w:tc>
          <w:tcPr>
            <w:tcW w:type="dxa" w:w="2088"/>
            <w:tcMar>
              <w:top w:w="55" w:type="dxa"/>
              <w:start w:w="65" w:type="dxa"/>
              <w:bottom w:w="55" w:type="dxa"/>
              <w:end w:w="65" w:type="dxa"/>
            </w:tcMar>
            <w:vAlign w:val="center"/>
          </w:tcPr>
          <w:p>
            <w:r>
              <w:rPr>
                <w:sz w:val="13"/>
              </w:rPr>
              <w:t>Request reasonably describes records</w:t>
            </w:r>
          </w:p>
        </w:tc>
        <w:tc>
          <w:tcPr>
            <w:tcW w:type="dxa" w:w="3384"/>
            <w:tcMar>
              <w:top w:w="55" w:type="dxa"/>
              <w:start w:w="65" w:type="dxa"/>
              <w:bottom w:w="55" w:type="dxa"/>
              <w:end w:w="65" w:type="dxa"/>
            </w:tcMar>
            <w:vAlign w:val="center"/>
          </w:tcPr>
          <w:p>
            <w:r>
              <w:rPr>
                <w:sz w:val="13"/>
              </w:rPr>
              <w:t>Fill or deny; prioritize and communicate</w:t>
            </w:r>
          </w:p>
        </w:tc>
        <w:tc>
          <w:tcPr>
            <w:tcW w:type="dxa" w:w="1800"/>
            <w:tcMar>
              <w:top w:w="55" w:type="dxa"/>
              <w:start w:w="65" w:type="dxa"/>
              <w:bottom w:w="55" w:type="dxa"/>
              <w:end w:w="65" w:type="dxa"/>
            </w:tcMar>
            <w:vAlign w:val="center"/>
          </w:tcPr>
          <w:p>
            <w:r>
              <w:rPr>
                <w:sz w:val="13"/>
              </w:rPr>
              <w:t>As soon as practicable and without delay</w:t>
            </w:r>
          </w:p>
        </w:tc>
        <w:tc>
          <w:tcPr>
            <w:tcW w:type="dxa" w:w="2664"/>
            <w:tcMar>
              <w:top w:w="55" w:type="dxa"/>
              <w:start w:w="65" w:type="dxa"/>
              <w:bottom w:w="55" w:type="dxa"/>
              <w:end w:w="65" w:type="dxa"/>
            </w:tcMar>
            <w:vAlign w:val="center"/>
          </w:tcPr>
          <w:p>
            <w:r>
              <w:rPr>
                <w:sz w:val="13"/>
              </w:rPr>
              <w:t>Statewide qualitative; cities; §19.35(4)</w:t>
            </w:r>
          </w:p>
        </w:tc>
      </w:tr>
      <w:tr>
        <w:trPr>
          <w:cantSplit/>
        </w:trPr>
        <w:tc>
          <w:tcPr>
            <w:tcW w:type="dxa" w:w="792"/>
            <w:tcMar>
              <w:top w:w="55" w:type="dxa"/>
              <w:start w:w="65" w:type="dxa"/>
              <w:bottom w:w="55" w:type="dxa"/>
              <w:end w:w="65" w:type="dxa"/>
            </w:tcMar>
            <w:vAlign w:val="center"/>
          </w:tcPr>
          <w:p>
            <w:r>
              <w:rPr>
                <w:sz w:val="13"/>
              </w:rPr>
              <w:t>WI-02</w:t>
            </w:r>
          </w:p>
        </w:tc>
        <w:tc>
          <w:tcPr>
            <w:tcW w:type="dxa" w:w="2088"/>
            <w:tcMar>
              <w:top w:w="55" w:type="dxa"/>
              <w:start w:w="65" w:type="dxa"/>
              <w:bottom w:w="55" w:type="dxa"/>
              <w:end w:w="65" w:type="dxa"/>
            </w:tcMar>
            <w:vAlign w:val="center"/>
          </w:tcPr>
          <w:p>
            <w:r>
              <w:rPr>
                <w:sz w:val="13"/>
              </w:rPr>
              <w:t>Request lacks reasonable subject/time limits</w:t>
            </w:r>
          </w:p>
        </w:tc>
        <w:tc>
          <w:tcPr>
            <w:tcW w:type="dxa" w:w="3384"/>
            <w:tcMar>
              <w:top w:w="55" w:type="dxa"/>
              <w:start w:w="65" w:type="dxa"/>
              <w:bottom w:w="55" w:type="dxa"/>
              <w:end w:w="65" w:type="dxa"/>
            </w:tcMar>
            <w:vAlign w:val="center"/>
          </w:tcPr>
          <w:p>
            <w:r>
              <w:rPr>
                <w:sz w:val="13"/>
              </w:rPr>
              <w:t>Seek clarification or deny with basis</w:t>
            </w:r>
          </w:p>
        </w:tc>
        <w:tc>
          <w:tcPr>
            <w:tcW w:type="dxa" w:w="1800"/>
            <w:tcMar>
              <w:top w:w="55" w:type="dxa"/>
              <w:start w:w="65" w:type="dxa"/>
              <w:bottom w:w="55" w:type="dxa"/>
              <w:end w:w="65" w:type="dxa"/>
            </w:tcMar>
            <w:vAlign w:val="center"/>
          </w:tcPr>
          <w:p>
            <w:r>
              <w:rPr>
                <w:sz w:val="13"/>
              </w:rPr>
              <w:t>No toll/restart stated</w:t>
            </w:r>
          </w:p>
        </w:tc>
        <w:tc>
          <w:tcPr>
            <w:tcW w:type="dxa" w:w="2664"/>
            <w:tcMar>
              <w:top w:w="55" w:type="dxa"/>
              <w:start w:w="65" w:type="dxa"/>
              <w:bottom w:w="55" w:type="dxa"/>
              <w:end w:w="65" w:type="dxa"/>
            </w:tcMar>
            <w:vAlign w:val="center"/>
          </w:tcPr>
          <w:p>
            <w:r>
              <w:rPr>
                <w:sz w:val="13"/>
              </w:rPr>
              <w:t>Human validation; §19.35</w:t>
            </w:r>
          </w:p>
        </w:tc>
      </w:tr>
      <w:tr>
        <w:trPr>
          <w:cantSplit/>
        </w:trPr>
        <w:tc>
          <w:tcPr>
            <w:tcW w:type="dxa" w:w="792"/>
            <w:tcMar>
              <w:top w:w="55" w:type="dxa"/>
              <w:start w:w="65" w:type="dxa"/>
              <w:bottom w:w="55" w:type="dxa"/>
              <w:end w:w="65" w:type="dxa"/>
            </w:tcMar>
            <w:vAlign w:val="center"/>
          </w:tcPr>
          <w:p>
            <w:r>
              <w:rPr>
                <w:sz w:val="13"/>
              </w:rPr>
              <w:t>WI-03</w:t>
            </w:r>
          </w:p>
        </w:tc>
        <w:tc>
          <w:tcPr>
            <w:tcW w:type="dxa" w:w="2088"/>
            <w:tcMar>
              <w:top w:w="55" w:type="dxa"/>
              <w:start w:w="65" w:type="dxa"/>
              <w:bottom w:w="55" w:type="dxa"/>
              <w:end w:w="65" w:type="dxa"/>
            </w:tcMar>
            <w:vAlign w:val="center"/>
          </w:tcPr>
          <w:p>
            <w:r>
              <w:rPr>
                <w:sz w:val="13"/>
              </w:rPr>
              <w:t>Written request denied</w:t>
            </w:r>
          </w:p>
        </w:tc>
        <w:tc>
          <w:tcPr>
            <w:tcW w:type="dxa" w:w="3384"/>
            <w:tcMar>
              <w:top w:w="55" w:type="dxa"/>
              <w:start w:w="65" w:type="dxa"/>
              <w:bottom w:w="55" w:type="dxa"/>
              <w:end w:w="65" w:type="dxa"/>
            </w:tcMar>
            <w:vAlign w:val="center"/>
          </w:tcPr>
          <w:p>
            <w:r>
              <w:rPr>
                <w:sz w:val="13"/>
              </w:rPr>
              <w:t>Issue written denial with reasons/remedies</w:t>
            </w:r>
          </w:p>
        </w:tc>
        <w:tc>
          <w:tcPr>
            <w:tcW w:type="dxa" w:w="1800"/>
            <w:tcMar>
              <w:top w:w="55" w:type="dxa"/>
              <w:start w:w="65" w:type="dxa"/>
              <w:bottom w:w="55" w:type="dxa"/>
              <w:end w:w="65" w:type="dxa"/>
            </w:tcMar>
            <w:vAlign w:val="center"/>
          </w:tcPr>
          <w:p>
            <w:r>
              <w:rPr>
                <w:sz w:val="13"/>
              </w:rPr>
              <w:t>At denial</w:t>
            </w:r>
          </w:p>
        </w:tc>
        <w:tc>
          <w:tcPr>
            <w:tcW w:type="dxa" w:w="2664"/>
            <w:tcMar>
              <w:top w:w="55" w:type="dxa"/>
              <w:start w:w="65" w:type="dxa"/>
              <w:bottom w:w="55" w:type="dxa"/>
              <w:end w:w="65" w:type="dxa"/>
            </w:tcMar>
            <w:vAlign w:val="center"/>
          </w:tcPr>
          <w:p>
            <w:r>
              <w:rPr>
                <w:sz w:val="13"/>
              </w:rPr>
              <w:t>Mandatory; §19.35(4)(b)</w:t>
            </w:r>
          </w:p>
        </w:tc>
      </w:tr>
      <w:tr>
        <w:trPr>
          <w:cantSplit/>
        </w:trPr>
        <w:tc>
          <w:tcPr>
            <w:tcW w:type="dxa" w:w="792"/>
            <w:tcMar>
              <w:top w:w="55" w:type="dxa"/>
              <w:start w:w="65" w:type="dxa"/>
              <w:bottom w:w="55" w:type="dxa"/>
              <w:end w:w="65" w:type="dxa"/>
            </w:tcMar>
            <w:vAlign w:val="center"/>
          </w:tcPr>
          <w:p>
            <w:r>
              <w:rPr>
                <w:sz w:val="13"/>
              </w:rPr>
              <w:t>WI-04</w:t>
            </w:r>
          </w:p>
        </w:tc>
        <w:tc>
          <w:tcPr>
            <w:tcW w:type="dxa" w:w="2088"/>
            <w:tcMar>
              <w:top w:w="55" w:type="dxa"/>
              <w:start w:w="65" w:type="dxa"/>
              <w:bottom w:w="55" w:type="dxa"/>
              <w:end w:w="65" w:type="dxa"/>
            </w:tcMar>
            <w:vAlign w:val="center"/>
          </w:tcPr>
          <w:p>
            <w:r>
              <w:rPr>
                <w:sz w:val="13"/>
              </w:rPr>
              <w:t>Oral denial + requester asks for writing</w:t>
            </w:r>
          </w:p>
        </w:tc>
        <w:tc>
          <w:tcPr>
            <w:tcW w:type="dxa" w:w="3384"/>
            <w:tcMar>
              <w:top w:w="55" w:type="dxa"/>
              <w:start w:w="65" w:type="dxa"/>
              <w:bottom w:w="55" w:type="dxa"/>
              <w:end w:w="65" w:type="dxa"/>
            </w:tcMar>
            <w:vAlign w:val="center"/>
          </w:tcPr>
          <w:p>
            <w:r>
              <w:rPr>
                <w:sz w:val="13"/>
              </w:rPr>
              <w:t>Provide written statement</w:t>
            </w:r>
          </w:p>
        </w:tc>
        <w:tc>
          <w:tcPr>
            <w:tcW w:type="dxa" w:w="1800"/>
            <w:tcMar>
              <w:top w:w="55" w:type="dxa"/>
              <w:start w:w="65" w:type="dxa"/>
              <w:bottom w:w="55" w:type="dxa"/>
              <w:end w:w="65" w:type="dxa"/>
            </w:tcMar>
            <w:vAlign w:val="center"/>
          </w:tcPr>
          <w:p>
            <w:r>
              <w:rPr>
                <w:sz w:val="13"/>
              </w:rPr>
              <w:t>Within 5 business days</w:t>
            </w:r>
          </w:p>
        </w:tc>
        <w:tc>
          <w:tcPr>
            <w:tcW w:type="dxa" w:w="2664"/>
            <w:tcMar>
              <w:top w:w="55" w:type="dxa"/>
              <w:start w:w="65" w:type="dxa"/>
              <w:bottom w:w="55" w:type="dxa"/>
              <w:end w:w="65" w:type="dxa"/>
            </w:tcMar>
            <w:vAlign w:val="center"/>
          </w:tcPr>
          <w:p>
            <w:r>
              <w:rPr>
                <w:sz w:val="13"/>
              </w:rPr>
              <w:t>Mandatory triggered timer; §19.35(4)(b)</w:t>
            </w:r>
          </w:p>
        </w:tc>
      </w:tr>
      <w:tr>
        <w:trPr>
          <w:cantSplit/>
        </w:trPr>
        <w:tc>
          <w:tcPr>
            <w:tcW w:type="dxa" w:w="792"/>
            <w:tcMar>
              <w:top w:w="55" w:type="dxa"/>
              <w:start w:w="65" w:type="dxa"/>
              <w:bottom w:w="55" w:type="dxa"/>
              <w:end w:w="65" w:type="dxa"/>
            </w:tcMar>
            <w:vAlign w:val="center"/>
          </w:tcPr>
          <w:p>
            <w:r>
              <w:rPr>
                <w:sz w:val="13"/>
              </w:rPr>
              <w:t>WI-05</w:t>
            </w:r>
          </w:p>
        </w:tc>
        <w:tc>
          <w:tcPr>
            <w:tcW w:type="dxa" w:w="2088"/>
            <w:tcMar>
              <w:top w:w="55" w:type="dxa"/>
              <w:start w:w="65" w:type="dxa"/>
              <w:bottom w:w="55" w:type="dxa"/>
              <w:end w:w="65" w:type="dxa"/>
            </w:tcMar>
            <w:vAlign w:val="center"/>
          </w:tcPr>
          <w:p>
            <w:r>
              <w:rPr>
                <w:sz w:val="13"/>
              </w:rPr>
              <w:t>Location cost at least $50</w:t>
            </w:r>
          </w:p>
        </w:tc>
        <w:tc>
          <w:tcPr>
            <w:tcW w:type="dxa" w:w="3384"/>
            <w:tcMar>
              <w:top w:w="55" w:type="dxa"/>
              <w:start w:w="65" w:type="dxa"/>
              <w:bottom w:w="55" w:type="dxa"/>
              <w:end w:w="65" w:type="dxa"/>
            </w:tcMar>
            <w:vAlign w:val="center"/>
          </w:tcPr>
          <w:p>
            <w:r>
              <w:rPr>
                <w:sz w:val="13"/>
              </w:rPr>
              <w:t>May charge actual necessary direct location cost</w:t>
            </w:r>
          </w:p>
        </w:tc>
        <w:tc>
          <w:tcPr>
            <w:tcW w:type="dxa" w:w="1800"/>
            <w:tcMar>
              <w:top w:w="55" w:type="dxa"/>
              <w:start w:w="65" w:type="dxa"/>
              <w:bottom w:w="55" w:type="dxa"/>
              <w:end w:w="65" w:type="dxa"/>
            </w:tcMar>
            <w:vAlign w:val="center"/>
          </w:tcPr>
          <w:p>
            <w:r>
              <w:rPr>
                <w:sz w:val="13"/>
              </w:rPr>
              <w:t>Before collection/delivery</w:t>
            </w:r>
          </w:p>
        </w:tc>
        <w:tc>
          <w:tcPr>
            <w:tcW w:type="dxa" w:w="2664"/>
            <w:tcMar>
              <w:top w:w="55" w:type="dxa"/>
              <w:start w:w="65" w:type="dxa"/>
              <w:bottom w:w="55" w:type="dxa"/>
              <w:end w:w="65" w:type="dxa"/>
            </w:tcMar>
            <w:vAlign w:val="center"/>
          </w:tcPr>
          <w:p>
            <w:r>
              <w:rPr>
                <w:sz w:val="13"/>
              </w:rPr>
              <w:t>State threshold; §19.35(3)(c)</w:t>
            </w:r>
          </w:p>
        </w:tc>
      </w:tr>
      <w:tr>
        <w:trPr>
          <w:cantSplit/>
        </w:trPr>
        <w:tc>
          <w:tcPr>
            <w:tcW w:type="dxa" w:w="792"/>
            <w:tcMar>
              <w:top w:w="55" w:type="dxa"/>
              <w:start w:w="65" w:type="dxa"/>
              <w:bottom w:w="55" w:type="dxa"/>
              <w:end w:w="65" w:type="dxa"/>
            </w:tcMar>
            <w:vAlign w:val="center"/>
          </w:tcPr>
          <w:p>
            <w:r>
              <w:rPr>
                <w:sz w:val="13"/>
              </w:rPr>
              <w:t>WI-06</w:t>
            </w:r>
          </w:p>
        </w:tc>
        <w:tc>
          <w:tcPr>
            <w:tcW w:type="dxa" w:w="2088"/>
            <w:tcMar>
              <w:top w:w="55" w:type="dxa"/>
              <w:start w:w="65" w:type="dxa"/>
              <w:bottom w:w="55" w:type="dxa"/>
              <w:end w:w="65" w:type="dxa"/>
            </w:tcMar>
            <w:vAlign w:val="center"/>
          </w:tcPr>
          <w:p>
            <w:r>
              <w:rPr>
                <w:sz w:val="13"/>
              </w:rPr>
              <w:t>Authorized total exceeds $5</w:t>
            </w:r>
          </w:p>
        </w:tc>
        <w:tc>
          <w:tcPr>
            <w:tcW w:type="dxa" w:w="3384"/>
            <w:tcMar>
              <w:top w:w="55" w:type="dxa"/>
              <w:start w:w="65" w:type="dxa"/>
              <w:bottom w:w="55" w:type="dxa"/>
              <w:end w:w="65" w:type="dxa"/>
            </w:tcMar>
            <w:vAlign w:val="center"/>
          </w:tcPr>
          <w:p>
            <w:r>
              <w:rPr>
                <w:sz w:val="13"/>
              </w:rPr>
              <w:t>May require prepayment</w:t>
            </w:r>
          </w:p>
        </w:tc>
        <w:tc>
          <w:tcPr>
            <w:tcW w:type="dxa" w:w="1800"/>
            <w:tcMar>
              <w:top w:w="55" w:type="dxa"/>
              <w:start w:w="65" w:type="dxa"/>
              <w:bottom w:w="55" w:type="dxa"/>
              <w:end w:w="65" w:type="dxa"/>
            </w:tcMar>
            <w:vAlign w:val="center"/>
          </w:tcPr>
          <w:p>
            <w:r>
              <w:rPr>
                <w:sz w:val="13"/>
              </w:rPr>
              <w:t>Before fulfillment</w:t>
            </w:r>
          </w:p>
        </w:tc>
        <w:tc>
          <w:tcPr>
            <w:tcW w:type="dxa" w:w="2664"/>
            <w:tcMar>
              <w:top w:w="55" w:type="dxa"/>
              <w:start w:w="65" w:type="dxa"/>
              <w:bottom w:w="55" w:type="dxa"/>
              <w:end w:w="65" w:type="dxa"/>
            </w:tcMar>
            <w:vAlign w:val="center"/>
          </w:tcPr>
          <w:p>
            <w:r>
              <w:rPr>
                <w:sz w:val="13"/>
              </w:rPr>
              <w:t>State threshold; §19.35(3)(f)</w:t>
            </w:r>
          </w:p>
        </w:tc>
      </w:tr>
      <w:tr>
        <w:trPr>
          <w:cantSplit/>
        </w:trPr>
        <w:tc>
          <w:tcPr>
            <w:tcW w:type="dxa" w:w="792"/>
            <w:tcMar>
              <w:top w:w="55" w:type="dxa"/>
              <w:start w:w="65" w:type="dxa"/>
              <w:bottom w:w="55" w:type="dxa"/>
              <w:end w:w="65" w:type="dxa"/>
            </w:tcMar>
            <w:vAlign w:val="center"/>
          </w:tcPr>
          <w:p>
            <w:r>
              <w:rPr>
                <w:sz w:val="13"/>
              </w:rPr>
              <w:t>WI-07</w:t>
            </w:r>
          </w:p>
        </w:tc>
        <w:tc>
          <w:tcPr>
            <w:tcW w:type="dxa" w:w="2088"/>
            <w:tcMar>
              <w:top w:w="55" w:type="dxa"/>
              <w:start w:w="65" w:type="dxa"/>
              <w:bottom w:w="55" w:type="dxa"/>
              <w:end w:w="65" w:type="dxa"/>
            </w:tcMar>
            <w:vAlign w:val="center"/>
          </w:tcPr>
          <w:p>
            <w:r>
              <w:rPr>
                <w:sz w:val="13"/>
              </w:rPr>
              <w:t>Review/redaction activity</w:t>
            </w:r>
          </w:p>
        </w:tc>
        <w:tc>
          <w:tcPr>
            <w:tcW w:type="dxa" w:w="3384"/>
            <w:tcMar>
              <w:top w:w="55" w:type="dxa"/>
              <w:start w:w="65" w:type="dxa"/>
              <w:bottom w:w="55" w:type="dxa"/>
              <w:end w:w="65" w:type="dxa"/>
            </w:tcMar>
            <w:vAlign w:val="center"/>
          </w:tcPr>
          <w:p>
            <w:r>
              <w:rPr>
                <w:sz w:val="13"/>
              </w:rPr>
              <w:t>Track internally but exclude from fee</w:t>
            </w:r>
          </w:p>
        </w:tc>
        <w:tc>
          <w:tcPr>
            <w:tcW w:type="dxa" w:w="1800"/>
            <w:tcMar>
              <w:top w:w="55" w:type="dxa"/>
              <w:start w:w="65" w:type="dxa"/>
              <w:bottom w:w="55" w:type="dxa"/>
              <w:end w:w="65" w:type="dxa"/>
            </w:tcMar>
            <w:vAlign w:val="center"/>
          </w:tcPr>
          <w:p>
            <w:r>
              <w:rPr>
                <w:sz w:val="13"/>
              </w:rPr>
              <w:t>No fee timer</w:t>
            </w:r>
          </w:p>
        </w:tc>
        <w:tc>
          <w:tcPr>
            <w:tcW w:type="dxa" w:w="2664"/>
            <w:tcMar>
              <w:top w:w="55" w:type="dxa"/>
              <w:start w:w="65" w:type="dxa"/>
              <w:bottom w:w="55" w:type="dxa"/>
              <w:end w:w="65" w:type="dxa"/>
            </w:tcMar>
            <w:vAlign w:val="center"/>
          </w:tcPr>
          <w:p>
            <w:r>
              <w:rPr>
                <w:sz w:val="13"/>
              </w:rPr>
              <w:t>State prohibition; DOJ guidance</w:t>
            </w:r>
          </w:p>
        </w:tc>
      </w:tr>
    </w:tbl>
    <w:p>
      <w:pPr>
        <w:pStyle w:val="Heading1"/>
      </w:pPr>
      <w:r>
        <w:t>11. Jurisdiction-Configuration Fields</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2592"/>
            <w:shd w:fill="17365D"/>
            <w:tcMar>
              <w:top w:w="55" w:type="dxa"/>
              <w:start w:w="65" w:type="dxa"/>
              <w:bottom w:w="55" w:type="dxa"/>
              <w:end w:w="65" w:type="dxa"/>
            </w:tcMar>
          </w:tcPr>
          <w:p>
            <w:pPr>
              <w:jc w:val="center"/>
            </w:pPr>
            <w:r>
              <w:rPr>
                <w:b/>
                <w:color w:val="FFFFFF"/>
                <w:sz w:val="14"/>
              </w:rPr>
              <w:t>Configuration field</w:t>
            </w:r>
          </w:p>
        </w:tc>
        <w:tc>
          <w:tcPr>
            <w:tcW w:type="dxa" w:w="1728"/>
            <w:shd w:fill="17365D"/>
            <w:tcMar>
              <w:top w:w="55" w:type="dxa"/>
              <w:start w:w="65" w:type="dxa"/>
              <w:bottom w:w="55" w:type="dxa"/>
              <w:end w:w="65" w:type="dxa"/>
            </w:tcMar>
          </w:tcPr>
          <w:p>
            <w:pPr>
              <w:jc w:val="center"/>
            </w:pPr>
            <w:r>
              <w:rPr>
                <w:b/>
                <w:color w:val="FFFFFF"/>
                <w:sz w:val="14"/>
              </w:rPr>
              <w:t>Source type</w:t>
            </w:r>
          </w:p>
        </w:tc>
        <w:tc>
          <w:tcPr>
            <w:tcW w:type="dxa" w:w="2664"/>
            <w:shd w:fill="17365D"/>
            <w:tcMar>
              <w:top w:w="55" w:type="dxa"/>
              <w:start w:w="65" w:type="dxa"/>
              <w:bottom w:w="55" w:type="dxa"/>
              <w:end w:w="65" w:type="dxa"/>
            </w:tcMar>
          </w:tcPr>
          <w:p>
            <w:pPr>
              <w:jc w:val="center"/>
            </w:pPr>
            <w:r>
              <w:rPr>
                <w:b/>
                <w:color w:val="FFFFFF"/>
                <w:sz w:val="14"/>
              </w:rPr>
              <w:t>Value / permitted setting</w:t>
            </w:r>
          </w:p>
        </w:tc>
        <w:tc>
          <w:tcPr>
            <w:tcW w:type="dxa" w:w="3744"/>
            <w:shd w:fill="17365D"/>
            <w:tcMar>
              <w:top w:w="55" w:type="dxa"/>
              <w:start w:w="65" w:type="dxa"/>
              <w:bottom w:w="55" w:type="dxa"/>
              <w:end w:w="65" w:type="dxa"/>
            </w:tcMar>
          </w:tcPr>
          <w:p>
            <w:pPr>
              <w:jc w:val="center"/>
            </w:pPr>
            <w:r>
              <w:rPr>
                <w:b/>
                <w:color w:val="FFFFFF"/>
                <w:sz w:val="14"/>
              </w:rPr>
              <w:t>Implementation note</w:t>
            </w:r>
          </w:p>
        </w:tc>
      </w:tr>
      <w:tr>
        <w:trPr>
          <w:cantSplit/>
        </w:trPr>
        <w:tc>
          <w:tcPr>
            <w:tcW w:type="dxa" w:w="2592"/>
            <w:tcMar>
              <w:top w:w="55" w:type="dxa"/>
              <w:start w:w="65" w:type="dxa"/>
              <w:bottom w:w="55" w:type="dxa"/>
              <w:end w:w="65" w:type="dxa"/>
            </w:tcMar>
            <w:vAlign w:val="center"/>
          </w:tcPr>
          <w:p>
            <w:r>
              <w:rPr>
                <w:sz w:val="14"/>
              </w:rPr>
              <w:t>qualitative_service_targets</w:t>
            </w:r>
          </w:p>
        </w:tc>
        <w:tc>
          <w:tcPr>
            <w:tcW w:type="dxa" w:w="1728"/>
            <w:tcMar>
              <w:top w:w="55" w:type="dxa"/>
              <w:start w:w="65" w:type="dxa"/>
              <w:bottom w:w="55" w:type="dxa"/>
              <w:end w:w="65" w:type="dxa"/>
            </w:tcMar>
            <w:vAlign w:val="center"/>
          </w:tcPr>
          <w:p>
            <w:r>
              <w:rPr>
                <w:sz w:val="14"/>
              </w:rPr>
              <w:t>Local policy</w:t>
            </w:r>
          </w:p>
        </w:tc>
        <w:tc>
          <w:tcPr>
            <w:tcW w:type="dxa" w:w="2664"/>
            <w:tcMar>
              <w:top w:w="55" w:type="dxa"/>
              <w:start w:w="65" w:type="dxa"/>
              <w:bottom w:w="55" w:type="dxa"/>
              <w:end w:w="65" w:type="dxa"/>
            </w:tcMar>
            <w:vAlign w:val="center"/>
          </w:tcPr>
          <w:p>
            <w:r>
              <w:rPr>
                <w:sz w:val="14"/>
              </w:rPr>
              <w:t>Acknowledgment/status/escalation targets</w:t>
            </w:r>
          </w:p>
        </w:tc>
        <w:tc>
          <w:tcPr>
            <w:tcW w:type="dxa" w:w="3744"/>
            <w:tcMar>
              <w:top w:w="55" w:type="dxa"/>
              <w:start w:w="65" w:type="dxa"/>
              <w:bottom w:w="55" w:type="dxa"/>
              <w:end w:w="65" w:type="dxa"/>
            </w:tcMar>
            <w:vAlign w:val="center"/>
          </w:tcPr>
          <w:p>
            <w:r>
              <w:rPr>
                <w:sz w:val="14"/>
              </w:rPr>
              <w:t>Label as operational, not law</w:t>
            </w:r>
          </w:p>
        </w:tc>
      </w:tr>
      <w:tr>
        <w:trPr>
          <w:cantSplit/>
        </w:trPr>
        <w:tc>
          <w:tcPr>
            <w:tcW w:type="dxa" w:w="2592"/>
            <w:tcMar>
              <w:top w:w="55" w:type="dxa"/>
              <w:start w:w="65" w:type="dxa"/>
              <w:bottom w:w="55" w:type="dxa"/>
              <w:end w:w="65" w:type="dxa"/>
            </w:tcMar>
            <w:vAlign w:val="center"/>
          </w:tcPr>
          <w:p>
            <w:r>
              <w:rPr>
                <w:sz w:val="14"/>
              </w:rPr>
              <w:t>request_description_review</w:t>
            </w:r>
          </w:p>
        </w:tc>
        <w:tc>
          <w:tcPr>
            <w:tcW w:type="dxa" w:w="1728"/>
            <w:tcMar>
              <w:top w:w="55" w:type="dxa"/>
              <w:start w:w="65" w:type="dxa"/>
              <w:bottom w:w="55" w:type="dxa"/>
              <w:end w:w="65" w:type="dxa"/>
            </w:tcMar>
            <w:vAlign w:val="center"/>
          </w:tcPr>
          <w:p>
            <w:r>
              <w:rPr>
                <w:sz w:val="14"/>
              </w:rPr>
              <w:t>Statewide + human</w:t>
            </w:r>
          </w:p>
        </w:tc>
        <w:tc>
          <w:tcPr>
            <w:tcW w:type="dxa" w:w="2664"/>
            <w:tcMar>
              <w:top w:w="55" w:type="dxa"/>
              <w:start w:w="65" w:type="dxa"/>
              <w:bottom w:w="55" w:type="dxa"/>
              <w:end w:w="65" w:type="dxa"/>
            </w:tcMar>
            <w:vAlign w:val="center"/>
          </w:tcPr>
          <w:p>
            <w:r>
              <w:rPr>
                <w:sz w:val="14"/>
              </w:rPr>
              <w:t>subject matter/time/identifiability</w:t>
            </w:r>
          </w:p>
        </w:tc>
        <w:tc>
          <w:tcPr>
            <w:tcW w:type="dxa" w:w="3744"/>
            <w:tcMar>
              <w:top w:w="55" w:type="dxa"/>
              <w:start w:w="65" w:type="dxa"/>
              <w:bottom w:w="55" w:type="dxa"/>
              <w:end w:w="65" w:type="dxa"/>
            </w:tcMar>
            <w:vAlign w:val="center"/>
          </w:tcPr>
          <w:p>
            <w:r>
              <w:rPr>
                <w:sz w:val="14"/>
              </w:rPr>
              <w:t>Require reason code</w:t>
            </w:r>
          </w:p>
        </w:tc>
      </w:tr>
      <w:tr>
        <w:trPr>
          <w:cantSplit/>
        </w:trPr>
        <w:tc>
          <w:tcPr>
            <w:tcW w:type="dxa" w:w="2592"/>
            <w:tcMar>
              <w:top w:w="55" w:type="dxa"/>
              <w:start w:w="65" w:type="dxa"/>
              <w:bottom w:w="55" w:type="dxa"/>
              <w:end w:w="65" w:type="dxa"/>
            </w:tcMar>
            <w:vAlign w:val="center"/>
          </w:tcPr>
          <w:p>
            <w:r>
              <w:rPr>
                <w:sz w:val="14"/>
              </w:rPr>
              <w:t>clarification_nonresponse_policy</w:t>
            </w:r>
          </w:p>
        </w:tc>
        <w:tc>
          <w:tcPr>
            <w:tcW w:type="dxa" w:w="1728"/>
            <w:tcMar>
              <w:top w:w="55" w:type="dxa"/>
              <w:start w:w="65" w:type="dxa"/>
              <w:bottom w:w="55" w:type="dxa"/>
              <w:end w:w="65" w:type="dxa"/>
            </w:tcMar>
            <w:vAlign w:val="center"/>
          </w:tcPr>
          <w:p>
            <w:r>
              <w:rPr>
                <w:sz w:val="14"/>
              </w:rPr>
              <w:t>Local policy</w:t>
            </w:r>
          </w:p>
        </w:tc>
        <w:tc>
          <w:tcPr>
            <w:tcW w:type="dxa" w:w="2664"/>
            <w:tcMar>
              <w:top w:w="55" w:type="dxa"/>
              <w:start w:w="65" w:type="dxa"/>
              <w:bottom w:w="55" w:type="dxa"/>
              <w:end w:w="65" w:type="dxa"/>
            </w:tcMar>
            <w:vAlign w:val="center"/>
          </w:tcPr>
          <w:p>
            <w:r>
              <w:rPr>
                <w:sz w:val="14"/>
              </w:rPr>
              <w:t>reminders/closure</w:t>
            </w:r>
          </w:p>
        </w:tc>
        <w:tc>
          <w:tcPr>
            <w:tcW w:type="dxa" w:w="3744"/>
            <w:tcMar>
              <w:top w:w="55" w:type="dxa"/>
              <w:start w:w="65" w:type="dxa"/>
              <w:bottom w:w="55" w:type="dxa"/>
              <w:end w:w="65" w:type="dxa"/>
            </w:tcMar>
            <w:vAlign w:val="center"/>
          </w:tcPr>
          <w:p>
            <w:r>
              <w:rPr>
                <w:sz w:val="14"/>
              </w:rPr>
              <w:t>No statewide abandonment period</w:t>
            </w:r>
          </w:p>
        </w:tc>
      </w:tr>
      <w:tr>
        <w:trPr>
          <w:cantSplit/>
        </w:trPr>
        <w:tc>
          <w:tcPr>
            <w:tcW w:type="dxa" w:w="2592"/>
            <w:tcMar>
              <w:top w:w="55" w:type="dxa"/>
              <w:start w:w="65" w:type="dxa"/>
              <w:bottom w:w="55" w:type="dxa"/>
              <w:end w:w="65" w:type="dxa"/>
            </w:tcMar>
            <w:vAlign w:val="center"/>
          </w:tcPr>
          <w:p>
            <w:r>
              <w:rPr>
                <w:sz w:val="14"/>
              </w:rPr>
              <w:t>actual_cost_method</w:t>
            </w:r>
          </w:p>
        </w:tc>
        <w:tc>
          <w:tcPr>
            <w:tcW w:type="dxa" w:w="1728"/>
            <w:tcMar>
              <w:top w:w="55" w:type="dxa"/>
              <w:start w:w="65" w:type="dxa"/>
              <w:bottom w:w="55" w:type="dxa"/>
              <w:end w:w="65" w:type="dxa"/>
            </w:tcMar>
            <w:vAlign w:val="center"/>
          </w:tcPr>
          <w:p>
            <w:r>
              <w:rPr>
                <w:sz w:val="14"/>
              </w:rPr>
              <w:t>Local within law</w:t>
            </w:r>
          </w:p>
        </w:tc>
        <w:tc>
          <w:tcPr>
            <w:tcW w:type="dxa" w:w="2664"/>
            <w:tcMar>
              <w:top w:w="55" w:type="dxa"/>
              <w:start w:w="65" w:type="dxa"/>
              <w:bottom w:w="55" w:type="dxa"/>
              <w:end w:w="65" w:type="dxa"/>
            </w:tcMar>
            <w:vAlign w:val="center"/>
          </w:tcPr>
          <w:p>
            <w:r>
              <w:rPr>
                <w:sz w:val="14"/>
              </w:rPr>
              <w:t>lowest capable employee and direct cost</w:t>
            </w:r>
          </w:p>
        </w:tc>
        <w:tc>
          <w:tcPr>
            <w:tcW w:type="dxa" w:w="3744"/>
            <w:tcMar>
              <w:top w:w="55" w:type="dxa"/>
              <w:start w:w="65" w:type="dxa"/>
              <w:bottom w:w="55" w:type="dxa"/>
              <w:end w:w="65" w:type="dxa"/>
            </w:tcMar>
            <w:vAlign w:val="center"/>
          </w:tcPr>
          <w:p>
            <w:r>
              <w:rPr>
                <w:sz w:val="14"/>
              </w:rPr>
              <w:t>Exclude profit/overhead</w:t>
            </w:r>
          </w:p>
        </w:tc>
      </w:tr>
      <w:tr>
        <w:trPr>
          <w:cantSplit/>
        </w:trPr>
        <w:tc>
          <w:tcPr>
            <w:tcW w:type="dxa" w:w="2592"/>
            <w:tcMar>
              <w:top w:w="55" w:type="dxa"/>
              <w:start w:w="65" w:type="dxa"/>
              <w:bottom w:w="55" w:type="dxa"/>
              <w:end w:w="65" w:type="dxa"/>
            </w:tcMar>
            <w:vAlign w:val="center"/>
          </w:tcPr>
          <w:p>
            <w:r>
              <w:rPr>
                <w:sz w:val="14"/>
              </w:rPr>
              <w:t>location_fee_threshold</w:t>
            </w:r>
          </w:p>
        </w:tc>
        <w:tc>
          <w:tcPr>
            <w:tcW w:type="dxa" w:w="1728"/>
            <w:tcMar>
              <w:top w:w="55" w:type="dxa"/>
              <w:start w:w="65" w:type="dxa"/>
              <w:bottom w:w="55" w:type="dxa"/>
              <w:end w:w="65" w:type="dxa"/>
            </w:tcMar>
            <w:vAlign w:val="center"/>
          </w:tcPr>
          <w:p>
            <w:r>
              <w:rPr>
                <w:sz w:val="14"/>
              </w:rPr>
              <w:t>Statewide</w:t>
            </w:r>
          </w:p>
        </w:tc>
        <w:tc>
          <w:tcPr>
            <w:tcW w:type="dxa" w:w="2664"/>
            <w:tcMar>
              <w:top w:w="55" w:type="dxa"/>
              <w:start w:w="65" w:type="dxa"/>
              <w:bottom w:w="55" w:type="dxa"/>
              <w:end w:w="65" w:type="dxa"/>
            </w:tcMar>
            <w:vAlign w:val="center"/>
          </w:tcPr>
          <w:p>
            <w:r>
              <w:rPr>
                <w:sz w:val="14"/>
              </w:rPr>
              <w:t>$50</w:t>
            </w:r>
          </w:p>
        </w:tc>
        <w:tc>
          <w:tcPr>
            <w:tcW w:type="dxa" w:w="3744"/>
            <w:tcMar>
              <w:top w:w="55" w:type="dxa"/>
              <w:start w:w="65" w:type="dxa"/>
              <w:bottom w:w="55" w:type="dxa"/>
              <w:end w:w="65" w:type="dxa"/>
            </w:tcMar>
            <w:vAlign w:val="center"/>
          </w:tcPr>
          <w:p>
            <w:r>
              <w:rPr>
                <w:sz w:val="14"/>
              </w:rPr>
              <w:t>Do not charge below threshold</w:t>
            </w:r>
          </w:p>
        </w:tc>
      </w:tr>
      <w:tr>
        <w:trPr>
          <w:cantSplit/>
        </w:trPr>
        <w:tc>
          <w:tcPr>
            <w:tcW w:type="dxa" w:w="2592"/>
            <w:tcMar>
              <w:top w:w="55" w:type="dxa"/>
              <w:start w:w="65" w:type="dxa"/>
              <w:bottom w:w="55" w:type="dxa"/>
              <w:end w:w="65" w:type="dxa"/>
            </w:tcMar>
            <w:vAlign w:val="center"/>
          </w:tcPr>
          <w:p>
            <w:r>
              <w:rPr>
                <w:sz w:val="14"/>
              </w:rPr>
              <w:t>prepayment_threshold</w:t>
            </w:r>
          </w:p>
        </w:tc>
        <w:tc>
          <w:tcPr>
            <w:tcW w:type="dxa" w:w="1728"/>
            <w:tcMar>
              <w:top w:w="55" w:type="dxa"/>
              <w:start w:w="65" w:type="dxa"/>
              <w:bottom w:w="55" w:type="dxa"/>
              <w:end w:w="65" w:type="dxa"/>
            </w:tcMar>
            <w:vAlign w:val="center"/>
          </w:tcPr>
          <w:p>
            <w:r>
              <w:rPr>
                <w:sz w:val="14"/>
              </w:rPr>
              <w:t>Statewide</w:t>
            </w:r>
          </w:p>
        </w:tc>
        <w:tc>
          <w:tcPr>
            <w:tcW w:type="dxa" w:w="2664"/>
            <w:tcMar>
              <w:top w:w="55" w:type="dxa"/>
              <w:start w:w="65" w:type="dxa"/>
              <w:bottom w:w="55" w:type="dxa"/>
              <w:end w:w="65" w:type="dxa"/>
            </w:tcMar>
            <w:vAlign w:val="center"/>
          </w:tcPr>
          <w:p>
            <w:r>
              <w:rPr>
                <w:sz w:val="14"/>
              </w:rPr>
              <w:t>&gt;$5</w:t>
            </w:r>
          </w:p>
        </w:tc>
        <w:tc>
          <w:tcPr>
            <w:tcW w:type="dxa" w:w="3744"/>
            <w:tcMar>
              <w:top w:w="55" w:type="dxa"/>
              <w:start w:w="65" w:type="dxa"/>
              <w:bottom w:w="55" w:type="dxa"/>
              <w:end w:w="65" w:type="dxa"/>
            </w:tcMar>
            <w:vAlign w:val="center"/>
          </w:tcPr>
          <w:p>
            <w:r>
              <w:rPr>
                <w:sz w:val="14"/>
              </w:rPr>
              <w:t>Local choice to invoke</w:t>
            </w:r>
          </w:p>
        </w:tc>
      </w:tr>
      <w:tr>
        <w:trPr>
          <w:cantSplit/>
        </w:trPr>
        <w:tc>
          <w:tcPr>
            <w:tcW w:type="dxa" w:w="2592"/>
            <w:tcMar>
              <w:top w:w="55" w:type="dxa"/>
              <w:start w:w="65" w:type="dxa"/>
              <w:bottom w:w="55" w:type="dxa"/>
              <w:end w:w="65" w:type="dxa"/>
            </w:tcMar>
            <w:vAlign w:val="center"/>
          </w:tcPr>
          <w:p>
            <w:r>
              <w:rPr>
                <w:sz w:val="14"/>
              </w:rPr>
              <w:t>public_interest_waiver</w:t>
            </w:r>
          </w:p>
        </w:tc>
        <w:tc>
          <w:tcPr>
            <w:tcW w:type="dxa" w:w="1728"/>
            <w:tcMar>
              <w:top w:w="55" w:type="dxa"/>
              <w:start w:w="65" w:type="dxa"/>
              <w:bottom w:w="55" w:type="dxa"/>
              <w:end w:w="65" w:type="dxa"/>
            </w:tcMar>
            <w:vAlign w:val="center"/>
          </w:tcPr>
          <w:p>
            <w:r>
              <w:rPr>
                <w:sz w:val="14"/>
              </w:rPr>
              <w:t>Local discretion</w:t>
            </w:r>
          </w:p>
        </w:tc>
        <w:tc>
          <w:tcPr>
            <w:tcW w:type="dxa" w:w="2664"/>
            <w:tcMar>
              <w:top w:w="55" w:type="dxa"/>
              <w:start w:w="65" w:type="dxa"/>
              <w:bottom w:w="55" w:type="dxa"/>
              <w:end w:w="65" w:type="dxa"/>
            </w:tcMar>
            <w:vAlign w:val="center"/>
          </w:tcPr>
          <w:p>
            <w:r>
              <w:rPr>
                <w:sz w:val="14"/>
              </w:rPr>
              <w:t>approval role and factors</w:t>
            </w:r>
          </w:p>
        </w:tc>
        <w:tc>
          <w:tcPr>
            <w:tcW w:type="dxa" w:w="3744"/>
            <w:tcMar>
              <w:top w:w="55" w:type="dxa"/>
              <w:start w:w="65" w:type="dxa"/>
              <w:bottom w:w="55" w:type="dxa"/>
              <w:end w:w="65" w:type="dxa"/>
            </w:tcMar>
            <w:vAlign w:val="center"/>
          </w:tcPr>
          <w:p>
            <w:r>
              <w:rPr>
                <w:sz w:val="14"/>
              </w:rPr>
              <w:t>Record decision</w:t>
            </w:r>
          </w:p>
        </w:tc>
      </w:tr>
    </w:tbl>
    <w:p>
      <w:pPr>
        <w:pStyle w:val="Heading1"/>
      </w:pPr>
      <w:r>
        <w:t>12. Recommended Workflow States and Transitions</w:t>
      </w:r>
    </w:p>
    <w:p>
      <w:r>
        <w:rPr>
          <w:b/>
        </w:rPr>
        <w:t xml:space="preserve">Recommended state sequence: </w:t>
      </w:r>
      <w:r>
        <w:t>Received -&gt; Description Review -&gt; Awaiting Clarification -&gt; Search / Location -&gt; Legal and Balancing Review -&gt; Fee Estimate -&gt; Awaiting Prepayment -&gt; Production -&gt; Released / Denied / No Records / Closed</w:t>
      </w:r>
    </w:p>
    <w:p>
      <w:pPr>
        <w:pStyle w:val="Heading1"/>
      </w:pPr>
      <w:r>
        <w:t>13. Unresolved Questions and Local-Policy Decisions</w:t>
      </w:r>
    </w:p>
    <w:p>
      <w:pPr>
        <w:pStyle w:val="ListBullet"/>
        <w:spacing w:after="30"/>
      </w:pPr>
      <w:r>
        <w:t>What operational acknowledgment and status-update intervals will the city adopt under the qualitative standard?</w:t>
      </w:r>
    </w:p>
    <w:p>
      <w:pPr>
        <w:pStyle w:val="ListBullet"/>
        <w:spacing w:after="30"/>
      </w:pPr>
      <w:r>
        <w:t>What local evidence and approver are required for a balancing-test withholding?</w:t>
      </w:r>
    </w:p>
    <w:p>
      <w:pPr>
        <w:pStyle w:val="ListBullet"/>
        <w:spacing w:after="30"/>
      </w:pPr>
      <w:r>
        <w:t>How will the city calculate actual location cost and select the lowest-paid capable employee?</w:t>
      </w:r>
    </w:p>
    <w:p>
      <w:pPr>
        <w:pStyle w:val="ListBullet"/>
        <w:spacing w:after="30"/>
      </w:pPr>
      <w:r>
        <w:t>Will the city close nonresponsive clarification requests, and after what locally adopted period?</w:t>
      </w:r>
    </w:p>
    <w:p>
      <w:pPr>
        <w:pStyle w:val="Heading1"/>
      </w:pPr>
      <w:r>
        <w:t>14. Suggestion Added During This Review</w:t>
      </w:r>
    </w:p>
    <w:p>
      <w:r>
        <w:rPr>
          <w:b/>
        </w:rPr>
        <w:t xml:space="preserve">S-013: </w:t>
      </w:r>
      <w:r>
        <w:t>Keep qualitative legal completion standards separate from optional operational service-level targets, and mark recommended communications such as no-record notices as guidance rather than mandatory law.</w:t>
      </w:r>
    </w:p>
    <w:p>
      <w:pPr>
        <w:pStyle w:val="IntenseQuote"/>
      </w:pPr>
      <w:r>
        <w:t>This suggestion is recorded for later universal-engine review and does not alter the fixed methodology used for this state.</w:t>
      </w:r>
    </w:p>
    <w:p>
      <w:pPr>
        <w:pStyle w:val="Heading1"/>
      </w:pPr>
      <w:r>
        <w:t>15. Primary Sources</w:t>
      </w:r>
    </w:p>
    <w:p>
      <w:pPr>
        <w:pStyle w:val="ListBullet"/>
        <w:spacing w:after="40"/>
      </w:pPr>
      <w:r>
        <w:rPr>
          <w:b/>
        </w:rPr>
        <w:t>Wisconsin DOJ - Public Records (Official statewide guidance)</w:t>
      </w:r>
      <w:r>
        <w:t xml:space="preserve"> - Timing, fees, communication, and enforcement guidance. </w:t>
      </w:r>
      <w:hyperlink r:id="rId11">
        <w:r>
          <w:rPr>
            <w:color w:val="2F5597"/>
            <w:u w:val="single"/>
          </w:rPr>
          <w:t>Official source</w:t>
        </w:r>
      </w:hyperlink>
    </w:p>
    <w:p>
      <w:pPr>
        <w:pStyle w:val="ListBullet"/>
        <w:spacing w:after="40"/>
      </w:pPr>
      <w:r>
        <w:rPr>
          <w:b/>
        </w:rPr>
        <w:t>Wisconsin DOJ - Request Records (Official agency page)</w:t>
      </w:r>
      <w:r>
        <w:t xml:space="preserve"> - Current implementation example. </w:t>
      </w:r>
      <w:hyperlink r:id="rId12">
        <w:r>
          <w:rPr>
            <w:color w:val="2F5597"/>
            <w:u w:val="single"/>
          </w:rPr>
          <w:t>Official source</w:t>
        </w:r>
      </w:hyperlink>
    </w:p>
    <w:p>
      <w:pPr>
        <w:pStyle w:val="ListBullet"/>
        <w:spacing w:after="40"/>
      </w:pPr>
      <w:r>
        <w:rPr>
          <w:b/>
        </w:rPr>
        <w:t>Wisconsin Legislature - Chapter 19 (Wis. Stat. §§ 19.31-19.39)</w:t>
      </w:r>
      <w:r>
        <w:t xml:space="preserve"> - Statutory text. </w:t>
      </w:r>
      <w:hyperlink r:id="rId13">
        <w:r>
          <w:rPr>
            <w:color w:val="2F5597"/>
            <w:u w:val="single"/>
          </w:rPr>
          <w:t>Official source</w:t>
        </w:r>
      </w:hyperlink>
    </w:p>
    <w:p>
      <w:pPr>
        <w:spacing w:before="120"/>
      </w:pPr>
      <w:r>
        <w:rPr>
          <w:b/>
        </w:rPr>
        <w:t xml:space="preserve">Implementation note: </w:t>
      </w:r>
      <w:r>
        <w:t>This document is a requirements-engineering research artifact, not legal advice. A city should validate its final configuration against current statutes, controlling decisions, its own adopted policies, and counsel review.</w:t>
      </w:r>
    </w:p>
    <w:sectPr w:rsidR="00FC693F" w:rsidRPr="0006063C" w:rsidSect="00034616">
      <w:headerReference w:type="default" r:id="rId9"/>
      <w:footerReference w:type="default" r:id="rId10"/>
      <w:pgSz w:w="12240" w:h="15840"/>
      <w:pgMar w:top="835" w:right="893" w:bottom="835"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5"/>
      </w:rPr>
      <w:t>National Open Records Workflow Schema - Implementation Research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2F5597"/>
        <w:sz w:val="15"/>
      </w:rPr>
      <w:t>Wisconsin | Open Records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color w:val="1F1F1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isdoj.gov/Pages/AboutUs/public-records.aspx" TargetMode="External"/><Relationship Id="rId12" Type="http://schemas.openxmlformats.org/officeDocument/2006/relationships/hyperlink" Target="https://www.wisdoj.gov/Pages/AboutUs/request-records.aspx" TargetMode="External"/><Relationship Id="rId13" Type="http://schemas.openxmlformats.org/officeDocument/2006/relationships/hyperlink" Target="https://docs.legis.wisconsin.gov/statutes/statutes/19/i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