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8"/>
        </w:rPr>
        <w:t>Missouri Public Records Workflow</w:t>
      </w:r>
    </w:p>
    <w:p>
      <w:pPr>
        <w:spacing w:after="100"/>
        <w:jc w:val="center"/>
      </w:pPr>
      <w:r>
        <w:rPr>
          <w:rFonts w:ascii="Aptos Display" w:hAnsi="Aptos Display"/>
          <w:b/>
          <w:color w:val="2F5597"/>
          <w:sz w:val="22"/>
        </w:rPr>
        <w:t>Initial Processing Reverse-Engineered into Software Configuration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Primary law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Missouri Sunshine Law, Chapter 610, RSMo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Research date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2026-07-22</w:t>
            </w:r>
          </w:p>
        </w:tc>
      </w:tr>
      <w:tr>
        <w:trPr>
          <w:cantSplit/>
        </w:trPr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Applicability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Cities / municipal public bodies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  <w:shd w:fill="D9EAF7"/>
          </w:tcPr>
          <w:p>
            <w:pPr>
              <w:jc w:val="center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613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 w:val="0"/>
                <w:sz w:val="16"/>
              </w:rPr>
              <w:t>Fixed national schema methodology</w:t>
            </w:r>
          </w:p>
        </w:tc>
      </w:tr>
    </w:tbl>
    <w:p/>
    <w:p>
      <w:pPr>
        <w:pStyle w:val="Heading1"/>
      </w:pPr>
      <w:r>
        <w:t>1. Executive Summary and Applicability</w:t>
      </w:r>
    </w:p>
    <w:p>
      <w:r>
        <w:t>Missouri creates a fixed initial-action deadline: each request must be acted upon as soon as possible and no later than the end of the third business day after the custodian receives it. Immediate access is preferred; delay requires a detailed cause and the earliest availability date. Effective 2025 fee rules add express withdrawal periods for failure to pay or clarify, with a longer period when requested fees exceed $1,000.</w:t>
      </w:r>
    </w:p>
    <w:p>
      <w:r>
        <w:rPr>
          <w:b/>
        </w:rPr>
        <w:t xml:space="preserve">Core engine pattern: </w:t>
      </w:r>
      <w:r>
        <w:t>Three-business-day action timer + reasonable-cause production date + fee/clarification abandonment timers tiered by amount.</w:t>
      </w:r>
    </w:p>
    <w:p>
      <w:r>
        <w:rPr>
          <w:b/>
        </w:rPr>
        <w:t xml:space="preserve">Scope caution: </w:t>
      </w:r>
      <w:r>
        <w:t>This analysis focuses on the statewide rules applicable to cities. Agency-specific fee schedules and local administrative practices are configuration inputs, not statewide law.</w:t>
      </w:r>
    </w:p>
    <w:p>
      <w:pPr>
        <w:pStyle w:val="Heading1"/>
      </w:pPr>
      <w:r>
        <w:t>2. Authority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95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Authority</w:t>
            </w:r>
          </w:p>
        </w:tc>
        <w:tc>
          <w:tcPr>
            <w:tcW w:type="dxa" w:w="482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Workflow function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City applicability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RSMo § 610.023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Custodian, three-day action, delay and denial communication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Directly applicable to municipal public bodies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RSMo § 610.024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Segregation of exempt and nonexempt material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Directly applicable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RSMo § 610.026 (effective Aug. 28, 2025)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Fees, advance payment, clarification and withdrawal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Directly applicable to political subdivisions</w:t>
            </w:r>
          </w:p>
        </w:tc>
      </w:tr>
      <w:tr>
        <w:trPr>
          <w:cantSplit/>
        </w:trPr>
        <w:tc>
          <w:tcPr>
            <w:tcW w:type="dxa" w:w="295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Missouri Attorney General Sunshine guidance</w:t>
            </w:r>
          </w:p>
        </w:tc>
        <w:tc>
          <w:tcPr>
            <w:tcW w:type="dxa" w:w="482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Compliance interpretation and forms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5"/>
              </w:rPr>
              <w:t>Official guidance</w:t>
            </w:r>
          </w:p>
        </w:tc>
      </w:tr>
    </w:tbl>
    <w:p>
      <w:pPr>
        <w:pStyle w:val="Heading1"/>
      </w:pPr>
      <w:r>
        <w:t>3. Human-Readable Initial Processing Workflow</w:t>
      </w:r>
    </w:p>
    <w:p>
      <w:pPr>
        <w:pStyle w:val="ListNumber"/>
        <w:spacing w:after="40"/>
      </w:pPr>
      <w:r>
        <w:rPr>
          <w:b/>
        </w:rPr>
        <w:t xml:space="preserve">Receive by custodian: </w:t>
      </w:r>
      <w:r>
        <w:t>Start the three-business-day action timer only when the designated custodian receives the request; preserve misrouting and forwarding history.</w:t>
      </w:r>
    </w:p>
    <w:p>
      <w:pPr>
        <w:pStyle w:val="ListNumber"/>
        <w:spacing w:after="40"/>
      </w:pPr>
      <w:r>
        <w:rPr>
          <w:b/>
        </w:rPr>
        <w:t xml:space="preserve">Act by day three: </w:t>
      </w:r>
      <w:r>
        <w:t>Provide access/copies, deny, request clarification, issue a fee request, or give a detailed delay explanation and the earliest place/time/date of availability.</w:t>
      </w:r>
    </w:p>
    <w:p>
      <w:pPr>
        <w:pStyle w:val="ListNumber"/>
        <w:spacing w:after="40"/>
      </w:pPr>
      <w:r>
        <w:rPr>
          <w:b/>
        </w:rPr>
        <w:t xml:space="preserve">Clarify where needed: </w:t>
      </w:r>
      <w:r>
        <w:t>Request enough detail to identify records and include the statutory withdrawal notice applicable to requester nonresponse.</w:t>
      </w:r>
    </w:p>
    <w:p>
      <w:pPr>
        <w:pStyle w:val="ListNumber"/>
        <w:spacing w:after="40"/>
      </w:pPr>
      <w:r>
        <w:rPr>
          <w:b/>
        </w:rPr>
        <w:t xml:space="preserve">Estimate and payment: </w:t>
      </w:r>
      <w:r>
        <w:t>Use lowest-cost capable employees, calculate authorized copy/research/programming fees, and request payment before fulfillment if the body elects to do so.</w:t>
      </w:r>
    </w:p>
    <w:p>
      <w:pPr>
        <w:pStyle w:val="ListNumber"/>
        <w:spacing w:after="40"/>
      </w:pPr>
      <w:r>
        <w:rPr>
          <w:b/>
        </w:rPr>
        <w:t xml:space="preserve">Search and produce: </w:t>
      </w:r>
      <w:r>
        <w:t>Provide requested available format; segregate exempt from nonexempt material; production may exceed three days only for reasonable cause.</w:t>
      </w:r>
    </w:p>
    <w:p>
      <w:pPr>
        <w:pStyle w:val="ListNumber"/>
        <w:spacing w:after="40"/>
      </w:pPr>
      <w:r>
        <w:rPr>
          <w:b/>
        </w:rPr>
        <w:t xml:space="preserve">Monitor nonresponse: </w:t>
      </w:r>
      <w:r>
        <w:t>Close as withdrawn after 90 days, or 150 days if requested fees exceed $1,000, when payment or clarification is not received and the required notice was given.</w:t>
      </w:r>
    </w:p>
    <w:p>
      <w:pPr>
        <w:pStyle w:val="ListNumber"/>
        <w:spacing w:after="40"/>
      </w:pPr>
      <w:r>
        <w:rPr>
          <w:b/>
        </w:rPr>
        <w:t xml:space="preserve">Handle repeat request: </w:t>
      </w:r>
      <w:r>
        <w:t>For a same or substantially similar request within six months, evaluate authority to require the original unpaid amount plus new allowable fees.</w:t>
      </w:r>
    </w:p>
    <w:p>
      <w:pPr>
        <w:pStyle w:val="Heading1"/>
      </w:pPr>
      <w:r>
        <w:t>4. Deadline and Required-Communication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01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Trigger / condition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Deadline or standard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Required communication / action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Clock effect</w:t>
            </w:r>
          </w:p>
        </w:tc>
        <w:tc>
          <w:tcPr>
            <w:tcW w:type="dxa" w:w="15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Authority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Custodian receives request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ASAP; no later end of 3rd business day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Act on request; if not immediate, detailed cause and earliest place/time/date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Initial action timer starts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RSMo §610.023.3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Requester asks for written grounds after denial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End of 3rd business day after that request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grounds citing specific law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Separate denial-statement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§610.023.4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Payment requested; fee ≤$1,000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90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Payment notice must warn request will be withdrawn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Awaiting-payment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§610.026.2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Payment requested; fee &gt;$1,000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150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Same warning with 150-day period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Awaiting-payment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§610.026.2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Clarification requested; fee tier ≤$1,000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90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Clarification notice must warn of withdrawal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Awaiting-clarification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§610.026.2</w:t>
            </w:r>
          </w:p>
        </w:tc>
      </w:tr>
      <w:tr>
        <w:trPr>
          <w:cantSplit/>
        </w:trPr>
        <w:tc>
          <w:tcPr>
            <w:tcW w:type="dxa" w:w="201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Clarification requested; requested fee &gt;$1,000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150 days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Clarification notice with 150-day warning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Awaiting-clarification timer</w:t>
            </w:r>
          </w:p>
        </w:tc>
        <w:tc>
          <w:tcPr>
            <w:tcW w:type="dxa" w:w="15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§610.026.2</w:t>
            </w:r>
          </w:p>
        </w:tc>
      </w:tr>
    </w:tbl>
    <w:p>
      <w:pPr>
        <w:pStyle w:val="Heading1"/>
      </w:pPr>
      <w:r>
        <w:t>5. Vague, Unclear, or Overly Broad Requests</w:t>
      </w:r>
    </w:p>
    <w:p>
      <w:pPr>
        <w:pStyle w:val="ListBullet"/>
        <w:spacing w:after="30"/>
      </w:pPr>
      <w:r>
        <w:t>A clarification request is a valid initial action if sent by the three-business-day deadline and should identify the ambiguity or scope issue.</w:t>
      </w:r>
    </w:p>
    <w:p>
      <w:pPr>
        <w:pStyle w:val="ListBullet"/>
        <w:spacing w:after="30"/>
      </w:pPr>
      <w:r>
        <w:t>The clarification notice must include the statutory warning that nonresponse results in withdrawal after 90 days, or 150 days when requested fees exceed $1,000.</w:t>
      </w:r>
    </w:p>
    <w:p>
      <w:pPr>
        <w:pStyle w:val="ListBullet"/>
        <w:spacing w:after="30"/>
      </w:pPr>
      <w:r>
        <w:t>The statute does not expressly state that the original three-day clock restarts upon clarification. The engine should create a new clarified-scope version and a locally defined processing target while retaining the original compliance event.</w:t>
      </w:r>
    </w:p>
    <w:p>
      <w:pPr>
        <w:pStyle w:val="ListBullet"/>
        <w:spacing w:after="30"/>
      </w:pPr>
      <w:r>
        <w:t>Withdrawal is automatic only when statutory conditions and notice content are satisfied; do not use a generic closure timeout.</w:t>
      </w:r>
    </w:p>
    <w:p>
      <w:pPr>
        <w:pStyle w:val="ListBullet"/>
        <w:spacing w:after="30"/>
      </w:pPr>
      <w:r>
        <w:t>A substantially similar request within six months may carry forward unpaid original fees in addition to new allowable fees.</w:t>
      </w:r>
    </w:p>
    <w:p>
      <w:pPr>
        <w:pStyle w:val="Heading1"/>
      </w:pPr>
      <w:r>
        <w:t>6. Denial and Partial-Denial Process</w:t>
      </w:r>
    </w:p>
    <w:p>
      <w:pPr>
        <w:pStyle w:val="ListBullet"/>
        <w:spacing w:after="30"/>
      </w:pPr>
      <w:r>
        <w:t>If access is denied, the custodian must, upon request, furnish a written statement of grounds within three business days after receiving the request for that statement.</w:t>
      </w:r>
    </w:p>
    <w:p>
      <w:pPr>
        <w:pStyle w:val="ListBullet"/>
        <w:spacing w:after="30"/>
      </w:pPr>
      <w:r>
        <w:t>The statement must cite the specific legal provision supporting denial.</w:t>
      </w:r>
    </w:p>
    <w:p>
      <w:pPr>
        <w:pStyle w:val="ListBullet"/>
        <w:spacing w:after="30"/>
      </w:pPr>
      <w:r>
        <w:t>Exempt and nonexempt material must be separated, with nonexempt portions made available.</w:t>
      </w:r>
    </w:p>
    <w:p>
      <w:pPr>
        <w:pStyle w:val="ListBullet"/>
        <w:spacing w:after="30"/>
      </w:pPr>
      <w:r>
        <w:t>The initial denial itself is subject to the three-business-day action requirement even though the special written-ground statement is requester-triggered.</w:t>
      </w:r>
    </w:p>
    <w:p>
      <w:pPr>
        <w:pStyle w:val="Heading1"/>
      </w:pPr>
      <w:r>
        <w:t>7. Legal Classifications, Tracks, and Operational Classifications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37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Classification / flag</w:t>
            </w:r>
          </w:p>
        </w:tc>
        <w:tc>
          <w:tcPr>
            <w:tcW w:type="dxa" w:w="1656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Legal or operational</w:t>
            </w:r>
          </w:p>
        </w:tc>
        <w:tc>
          <w:tcPr>
            <w:tcW w:type="dxa" w:w="396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Workflow effect</w:t>
            </w:r>
          </w:p>
        </w:tc>
        <w:tc>
          <w:tcPr>
            <w:tcW w:type="dxa" w:w="252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Timer / communication effect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Immediate access / delayed for reasonable cause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production track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Produce now or set earliest availability date with detailed cause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Initial action remains 3 business days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Fee ≤$1,000 / &gt;$1,000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nonresponse tier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Selects 90- or 150-day withdrawal timer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Required warning text changes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Clarification required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processing status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Pause active work and await response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Statutory withdrawal timer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Programming beyond customary level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Legal fee flag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Actual programming costs may be charged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Estimate/payment branch</w:t>
            </w:r>
          </w:p>
        </w:tc>
      </w:tr>
      <w:tr>
        <w:trPr>
          <w:cantSplit/>
        </w:trPr>
        <w:tc>
          <w:tcPr>
            <w:tcW w:type="dxa" w:w="237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Simple / complex</w:t>
            </w:r>
          </w:p>
        </w:tc>
        <w:tc>
          <w:tcPr>
            <w:tcW w:type="dxa" w:w="1656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Operational only</w:t>
            </w:r>
          </w:p>
        </w:tc>
        <w:tc>
          <w:tcPr>
            <w:tcW w:type="dxa" w:w="3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Routing and staffing</w:t>
            </w:r>
          </w:p>
        </w:tc>
        <w:tc>
          <w:tcPr>
            <w:tcW w:type="dxa" w:w="252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 different initial action deadline</w:t>
            </w:r>
          </w:p>
        </w:tc>
      </w:tr>
    </w:tbl>
    <w:p>
      <w:pPr>
        <w:pStyle w:val="Heading1"/>
      </w:pPr>
      <w:r>
        <w:t>8. Large Volume, Redaction, Programming, and Electronic Records</w:t>
      </w:r>
    </w:p>
    <w:p>
      <w:pPr>
        <w:pStyle w:val="ListBullet"/>
        <w:spacing w:after="30"/>
      </w:pPr>
      <w:r>
        <w:t>When the requested format is available, the body must provide it in that format.</w:t>
      </w:r>
    </w:p>
    <w:p>
      <w:pPr>
        <w:pStyle w:val="ListBullet"/>
        <w:spacing w:after="30"/>
      </w:pPr>
      <w:r>
        <w:t>Programming beyond the customary and usual level may be charged at actual cost; routine system use should not be relabeled as extraordinary programming.</w:t>
      </w:r>
    </w:p>
    <w:p>
      <w:pPr>
        <w:pStyle w:val="ListBullet"/>
        <w:spacing w:after="30"/>
      </w:pPr>
      <w:r>
        <w:t>Attorney-review time is not “research time” chargeable under §610.026, as reflected in Gross v. Parson.</w:t>
      </w:r>
    </w:p>
    <w:p>
      <w:pPr>
        <w:pStyle w:val="ListBullet"/>
        <w:spacing w:after="30"/>
      </w:pPr>
      <w:r>
        <w:t>Segregation is mandatory; the engine should track released and withheld segments separately.</w:t>
      </w:r>
    </w:p>
    <w:p>
      <w:pPr>
        <w:pStyle w:val="Heading1"/>
      </w:pPr>
      <w:r>
        <w:t>9. Fee Estimate, Deposit, Payment, and Reconciliation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Fee component / trigger</w:t>
            </w:r>
          </w:p>
        </w:tc>
        <w:tc>
          <w:tcPr>
            <w:tcW w:type="dxa" w:w="367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Statewide rule</w:t>
            </w:r>
          </w:p>
        </w:tc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Estimate / payment timing</w:t>
            </w:r>
          </w:p>
        </w:tc>
        <w:tc>
          <w:tcPr>
            <w:tcW w:type="dxa" w:w="223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treatment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Paper copies ≤9x14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Maximum $0.10/page plus permitted duplicating time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Payment may be requested before fulfillment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 cap + local clerical rate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Duplicating time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Not above average clerical hourly rate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Include in estimate/invoice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Rate configured from payroll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Research time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Actual cost; lowest-cost capable employee principle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Requester may ask for estimate; payment may be required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Activity-based; exclude attorney review as research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Programming beyond customary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Actual cost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 before work recommended/needed for prepayment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Technical classification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Estimate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Requester may request estimate; not universal automatic requirement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Provide before copies when requested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Configurable proactive practice</w:t>
            </w:r>
          </w:p>
        </w:tc>
      </w:tr>
      <w:tr>
        <w:trPr>
          <w:cantSplit/>
        </w:trPr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Payment nonresponse</w:t>
            </w:r>
          </w:p>
        </w:tc>
        <w:tc>
          <w:tcPr>
            <w:tcW w:type="dxa" w:w="367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90/150-day withdrawal based on requested fee</w:t>
            </w:r>
          </w:p>
        </w:tc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Required warning in payment notice</w:t>
            </w:r>
          </w:p>
        </w:tc>
        <w:tc>
          <w:tcPr>
            <w:tcW w:type="dxa" w:w="22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 timer selection</w:t>
            </w:r>
          </w:p>
        </w:tc>
      </w:tr>
    </w:tbl>
    <w:p>
      <w:pPr>
        <w:pStyle w:val="Heading1"/>
      </w:pPr>
      <w:r>
        <w:t>10. Normalized Software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7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Rule</w:t>
            </w:r>
          </w:p>
        </w:tc>
        <w:tc>
          <w:tcPr>
            <w:tcW w:type="dxa" w:w="208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Trigger / conditions</w:t>
            </w:r>
          </w:p>
        </w:tc>
        <w:tc>
          <w:tcPr>
            <w:tcW w:type="dxa" w:w="338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Required action &amp; communication</w:t>
            </w:r>
          </w:p>
        </w:tc>
        <w:tc>
          <w:tcPr>
            <w:tcW w:type="dxa" w:w="180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Deadline / clock effect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Configuration, applicability &amp; authority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MO-01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Custodian receives request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Act: produce, delay notice, clarification, fee request, or denial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ASAP; by end of 3rd business day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cities; §610.023.3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MO-02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Access not immediate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Detailed cause and earliest place/time/date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initial 3-day action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§610.023.3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MO-03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Denial + requester asks for written grounds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Written statement citing specific law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Within 3 business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Triggered timer; §610.023.4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MO-04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Mixed exempt/nonexempt record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Separate and release nonexempt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With production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Mandatory; §610.024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MO-05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Payment demand ≤$1,000 / &gt;$1,000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Include withdrawal warning; await payment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90 / 150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Tiered statutory timer; §610.026.2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MO-06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Clarification request; applicable fee tier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Include withdrawal warning; await response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90 / 150 days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Tiered timer; §610.026.2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MO-07</w:t>
            </w:r>
          </w:p>
        </w:tc>
        <w:tc>
          <w:tcPr>
            <w:tcW w:type="dxa" w:w="208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Substantially similar request within 6 months</w:t>
            </w:r>
          </w:p>
        </w:tc>
        <w:tc>
          <w:tcPr>
            <w:tcW w:type="dxa" w:w="338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May add unpaid original fees plus new allowable fees</w:t>
            </w:r>
          </w:p>
        </w:tc>
        <w:tc>
          <w:tcPr>
            <w:tcW w:type="dxa" w:w="180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At new estimate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3"/>
              </w:rPr>
              <w:t>Discretionary; §610.026.2</w:t>
            </w:r>
          </w:p>
        </w:tc>
      </w:tr>
    </w:tbl>
    <w:p>
      <w:pPr>
        <w:pStyle w:val="Heading1"/>
      </w:pPr>
      <w:r>
        <w:t>11. Jurisdiction-Configuration Fields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592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Configuration field</w:t>
            </w:r>
          </w:p>
        </w:tc>
        <w:tc>
          <w:tcPr>
            <w:tcW w:type="dxa" w:w="1728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Source type</w:t>
            </w:r>
          </w:p>
        </w:tc>
        <w:tc>
          <w:tcPr>
            <w:tcW w:type="dxa" w:w="266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Value / permitted setting</w:t>
            </w:r>
          </w:p>
        </w:tc>
        <w:tc>
          <w:tcPr>
            <w:tcW w:type="dxa" w:w="3744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Implementation note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custodian_receipt_rule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 + routing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Receipt by designated custodian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Preserve forwarding evidence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business_calendar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Business days/holidays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For 3-day timer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delay_reason_codes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under law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reasonable cause categories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Require earliest availability date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clerical_hourly_rate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payroll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Average clerical rate cap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Versioned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research_rate_selector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Local payroll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Lowest-cost capable employee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Exclude attorney review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withdrawal_notice_templates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Statewide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90-day and 150-day language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Mandatory content</w:t>
            </w:r>
          </w:p>
        </w:tc>
      </w:tr>
      <w:tr>
        <w:trPr>
          <w:cantSplit/>
        </w:trPr>
        <w:tc>
          <w:tcPr>
            <w:tcW w:type="dxa" w:w="259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similar_request_matching</w:t>
            </w:r>
          </w:p>
        </w:tc>
        <w:tc>
          <w:tcPr>
            <w:tcW w:type="dxa" w:w="1728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Human + system</w:t>
            </w:r>
          </w:p>
        </w:tc>
        <w:tc>
          <w:tcPr>
            <w:tcW w:type="dxa" w:w="266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same/substantially similar within 6 months</w:t>
            </w:r>
          </w:p>
        </w:tc>
        <w:tc>
          <w:tcPr>
            <w:tcW w:type="dxa" w:w="3744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r>
              <w:rPr>
                <w:sz w:val="14"/>
              </w:rPr>
              <w:t>Approval before fee carry-forward</w:t>
            </w:r>
          </w:p>
        </w:tc>
      </w:tr>
    </w:tbl>
    <w:p>
      <w:pPr>
        <w:pStyle w:val="Heading1"/>
      </w:pPr>
      <w:r>
        <w:t>12. Recommended Workflow States and Transitions</w:t>
      </w:r>
    </w:p>
    <w:p>
      <w:r>
        <w:rPr>
          <w:b/>
        </w:rPr>
        <w:t xml:space="preserve">Recommended state sequence: </w:t>
      </w:r>
      <w:r>
        <w:t>Received by Custodian -&gt; Initial Action Due -&gt; Clarification Requested -&gt; Awaiting Clarification -&gt; Estimate / Payment Requested -&gt; Awaiting Payment -&gt; Search and Review -&gt; Delayed with Earliest Date -&gt; Produced / Partially Produced / Denied / Withdrawn</w:t>
      </w:r>
    </w:p>
    <w:p>
      <w:pPr>
        <w:pStyle w:val="Heading1"/>
      </w:pPr>
      <w:r>
        <w:t>13. Unresolved Questions and Local-Policy Decisions</w:t>
      </w:r>
    </w:p>
    <w:p>
      <w:pPr>
        <w:pStyle w:val="ListBullet"/>
        <w:spacing w:after="30"/>
      </w:pPr>
      <w:r>
        <w:t>How will the city define and approve “reasonable cause” for a production date beyond three business days?</w:t>
      </w:r>
    </w:p>
    <w:p>
      <w:pPr>
        <w:pStyle w:val="ListBullet"/>
        <w:spacing w:after="30"/>
      </w:pPr>
      <w:r>
        <w:t>What matching standard and human approval will determine that a new request is substantially similar to an unpaid request?</w:t>
      </w:r>
    </w:p>
    <w:p>
      <w:pPr>
        <w:pStyle w:val="ListBullet"/>
        <w:spacing w:after="30"/>
      </w:pPr>
      <w:r>
        <w:t>Will the city automatically provide estimates or only when requested / when prepayment is sought?</w:t>
      </w:r>
    </w:p>
    <w:p>
      <w:pPr>
        <w:pStyle w:val="ListBullet"/>
        <w:spacing w:after="30"/>
      </w:pPr>
      <w:r>
        <w:t>What local process will monitor 90- and 150-day statutory withdrawal timers and required notice proof?</w:t>
      </w:r>
    </w:p>
    <w:p>
      <w:pPr>
        <w:pStyle w:val="Heading1"/>
      </w:pPr>
      <w:r>
        <w:t>14. Suggestion Added During This Review</w:t>
      </w:r>
    </w:p>
    <w:p>
      <w:r>
        <w:rPr>
          <w:b/>
        </w:rPr>
        <w:t xml:space="preserve">S-014: </w:t>
      </w:r>
      <w:r>
        <w:t>Support requester-nonresponse timers whose duration depends on the estimated fee tier, and permit a controlled carry-forward of unpaid fees to substantially similar requests within a statutory lookback period.</w:t>
      </w:r>
    </w:p>
    <w:p>
      <w:pPr>
        <w:pStyle w:val="IntenseQuote"/>
      </w:pPr>
      <w:r>
        <w:t>This suggestion is recorded for later universal-engine review and does not alter the fixed methodology used for this state.</w:t>
      </w:r>
    </w:p>
    <w:p>
      <w:pPr>
        <w:pStyle w:val="Heading1"/>
      </w:pPr>
      <w:r>
        <w:t>15. Primary Sources</w:t>
      </w:r>
    </w:p>
    <w:p>
      <w:pPr>
        <w:pStyle w:val="ListBullet"/>
        <w:spacing w:after="40"/>
      </w:pPr>
      <w:r>
        <w:rPr>
          <w:b/>
        </w:rPr>
        <w:t>Missouri Revisor of Statutes (RSMo § 610.023)</w:t>
      </w:r>
      <w:r>
        <w:t xml:space="preserve"> - Initial action, delay, and denial statement. </w:t>
      </w:r>
      <w:hyperlink r:id="rId11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Missouri Revisor of Statutes (RSMo § 610.026)</w:t>
      </w:r>
      <w:r>
        <w:t xml:space="preserve"> - Current fees and withdrawal rules. </w:t>
      </w:r>
      <w:hyperlink r:id="rId12">
        <w:r>
          <w:rPr>
            <w:color w:val="2F5597"/>
            <w:u w:val="single"/>
          </w:rPr>
          <w:t>Official source</w:t>
        </w:r>
      </w:hyperlink>
    </w:p>
    <w:p>
      <w:pPr>
        <w:pStyle w:val="ListBullet"/>
        <w:spacing w:after="40"/>
      </w:pPr>
      <w:r>
        <w:rPr>
          <w:b/>
        </w:rPr>
        <w:t>Missouri Attorney General - Sunshine Law (Official guidance)</w:t>
      </w:r>
      <w:r>
        <w:t xml:space="preserve"> - State compliance resources. </w:t>
      </w:r>
      <w:hyperlink r:id="rId13">
        <w:r>
          <w:rPr>
            <w:color w:val="2F5597"/>
            <w:u w:val="single"/>
          </w:rPr>
          <w:t>Official source</w:t>
        </w:r>
      </w:hyperlink>
    </w:p>
    <w:p>
      <w:pPr>
        <w:spacing w:before="120"/>
      </w:pPr>
      <w:r>
        <w:rPr>
          <w:b/>
        </w:rPr>
        <w:t xml:space="preserve">Implementation note: </w:t>
      </w:r>
      <w:r>
        <w:t>This document is a requirements-engineering research artifact, not legal advice. A city should validate its final configuration against current statutes, controlling decisions, its own adopted policies, and counsel review.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5"/>
      </w:rPr>
      <w:t>National Open Records Workflow Schema - Implementation Research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F5597"/>
        <w:sz w:val="15"/>
      </w:rPr>
      <w:t>Missouri | Open Records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revisor.mo.gov/main/OneSection.aspx?section=610.023" TargetMode="External"/><Relationship Id="rId12" Type="http://schemas.openxmlformats.org/officeDocument/2006/relationships/hyperlink" Target="https://revisor.mo.gov/main/OneSection.aspx?section=610.026" TargetMode="External"/><Relationship Id="rId13" Type="http://schemas.openxmlformats.org/officeDocument/2006/relationships/hyperlink" Target="https://ago.mo.gov/get-help/programs-services-from-a-z/sunshine-la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