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38"/>
        </w:rPr>
        <w:t>Michigan Public Records Workflow</w:t>
      </w:r>
    </w:p>
    <w:p>
      <w:pPr>
        <w:spacing w:after="100"/>
        <w:jc w:val="center"/>
      </w:pPr>
      <w:r>
        <w:rPr>
          <w:rFonts w:ascii="Aptos Display" w:hAnsi="Aptos Display"/>
          <w:b/>
          <w:color w:val="2F5597"/>
          <w:sz w:val="22"/>
        </w:rPr>
        <w:t>Initial Processing Reverse-Engineered into Software Configuration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Primary law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Michigan Freedom of Information Act, MCL 15.231-15.246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Research date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2026-07-22</w:t>
            </w:r>
          </w:p>
        </w:tc>
      </w:tr>
      <w:tr>
        <w:trPr>
          <w:cantSplit/>
        </w:trPr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Applicability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Cities / municipal public bodies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Fixed national schema methodology</w:t>
            </w:r>
          </w:p>
        </w:tc>
      </w:tr>
    </w:tbl>
    <w:p/>
    <w:p>
      <w:pPr>
        <w:pStyle w:val="Heading1"/>
      </w:pPr>
      <w:r>
        <w:t>1. Executive Summary and Applicability</w:t>
      </w:r>
    </w:p>
    <w:p>
      <w:r>
        <w:t>Michigan requires a written response within five business days and permits one written extension of up to ten additional business days. The response must grant, deny, partially grant/deny, or extend. A detailed fee and deposit workflow applies when charges are authorized, including a greater-than-$50 good-faith deposit trigger and a 45-day abandonment period for failure to pay the deposit.</w:t>
      </w:r>
    </w:p>
    <w:p>
      <w:r>
        <w:rPr>
          <w:b/>
        </w:rPr>
        <w:t xml:space="preserve">Core engine pattern: </w:t>
      </w:r>
      <w:r>
        <w:t>Fixed determination timer + one-time extension + itemized fee/deposit gate + deposit-abandonment timer.</w:t>
      </w:r>
    </w:p>
    <w:p>
      <w:r>
        <w:rPr>
          <w:b/>
        </w:rPr>
        <w:t xml:space="preserve">Scope caution: </w:t>
      </w:r>
      <w:r>
        <w:t>This analysis focuses on the statewide rules applicable to cities. Agency-specific fee schedules and local administrative practices are configuration inputs, not statewide law.</w:t>
      </w:r>
    </w:p>
    <w:p>
      <w:pPr>
        <w:pStyle w:val="Heading1"/>
      </w:pPr>
      <w:r>
        <w:t>2. Authority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95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Authority</w:t>
            </w:r>
          </w:p>
        </w:tc>
        <w:tc>
          <w:tcPr>
            <w:tcW w:type="dxa" w:w="482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Workflow function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City applicability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MCL 15.235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Receipt, five-day response, extension, denial contents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Applies to municipal public bodies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MCL 15.234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Permitted fee components, itemization, deposits, prior unpaid requests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Applies to cities; local written procedures required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MCL 15.236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FOIA coordinator and written procedures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Municipal designation/configuration requirement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Official Michigan agency summaries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Implementation examples and current required request information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Agency thresholds may differ; statewide statutory elements control</w:t>
            </w:r>
          </w:p>
        </w:tc>
      </w:tr>
    </w:tbl>
    <w:p>
      <w:pPr>
        <w:pStyle w:val="Heading1"/>
      </w:pPr>
      <w:r>
        <w:t>3. Human-Readable Initial Processing Workflow</w:t>
      </w:r>
    </w:p>
    <w:p>
      <w:pPr>
        <w:pStyle w:val="ListNumber"/>
        <w:spacing w:after="40"/>
      </w:pPr>
      <w:r>
        <w:rPr>
          <w:b/>
        </w:rPr>
        <w:t xml:space="preserve">Validate written request: </w:t>
      </w:r>
      <w:r>
        <w:t>Confirm it is written, sufficiently describes existing public records, and contains current statutorily required requester contact information.</w:t>
      </w:r>
    </w:p>
    <w:p>
      <w:pPr>
        <w:pStyle w:val="ListNumber"/>
        <w:spacing w:after="40"/>
      </w:pPr>
      <w:r>
        <w:rPr>
          <w:b/>
        </w:rPr>
        <w:t xml:space="preserve">Calculate receipt: </w:t>
      </w:r>
      <w:r>
        <w:t>Apply Michigan receipt rules for electronic transmissions and route immediately to the FOIA coordinator.</w:t>
      </w:r>
    </w:p>
    <w:p>
      <w:pPr>
        <w:pStyle w:val="ListNumber"/>
        <w:spacing w:after="40"/>
      </w:pPr>
      <w:r>
        <w:rPr>
          <w:b/>
        </w:rPr>
        <w:t xml:space="preserve">Respond by day five: </w:t>
      </w:r>
      <w:r>
        <w:t>Grant, deny, grant in part/deny in part, or issue the single written extension with reason and new due date.</w:t>
      </w:r>
    </w:p>
    <w:p>
      <w:pPr>
        <w:pStyle w:val="ListNumber"/>
        <w:spacing w:after="40"/>
      </w:pPr>
      <w:r>
        <w:rPr>
          <w:b/>
        </w:rPr>
        <w:t xml:space="preserve">Build fee itemization: </w:t>
      </w:r>
      <w:r>
        <w:t>When charging is authorized, identify the nature of unreasonably high costs and itemize permitted labor, media, duplication, and mailing categories under the city’s published procedures.</w:t>
      </w:r>
    </w:p>
    <w:p>
      <w:pPr>
        <w:pStyle w:val="ListNumber"/>
        <w:spacing w:after="40"/>
      </w:pPr>
      <w:r>
        <w:rPr>
          <w:b/>
        </w:rPr>
        <w:t xml:space="preserve">Deposit gate: </w:t>
      </w:r>
      <w:r>
        <w:t>If estimated fee exceeds $50, the city may require up to 50% good-faith deposit and must provide a good-faith post-deposit time estimate.</w:t>
      </w:r>
    </w:p>
    <w:p>
      <w:pPr>
        <w:pStyle w:val="ListNumber"/>
        <w:spacing w:after="40"/>
      </w:pPr>
      <w:r>
        <w:rPr>
          <w:b/>
        </w:rPr>
        <w:t xml:space="preserve">Monitor deposit: </w:t>
      </w:r>
      <w:r>
        <w:t>Treat the request as abandoned if the required deposit is not received within the statutory 45-day period, absent a fee appeal or other statutory exception.</w:t>
      </w:r>
    </w:p>
    <w:p>
      <w:pPr>
        <w:pStyle w:val="ListNumber"/>
        <w:spacing w:after="40"/>
      </w:pPr>
      <w:r>
        <w:rPr>
          <w:b/>
        </w:rPr>
        <w:t xml:space="preserve">Produce and reconcile: </w:t>
      </w:r>
      <w:r>
        <w:t>After payment/deposit, search, review, redact, produce, and reconcile actual authorized charges; issue full/partial denial notices with appeal rights as necessary.</w:t>
      </w:r>
    </w:p>
    <w:p>
      <w:pPr>
        <w:pStyle w:val="Heading1"/>
      </w:pPr>
      <w:r>
        <w:t>4. Deadline and Required-Communication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Deadline or standard</w:t>
            </w:r>
          </w:p>
        </w:tc>
        <w:tc>
          <w:tcPr>
            <w:tcW w:type="dxa" w:w="396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Required communication / action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Clock effect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Authority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Statutory receipt of written request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5 business days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Grant, deny, partial grant/denial, or written extension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Initial response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MCL 15.235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Extension invoked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Up to 10 additional business days; once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Reason for extension and new due date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Replaces initial determination due date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MCL 15.235(2)(d),(6)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Estimated fee &gt;$50 and deposit required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Before processing after estimate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Detailed itemization, deposit amount, good-faith post-deposit time estimate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Awaiting-deposit branch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MCL 15.234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Required deposit not received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45 days after statutory receipt of deposit notice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Request deemed abandoned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Closes deposit branch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MCL 15.234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Full/partial denial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determination deadline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Written basis and remedial rights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Ends determination / starts appeal possibility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MCL 15.235(4)</w:t>
            </w:r>
          </w:p>
        </w:tc>
      </w:tr>
    </w:tbl>
    <w:p>
      <w:pPr>
        <w:pStyle w:val="Heading1"/>
      </w:pPr>
      <w:r>
        <w:t>5. Vague, Unclear, or Overly Broad Requests</w:t>
      </w:r>
    </w:p>
    <w:p>
      <w:pPr>
        <w:pStyle w:val="ListBullet"/>
        <w:spacing w:after="30"/>
      </w:pPr>
      <w:r>
        <w:t>The request must sufficiently describe the public records. The city may seek clarification, but Michigan does not create a general express toll/restart rule for clarification in the core five-day response provision.</w:t>
      </w:r>
    </w:p>
    <w:p>
      <w:pPr>
        <w:pStyle w:val="ListBullet"/>
        <w:spacing w:after="30"/>
      </w:pPr>
      <w:r>
        <w:t>The safe software treatment is to issue one of the statutorily valid responses by the due date while separately requesting clarification, rather than silently stopping the timer.</w:t>
      </w:r>
    </w:p>
    <w:p>
      <w:pPr>
        <w:pStyle w:val="ListBullet"/>
        <w:spacing w:after="30"/>
      </w:pPr>
      <w:r>
        <w:t>A denial for insufficient description should explain the deficiency and remedial rights; a voluntary clarification workflow can preserve the request without mislabeling local practice as state law.</w:t>
      </w:r>
    </w:p>
    <w:p>
      <w:pPr>
        <w:pStyle w:val="ListBullet"/>
        <w:spacing w:after="30"/>
      </w:pPr>
      <w:r>
        <w:t>No general clarification-nonresponse abandonment period comparable to the 45-day deposit rule was identified.</w:t>
      </w:r>
    </w:p>
    <w:p>
      <w:pPr>
        <w:pStyle w:val="Heading1"/>
      </w:pPr>
      <w:r>
        <w:t>6. Denial and Partial-Denial Process</w:t>
      </w:r>
    </w:p>
    <w:p>
      <w:pPr>
        <w:pStyle w:val="ListBullet"/>
        <w:spacing w:after="30"/>
      </w:pPr>
      <w:r>
        <w:t>A full or partial denial must be written and explain the basis, including applicable exemption or other reason.</w:t>
      </w:r>
    </w:p>
    <w:p>
      <w:pPr>
        <w:pStyle w:val="ListBullet"/>
        <w:spacing w:after="30"/>
      </w:pPr>
      <w:r>
        <w:t>The notice must advise the requester of the right to appeal to the head of the public body and/or seek judicial review as prescribed by FOIA.</w:t>
      </w:r>
    </w:p>
    <w:p>
      <w:pPr>
        <w:pStyle w:val="ListBullet"/>
        <w:spacing w:after="30"/>
      </w:pPr>
      <w:r>
        <w:t>Partial grants must separate and release nonexempt material where practicable.</w:t>
      </w:r>
    </w:p>
    <w:p>
      <w:pPr>
        <w:pStyle w:val="ListBullet"/>
        <w:spacing w:after="30"/>
      </w:pPr>
      <w:r>
        <w:t>Missing the response deadline can carry fee reductions and other consequences; the engine should escalate before due dates rather than treat extension as automatic.</w:t>
      </w:r>
    </w:p>
    <w:p>
      <w:pPr>
        <w:pStyle w:val="Heading1"/>
      </w:pPr>
      <w:r>
        <w:t>7. Legal Classifications, Tracks, and Operational Classifications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Classification / flag</w:t>
            </w:r>
          </w:p>
        </w:tc>
        <w:tc>
          <w:tcPr>
            <w:tcW w:type="dxa" w:w="165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Legal or operational</w:t>
            </w:r>
          </w:p>
        </w:tc>
        <w:tc>
          <w:tcPr>
            <w:tcW w:type="dxa" w:w="396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252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Timer / communication effect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Grant / deny / partial / extension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response types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One must be selected by determination deadline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5 business days; one extension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Estimated fee &gt;$50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deposit threshold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Allows up to 50% deposit and post-deposit estimate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45-day abandonment timer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Prior unpaid request conditions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deposit enhancement flag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May permit up to 100% estimated fee deposit if statutory conditions met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Special notice/approval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Unreasonably high cost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fee predicate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Required before charging certain labor costs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Specific identification required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Simple / complex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Operational only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Staffing and estimates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different initial response deadline</w:t>
            </w:r>
          </w:p>
        </w:tc>
      </w:tr>
    </w:tbl>
    <w:p>
      <w:pPr>
        <w:pStyle w:val="Heading1"/>
      </w:pPr>
      <w:r>
        <w:t>8. Large Volume, Redaction, Programming, and Electronic Records</w:t>
      </w:r>
    </w:p>
    <w:p>
      <w:pPr>
        <w:pStyle w:val="ListBullet"/>
        <w:spacing w:after="30"/>
      </w:pPr>
      <w:r>
        <w:t>The fee engine must separate search/location/examination, review/redaction, duplication, media, and mailing into statutory categories and apply labor increments and lowest-wage-capable-employee rules.</w:t>
      </w:r>
    </w:p>
    <w:p>
      <w:pPr>
        <w:pStyle w:val="ListBullet"/>
        <w:spacing w:after="30"/>
      </w:pPr>
      <w:r>
        <w:t>A city generally must adopt and publish FOIA procedures/guidelines and a public summary to impose fees; store policy version/effective date with each estimate.</w:t>
      </w:r>
    </w:p>
    <w:p>
      <w:pPr>
        <w:pStyle w:val="ListBullet"/>
        <w:spacing w:after="30"/>
      </w:pPr>
      <w:r>
        <w:t>Electronic delivery does not eliminate permissible labor charges, but actual media cost may be zero.</w:t>
      </w:r>
    </w:p>
    <w:p>
      <w:pPr>
        <w:pStyle w:val="ListBullet"/>
        <w:spacing w:after="30"/>
      </w:pPr>
      <w:r>
        <w:t>The post-deposit production estimate is a distinct nonbinding good-faith estimate and must not overwrite the statutory determination history.</w:t>
      </w:r>
    </w:p>
    <w:p>
      <w:pPr>
        <w:pStyle w:val="Heading1"/>
      </w:pPr>
      <w:r>
        <w:t>9. Fee Estimate, Deposit, Payment, and Reconciliation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Fee component / trigger</w:t>
            </w:r>
          </w:p>
        </w:tc>
        <w:tc>
          <w:tcPr>
            <w:tcW w:type="dxa" w:w="367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Statewide rule</w:t>
            </w:r>
          </w:p>
        </w:tc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Estimate / payment timing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Configuration treatment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Labor / permitted categories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Authorized only under MCL 15.234 and city procedures; detailed itemization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Itemize with response/estimate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 categories + local wage data/policy threshold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Good-faith deposit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If estimate &gt;$50, up to 50%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Before processing; include post-deposit time estimate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 threshold and cap; local choice to require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Prior unpaid requests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Up to 100% deposit if statutory conditions satisfied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Before work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Complex eligibility rule + human approval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Deposit nonpayment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Request abandoned after 45 days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Deposit notice must support timer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 abandonment rule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Final balance/refund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Actual authorized cost reconciled to estimate/deposit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Before final release or refund overpayment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accounting workflow within statute</w:t>
            </w:r>
          </w:p>
        </w:tc>
      </w:tr>
    </w:tbl>
    <w:p>
      <w:pPr>
        <w:pStyle w:val="Heading1"/>
      </w:pPr>
      <w:r>
        <w:t>10. Normalized Software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  <w:tc>
          <w:tcPr>
            <w:tcW w:type="dxa" w:w="208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 / conditions</w:t>
            </w:r>
          </w:p>
        </w:tc>
        <w:tc>
          <w:tcPr>
            <w:tcW w:type="dxa" w:w="33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Required action &amp; communication</w:t>
            </w:r>
          </w:p>
        </w:tc>
        <w:tc>
          <w:tcPr>
            <w:tcW w:type="dxa" w:w="180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Deadline / clock effect</w:t>
            </w:r>
          </w:p>
        </w:tc>
        <w:tc>
          <w:tcPr>
            <w:tcW w:type="dxa" w:w="266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Configuration, applicability &amp; authority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MI-01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Written sufficiently descriptive request statutorily received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Grant, deny, partial, or extend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5 business days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Mandatory; cities; MCL 15.235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MI-02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More time needed and extension unused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Written reason and new due date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Up to 10 additional business days; once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Statewide; MCL 15.235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MI-03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Fee charged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Detailed statutory itemization and cost predicate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 response/estimate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 for fee; MCL 15.234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MI-04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Estimate &gt;$50 and deposit invoked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Request ≤50% deposit + post-deposit timeframe estimate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Before processing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State threshold/cap; MCL 15.234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MI-05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Deposit unpaid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Mark abandoned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45 days after statutory receipt of notice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State timer; MCL 15.234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MI-06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Full/partial denial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Written basis + appeal/judicial rights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By determination due date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Mandatory; MCL 15.235(4)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MI-07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Prior unpaid requests meet statutory test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May require up to 100% deposit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Before new work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Conditional/human approval; MCL 15.234</w:t>
            </w:r>
          </w:p>
        </w:tc>
      </w:tr>
    </w:tbl>
    <w:p>
      <w:pPr>
        <w:pStyle w:val="Heading1"/>
      </w:pPr>
      <w:r>
        <w:t>11. Jurisdiction-Configuration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Configuration field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 type</w:t>
            </w:r>
          </w:p>
        </w:tc>
        <w:tc>
          <w:tcPr>
            <w:tcW w:type="dxa" w:w="266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Value / permitted setting</w:t>
            </w:r>
          </w:p>
        </w:tc>
        <w:tc>
          <w:tcPr>
            <w:tcW w:type="dxa" w:w="374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Implementation note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electronic_receipt_rule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Statewide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statutory next-business-day treatment where applicable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Preserve transmission and receipt timestamps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city_foia_procedures_version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required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policy URL/effective date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Required for fee governance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no_charge_threshold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policy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city-selected threshold if adopted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Do not treat state-agency threshold as city law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wage_rates_and_benefits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payroll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lowest capable employee by activity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Versioned estimate inputs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deposit_required_over_50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choice within law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yes/no; percentage ≤50%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Trigger detailed notice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prior_unpaid_deposit_rule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Statewide conditions + local approval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up to 100%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Require audit evidence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clarification_workflow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request / reminder / response handling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Cannot silently toll 5-day deadline</w:t>
            </w:r>
          </w:p>
        </w:tc>
      </w:tr>
    </w:tbl>
    <w:p>
      <w:pPr>
        <w:pStyle w:val="Heading1"/>
      </w:pPr>
      <w:r>
        <w:t>12. Recommended Workflow States and Transitions</w:t>
      </w:r>
    </w:p>
    <w:p>
      <w:r>
        <w:rPr>
          <w:b/>
        </w:rPr>
        <w:t xml:space="preserve">Recommended state sequence: </w:t>
      </w:r>
      <w:r>
        <w:t>Received -&gt; Validation -&gt; Determination Due -&gt; Extended Determination -&gt; Granted / Partially Granted / Denied -&gt; Fee Itemization -&gt; Deposit Requested -&gt; Awaiting Deposit -&gt; Search / Review / Redaction -&gt; Final Payment -&gt; Released / Abandoned / Appealed</w:t>
      </w:r>
    </w:p>
    <w:p>
      <w:pPr>
        <w:pStyle w:val="Heading1"/>
      </w:pPr>
      <w:r>
        <w:t>13. Unresolved Questions and Local-Policy Decisions</w:t>
      </w:r>
    </w:p>
    <w:p>
      <w:pPr>
        <w:pStyle w:val="ListBullet"/>
        <w:spacing w:after="30"/>
      </w:pPr>
      <w:r>
        <w:t>What city no-charge threshold and fee-waiver policy will be published?</w:t>
      </w:r>
    </w:p>
    <w:p>
      <w:pPr>
        <w:pStyle w:val="ListBullet"/>
        <w:spacing w:after="30"/>
      </w:pPr>
      <w:r>
        <w:t>Will deposits be required automatically above $50 or only after discretionary review?</w:t>
      </w:r>
    </w:p>
    <w:p>
      <w:pPr>
        <w:pStyle w:val="ListBullet"/>
        <w:spacing w:after="30"/>
      </w:pPr>
      <w:r>
        <w:t>How will the city issue clarification requests while still selecting a valid statutory response by day five?</w:t>
      </w:r>
    </w:p>
    <w:p>
      <w:pPr>
        <w:pStyle w:val="ListBullet"/>
        <w:spacing w:after="30"/>
      </w:pPr>
      <w:r>
        <w:t>What controls will validate prior-unpaid-request eligibility before requiring a 100% deposit?</w:t>
      </w:r>
    </w:p>
    <w:p>
      <w:pPr>
        <w:pStyle w:val="Heading1"/>
      </w:pPr>
      <w:r>
        <w:t>14. Suggestion Added During This Review</w:t>
      </w:r>
    </w:p>
    <w:p>
      <w:r>
        <w:rPr>
          <w:b/>
        </w:rPr>
        <w:t xml:space="preserve">S-015: </w:t>
      </w:r>
      <w:r>
        <w:t>Model the statutory determination clock separately from the deposit-gated fulfillment clock, including the required post-deposit time estimate and a distinct 45-day abandonment timer.</w:t>
      </w:r>
    </w:p>
    <w:p>
      <w:pPr>
        <w:pStyle w:val="IntenseQuote"/>
      </w:pPr>
      <w:r>
        <w:t>This suggestion is recorded for later universal-engine review and does not alter the fixed methodology used for this state.</w:t>
      </w:r>
    </w:p>
    <w:p>
      <w:pPr>
        <w:pStyle w:val="Heading1"/>
      </w:pPr>
      <w:r>
        <w:t>15. Primary Sources</w:t>
      </w:r>
    </w:p>
    <w:p>
      <w:pPr>
        <w:pStyle w:val="ListBullet"/>
        <w:spacing w:after="40"/>
      </w:pPr>
      <w:r>
        <w:rPr>
          <w:b/>
        </w:rPr>
        <w:t>Michigan Legislature - FOIA (MCL 15.231-15.246)</w:t>
      </w:r>
      <w:r>
        <w:t xml:space="preserve"> - Statutory text. </w:t>
      </w:r>
      <w:hyperlink r:id="rId11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40"/>
      </w:pPr>
      <w:r>
        <w:rPr>
          <w:b/>
        </w:rPr>
        <w:t>Michigan Attorney General - Written Public Summary (Official guidance)</w:t>
      </w:r>
      <w:r>
        <w:t xml:space="preserve"> - Current response and request requirements. </w:t>
      </w:r>
      <w:hyperlink r:id="rId12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40"/>
      </w:pPr>
      <w:r>
        <w:rPr>
          <w:b/>
        </w:rPr>
        <w:t>Michigan State Police - FOIA Procedures (Official deposit example)</w:t>
      </w:r>
      <w:r>
        <w:t xml:space="preserve"> - Deposit, 45-day abandonment, and estimate implementation. </w:t>
      </w:r>
      <w:hyperlink r:id="rId13">
        <w:r>
          <w:rPr>
            <w:color w:val="2F5597"/>
            <w:u w:val="single"/>
          </w:rPr>
          <w:t>Official source</w:t>
        </w:r>
      </w:hyperlink>
    </w:p>
    <w:p>
      <w:pPr>
        <w:spacing w:before="120"/>
      </w:pPr>
      <w:r>
        <w:rPr>
          <w:b/>
        </w:rPr>
        <w:t xml:space="preserve">Implementation note: </w:t>
      </w:r>
      <w:r>
        <w:t>This document is a requirements-engineering research artifact, not legal advice. A city should validate its final configuration against current statutes, controlling decisions, its own adopted policies, and counsel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5"/>
      </w:rPr>
      <w:t>National Open Records Workflow Schema - Implementation Research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F5597"/>
        <w:sz w:val="15"/>
      </w:rPr>
      <w:t>Michigan | Open Records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legislature.mi.gov/Laws/MCL?objectName=mcl-Act-442-of-1976" TargetMode="External"/><Relationship Id="rId12" Type="http://schemas.openxmlformats.org/officeDocument/2006/relationships/hyperlink" Target="https://www.michigan.gov/ag/resources/foia/mdag-written-public-summary-of-the-departments-foia" TargetMode="External"/><Relationship Id="rId13" Type="http://schemas.openxmlformats.org/officeDocument/2006/relationships/hyperlink" Target="https://www.michigan.gov/msp/services/foia/foia-procedures-and-guide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