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Minnesota Public Records Workflow</w:t>
      </w:r>
    </w:p>
    <w:p>
      <w:pPr>
        <w:spacing w:after="10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Minnesota Government Data Practices Act, Minn. Stat. Chapter 13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/>
    <w:p>
      <w:pPr>
        <w:pStyle w:val="Heading1"/>
      </w:pPr>
      <w:r>
        <w:t>1. Executive Summary and Applicability</w:t>
      </w:r>
    </w:p>
    <w:p>
      <w:r>
        <w:t>Minnesota requires classification of the requester relationship before timers and fees are selected. A member of the public receives an appropriate and prompt response within a reasonable time; a data subject must receive access immediately if possible or within ten business days. Inspection is free, and permitted copy costs differ materially between public requesters and data subjects.</w:t>
      </w:r>
    </w:p>
    <w:p>
      <w:r>
        <w:rPr>
          <w:b/>
        </w:rPr>
        <w:t xml:space="preserve">Core engine pattern: </w:t>
      </w:r>
      <w:r>
        <w:t>Requester/data-relationship routing + qualitative public timer or fixed data-subject timer + track-specific copy-cost rules.</w:t>
      </w:r>
    </w:p>
    <w:p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Minn. Stat. §§ 13.03, 13.04, 13.025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Public/data-subject access, timing, policies, fees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cities and responsible authorities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Minnesota Rules parts 1205.0300 and 1205.0400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Access and copy-cost implementation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Applicable as relevant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Minnesota Data Practices Office guidance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Responsible authority, requests, timing, copy costs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Official statewide guidance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40"/>
      </w:pPr>
      <w:r>
        <w:rPr>
          <w:b/>
        </w:rPr>
        <w:t xml:space="preserve">Route to responsible authority: </w:t>
      </w:r>
      <w:r>
        <w:t>For a city, route to the city clerk or council-appointed employee unless another responsible authority is designated.</w:t>
      </w:r>
    </w:p>
    <w:p>
      <w:pPr>
        <w:pStyle w:val="ListNumber"/>
        <w:spacing w:after="40"/>
      </w:pPr>
      <w:r>
        <w:rPr>
          <w:b/>
        </w:rPr>
        <w:t xml:space="preserve">Identify requester track: </w:t>
      </w:r>
      <w:r>
        <w:t>Determine whether the requester is a member of the public or the subject of the requested data; obtain identity only when needed for private data.</w:t>
      </w:r>
    </w:p>
    <w:p>
      <w:pPr>
        <w:pStyle w:val="ListNumber"/>
        <w:spacing w:after="40"/>
      </w:pPr>
      <w:r>
        <w:rPr>
          <w:b/>
        </w:rPr>
        <w:t xml:space="preserve">Validate requested data: </w:t>
      </w:r>
      <w:r>
        <w:t>Confirm the requester seeks inspection or copies of existing government data, not questions or creation of new data.</w:t>
      </w:r>
    </w:p>
    <w:p>
      <w:pPr>
        <w:pStyle w:val="ListNumber"/>
        <w:spacing w:after="40"/>
      </w:pPr>
      <w:r>
        <w:rPr>
          <w:b/>
        </w:rPr>
        <w:t xml:space="preserve">Clarify if needed: </w:t>
      </w:r>
      <w:r>
        <w:t>Ask for a clearer description and retain a contactability flag; a public requester need not identify or explain purpose, but the entity cannot clarify an anonymous request with no return channel.</w:t>
      </w:r>
    </w:p>
    <w:p>
      <w:pPr>
        <w:pStyle w:val="ListNumber"/>
        <w:spacing w:after="40"/>
      </w:pPr>
      <w:r>
        <w:rPr>
          <w:b/>
        </w:rPr>
        <w:t xml:space="preserve">Classify data: </w:t>
      </w:r>
      <w:r>
        <w:t>Determine whether data are public, private, confidential, or otherwise not public; identify governing law for withheld data.</w:t>
      </w:r>
    </w:p>
    <w:p>
      <w:pPr>
        <w:pStyle w:val="ListNumber"/>
        <w:spacing w:after="40"/>
      </w:pPr>
      <w:r>
        <w:rPr>
          <w:b/>
        </w:rPr>
        <w:t xml:space="preserve">Apply track timer: </w:t>
      </w:r>
      <w:r>
        <w:t>For public data, respond appropriately and promptly within a reasonable time. For a data subject, comply immediately if possible or within ten business days.</w:t>
      </w:r>
    </w:p>
    <w:p>
      <w:pPr>
        <w:pStyle w:val="ListNumber"/>
        <w:spacing w:after="40"/>
      </w:pPr>
      <w:r>
        <w:rPr>
          <w:b/>
        </w:rPr>
        <w:t xml:space="preserve">Calculate track-specific costs: </w:t>
      </w:r>
      <w:r>
        <w:t>Inspection is free. Apply public-copy or data-subject-copy rules and any local prepayment policy.</w:t>
      </w:r>
    </w:p>
    <w:p>
      <w:pPr>
        <w:pStyle w:val="ListNumber"/>
        <w:spacing w:after="40"/>
      </w:pPr>
      <w:r>
        <w:rPr>
          <w:b/>
        </w:rPr>
        <w:t xml:space="preserve">Produce or communicate: </w:t>
      </w:r>
      <w:r>
        <w:t>Arrange inspection, quote copy costs, provide copies after payment, state that data do not exist, or identify the law preventing access.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Public requester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Appropriate and prompt; reasonable amount of time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Arrange inspection, quote/provide copies, no-data notice, or legal basis for nonpublic data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Qualitative public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Minn. Stat. §13.03; DPO guidance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Data subject requester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Immediately if possible; within 10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Provide access/copies or lawful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Fixed data-subject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Minn. Stat. §13.04, subd. 3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responsive data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 soon as reasonably possible (official model guidance)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Tell requester data are not held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separate numeric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DPO model policy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Data held but not public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 soon as reasonably possible (official model guidance)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Identify law preventing release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separate numeric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DPO model policy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Prepayment required by local policy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copies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Cost notice / invoice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Awaiting-payment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§13.03; entity policy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The entity may ask the requester to clarify the data sought; the statewide law does not establish a universal clarification toll or restart rule.</w:t>
      </w:r>
    </w:p>
    <w:p>
      <w:pPr>
        <w:pStyle w:val="ListBullet"/>
        <w:spacing w:after="30"/>
      </w:pPr>
      <w:r>
        <w:t>A member of the public generally need not identify themselves or explain purpose. Do not make identity a required intake field for public data.</w:t>
      </w:r>
    </w:p>
    <w:p>
      <w:pPr>
        <w:pStyle w:val="ListBullet"/>
        <w:spacing w:after="30"/>
      </w:pPr>
      <w:r>
        <w:t>Contact information may be practically necessary for mailed copies or clarification. The engine should distinguish legally optional identity from required delivery/contact fields.</w:t>
      </w:r>
    </w:p>
    <w:p>
      <w:pPr>
        <w:pStyle w:val="ListBullet"/>
        <w:spacing w:after="30"/>
      </w:pPr>
      <w:r>
        <w:t>For data subjects, identity confirmation may be required before private data are released.</w:t>
      </w:r>
    </w:p>
    <w:p>
      <w:pPr>
        <w:pStyle w:val="ListBullet"/>
        <w:spacing w:after="30"/>
      </w:pPr>
      <w:r>
        <w:t>Agency-specific closure periods, such as a state department’s 15-business-day pickup/payment rule, are not statewide city rules and must remain local-policy fields.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If data are not public, the entity should tell the requester as soon as reasonably possible and identify the law classifying the data as not public.</w:t>
      </w:r>
    </w:p>
    <w:p>
      <w:pPr>
        <w:pStyle w:val="ListBullet"/>
        <w:spacing w:after="30"/>
      </w:pPr>
      <w:r>
        <w:t>If no responsive data exist, official guidance recommends notification as soon as reasonably possible.</w:t>
      </w:r>
    </w:p>
    <w:p>
      <w:pPr>
        <w:pStyle w:val="ListBullet"/>
        <w:spacing w:after="30"/>
      </w:pPr>
      <w:r>
        <w:t>Partial access requires separation of public from not-public data; the requester may not be charged for that separation/redaction work.</w:t>
      </w:r>
    </w:p>
    <w:p>
      <w:pPr>
        <w:pStyle w:val="ListBullet"/>
        <w:spacing w:after="30"/>
      </w:pPr>
      <w:r>
        <w:t>Data-subject determinations must be completed within the fixed ten-business-day access period even for large volumes; partial production may be operationally useful but does not alter the statutory standard.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Member of public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requester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 data access and public-copy cost rules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Reasonable-time timer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Data subject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requester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Access to public/private data about self; special costs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Immediate / 10-business-day timer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 / private / confidential data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data classification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Determines releasability and denial communication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independent extension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 / copies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service type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 free; copies may be charged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Payment branch only for copies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complex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Affects reasonable-time analysis for public requests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Cannot extend data-subject 10-day rule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The Act concerns government data, not only document units; the engine should support field-, row-, and dataset-level classification.</w:t>
      </w:r>
    </w:p>
    <w:p>
      <w:pPr>
        <w:pStyle w:val="ListBullet"/>
        <w:spacing w:after="30"/>
      </w:pPr>
      <w:r>
        <w:t>An entity is not required to create or collect new data or provide an arrangement it does not maintain, though it may agree and negotiate cost/time.</w:t>
      </w:r>
    </w:p>
    <w:p>
      <w:pPr>
        <w:pStyle w:val="ListBullet"/>
        <w:spacing w:after="30"/>
      </w:pPr>
      <w:r>
        <w:t>Public-request actual cost may include search/retrieval and copy/transmission but never separation/redaction; data-subject actual cost excludes search/retrieval as well.</w:t>
      </w:r>
    </w:p>
    <w:p>
      <w:pPr>
        <w:pStyle w:val="ListBullet"/>
        <w:spacing w:after="30"/>
      </w:pPr>
      <w:r>
        <w:t>Electronic copies should be provided when kept in that format and reasonably reproducible.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charge for any requester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Arrange inspection without invoice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Hard prohibition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Public: ≤100 B&amp;W letter/legal pages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$0.25/page maximum; $0.50 two-sided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Quote/collect according to policy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cap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Public: other copies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cost; may include search/retrieval, copying, transmission, materials/postage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Prepayment may be required by local policy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Activity-level actual cost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Data subject copies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making/transmission/material cost only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Prepayment if local policy permits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Exclude search/retrieval and redaction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Redaction / separation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Not chargeable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Exclude from all estimates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Hard prohibition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threshold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universal statewide dollar threshold identified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needed operationally when charging/prepayment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Jurisdiction-configured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MN-01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 reaches responsible authority/designee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Route and classify requester/data relationship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At receipt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Statewide; city RA; §§13.025,13.03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MN-02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Requester is public member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Respond appropriately/promptly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reasonable amount of time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Qualitative; §13.03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MN-03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Requester is data subject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Provide access immediately or within 10 business days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Fixed timer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§13.04(3)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MN-04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Data not held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Notify requester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 soon as reasonably possible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Official model guidance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MN-05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Data not public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Notify and cite classification law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 soon as reasonably possible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Official model guidance + Chapter 13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MN-06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Inspection selected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Provide inspection without fee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applicable track timer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 no-fee; §§13.03,13.04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MN-07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Copies selected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Apply requester-track fee formula; exclude redaction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copies if prepayment policy invoked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formulas + local policy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responsible_authority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Statewide/local designation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city clerk or council appointee / specialized RA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Route by data domain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requester_track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 / data subject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Determines timer and fee formula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data_classification_catalog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 + local mapping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public/private/confidential/other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Citation required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public_reasonable_time_targets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acknowledgment/status/escalation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Not statutory deadlines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prepayment_policy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enabled, thresholds, methods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universal state threshold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copy_cost_inputs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Statewide/local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$0.25 cap or actual-cost inputs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Track-specific exclusions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nonresponse_closure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pickup/payment/clarification timeout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Agency examples not statewide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by Responsible Authority -&gt; Requester Track Classification -&gt; Data Classification -&gt; Awaiting Clarification -&gt; Public Reasonable-Time Processing / Data-Subject 10-Day Processing -&gt; Inspection Scheduled / Copy Estimate -&gt; Awaiting Payment -&gt; Released / Partially Released / Not Public / No Data / Closed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Which city official is responsible authority for each department or data domain?</w:t>
      </w:r>
    </w:p>
    <w:p>
      <w:pPr>
        <w:pStyle w:val="ListBullet"/>
        <w:spacing w:after="30"/>
      </w:pPr>
      <w:r>
        <w:t>What service targets will the city use to operationalize reasonable time for public requesters?</w:t>
      </w:r>
    </w:p>
    <w:p>
      <w:pPr>
        <w:pStyle w:val="ListBullet"/>
        <w:spacing w:after="30"/>
      </w:pPr>
      <w:r>
        <w:t>What prepayment and nonresponse policy will the city adopt for copy requests?</w:t>
      </w:r>
    </w:p>
    <w:p>
      <w:pPr>
        <w:pStyle w:val="ListBullet"/>
        <w:spacing w:after="30"/>
      </w:pPr>
      <w:r>
        <w:t>How will the system authenticate data subjects without imposing identity requirements on ordinary public requesters?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 xml:space="preserve">S-016: </w:t>
      </w:r>
      <w:r>
        <w:t>Classify the requester’s legal relationship to the requested data before creating timers or calculating fees; the same records request may follow materially different rules for a public requester and a data subject.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40"/>
      </w:pPr>
      <w:r>
        <w:rPr>
          <w:b/>
        </w:rPr>
        <w:t>Minnesota Data Practices Office - Requesting Data (Official guidance)</w:t>
      </w:r>
      <w:r>
        <w:t xml:space="preserve"> - Responsible authority, request content, and timing.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Minnesota Data Practices Office - Copy Costs (Official guidance)</w:t>
      </w:r>
      <w:r>
        <w:t xml:space="preserve"> - Public/data-subject cost rules.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Minnesota Legislature - Chapter 13 (Minn. Stat. Chapter 13)</w:t>
      </w:r>
      <w:r>
        <w:t xml:space="preserve"> - Statutory text.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spacing w:before="12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Minnesota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n.gov/admin/data-practices/data/requests/" TargetMode="External"/><Relationship Id="rId12" Type="http://schemas.openxmlformats.org/officeDocument/2006/relationships/hyperlink" Target="https://mn.gov/admin/data-practices/data/rules/copy-costs/" TargetMode="External"/><Relationship Id="rId13" Type="http://schemas.openxmlformats.org/officeDocument/2006/relationships/hyperlink" Target="https://www.revisor.mn.gov/statutes/cite/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