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8"/>
        </w:rPr>
        <w:t>Indiana Public Records Workflow</w:t>
      </w:r>
    </w:p>
    <w:p>
      <w:pPr>
        <w:spacing w:after="100"/>
        <w:jc w:val="center"/>
      </w:pPr>
      <w:r>
        <w:rPr>
          <w:rFonts w:ascii="Aptos Display" w:hAnsi="Aptos Display"/>
          <w:b/>
          <w:color w:val="2F5597"/>
          <w:sz w:val="22"/>
        </w:rPr>
        <w:t>Initial Processing Reverse-Engineered into Software Configuration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Primary law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Indiana Access to Public Records Act, IC 5-14-3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Research date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2026-07-22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Applicability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Cities / municipal public bodies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Fixed national schema methodology</w:t>
            </w:r>
          </w:p>
        </w:tc>
      </w:tr>
    </w:tbl>
    <w:p/>
    <w:p>
      <w:pPr>
        <w:pStyle w:val="Heading1"/>
      </w:pPr>
      <w:r>
        <w:t>1. Executive Summary and Applicability</w:t>
      </w:r>
    </w:p>
    <w:p>
      <w:r>
        <w:t>Indiana separates the deadline to respond from the time to produce. An in-person or telephone request must receive a response within 24 hours; a request received by mail, fax, or email must receive a response within seven calendar days. Acknowledgment with an intended compliance path may satisfy the response requirement, while actual production must occur within a reasonable period.</w:t>
      </w:r>
    </w:p>
    <w:p>
      <w:r>
        <w:rPr>
          <w:b/>
        </w:rPr>
        <w:t xml:space="preserve">Core engine pattern: </w:t>
      </w:r>
      <w:r>
        <w:t>Submission-channel response timer + reasonable-time fulfillment + reasonable-particularity validation.</w:t>
      </w:r>
    </w:p>
    <w:p>
      <w:r>
        <w:rPr>
          <w:b/>
        </w:rPr>
        <w:t xml:space="preserve">Scope caution: </w:t>
      </w:r>
      <w:r>
        <w:t>This analysis focuses on the statewide rules applicable to cities. Agency-specific fee schedules and local administrative practices are configuration inputs, not statewide law.</w:t>
      </w:r>
    </w:p>
    <w:p>
      <w:pPr>
        <w:pStyle w:val="Heading1"/>
      </w:pPr>
      <w:r>
        <w:t>2. Authority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95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482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Workflow function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City applicability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IC 5-14-3-3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Access, reasonable particularity, request form/purpose limits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city public agencies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IC 5-14-3-8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Copying, search, media, advance-payment fees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with agency-type distinctions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IC 5-14-3-9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Denial and response timing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cities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Indiana Public Access Counselor guidance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Official timing, reasonableness, and complaint interpretation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Authoritative administrative guidance</w:t>
            </w:r>
          </w:p>
        </w:tc>
      </w:tr>
    </w:tbl>
    <w:p>
      <w:pPr>
        <w:pStyle w:val="Heading1"/>
      </w:pPr>
      <w:r>
        <w:t>3. Human-Readable Initial Processing Workflow</w:t>
      </w:r>
    </w:p>
    <w:p>
      <w:pPr>
        <w:pStyle w:val="ListNumber"/>
        <w:spacing w:after="40"/>
      </w:pPr>
      <w:r>
        <w:rPr>
          <w:b/>
        </w:rPr>
        <w:t xml:space="preserve">Identify submission channel: </w:t>
      </w:r>
      <w:r>
        <w:t>Capture whether the request was made in person/by telephone or by mail/fax/email because the response timer depends on channel.</w:t>
      </w:r>
    </w:p>
    <w:p>
      <w:pPr>
        <w:pStyle w:val="ListNumber"/>
        <w:spacing w:after="40"/>
      </w:pPr>
      <w:r>
        <w:rPr>
          <w:b/>
        </w:rPr>
        <w:t xml:space="preserve">Validate reasonable particularity: </w:t>
      </w:r>
      <w:r>
        <w:t>Determine whether the request enables the agency to identify the records without unreasonable guesswork; request clarification if needed.</w:t>
      </w:r>
    </w:p>
    <w:p>
      <w:pPr>
        <w:pStyle w:val="ListNumber"/>
        <w:spacing w:after="40"/>
      </w:pPr>
      <w:r>
        <w:rPr>
          <w:b/>
        </w:rPr>
        <w:t xml:space="preserve">Respond on time: </w:t>
      </w:r>
      <w:r>
        <w:t>Within 24 hours or seven calendar days, acknowledge, state how and when the agency intends to comply, produce, or issue a denial.</w:t>
      </w:r>
    </w:p>
    <w:p>
      <w:pPr>
        <w:pStyle w:val="ListNumber"/>
        <w:spacing w:after="40"/>
      </w:pPr>
      <w:r>
        <w:rPr>
          <w:b/>
        </w:rPr>
        <w:t xml:space="preserve">Search and review: </w:t>
      </w:r>
      <w:r>
        <w:t>Locate existing records, review mandatory/discretionary exceptions, redact and segregate where required.</w:t>
      </w:r>
    </w:p>
    <w:p>
      <w:pPr>
        <w:pStyle w:val="ListNumber"/>
        <w:spacing w:after="40"/>
      </w:pPr>
      <w:r>
        <w:rPr>
          <w:b/>
        </w:rPr>
        <w:t xml:space="preserve">Calculate permitted fees: </w:t>
      </w:r>
      <w:r>
        <w:t>Apply the city’s lawful local fee schedule, exclude unauthorized search/review charges, and request advance payment when permitted.</w:t>
      </w:r>
    </w:p>
    <w:p>
      <w:pPr>
        <w:pStyle w:val="ListNumber"/>
        <w:spacing w:after="40"/>
      </w:pPr>
      <w:r>
        <w:rPr>
          <w:b/>
        </w:rPr>
        <w:t xml:space="preserve">Produce reasonably: </w:t>
      </w:r>
      <w:r>
        <w:t>Fulfill within a reasonable period based on volume, age/location, redaction, agency resources, and other documented factors.</w:t>
      </w:r>
    </w:p>
    <w:p>
      <w:pPr>
        <w:pStyle w:val="ListNumber"/>
        <w:spacing w:after="40"/>
      </w:pPr>
      <w:r>
        <w:rPr>
          <w:b/>
        </w:rPr>
        <w:t xml:space="preserve">Close or deny: </w:t>
      </w:r>
      <w:r>
        <w:t>Provide records, partial records, no-record communication, or written denial with statutory basis and responsible official information.</w:t>
      </w:r>
    </w:p>
    <w:p>
      <w:pPr>
        <w:pStyle w:val="Heading1"/>
      </w:pPr>
      <w:r>
        <w:t>4. Deadline and Required-Communication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Deadline or standard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communication / action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Clock effect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In-person or telephone request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24 hours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Response: production, acknowledgment/plan, or denial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Channel-specific initial response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IC 5-14-3-9; PAC guidance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Mail, fax, or email request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7 calendar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Response: production, acknowledgment/plan, or denial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Channel-specific initial response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IC 5-14-3-9; PAC guidance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After timely acknowledgment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Reasonable period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Produce records and maintain communication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Separate fulfillment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PAC guidance/case-specific reasonableness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denial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applicable response period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Specific statutory basis and name/title of responsible person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Ends response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IC 5-14-3-9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Advance payment invoked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copies/search where authorized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Fee amount/estimate and payment instructions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Awaiting-payment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IC 5-14-3-8</w:t>
            </w:r>
          </w:p>
        </w:tc>
      </w:tr>
    </w:tbl>
    <w:p>
      <w:pPr>
        <w:pStyle w:val="Heading1"/>
      </w:pPr>
      <w:r>
        <w:t>5. Vague, Unclear, or Overly Broad Requests</w:t>
      </w:r>
    </w:p>
    <w:p>
      <w:pPr>
        <w:pStyle w:val="ListBullet"/>
        <w:spacing w:after="30"/>
      </w:pPr>
      <w:r>
        <w:t>A request must identify records with reasonable particularity. The city may ask for clarification rather than guessing at scope.</w:t>
      </w:r>
    </w:p>
    <w:p>
      <w:pPr>
        <w:pStyle w:val="ListBullet"/>
        <w:spacing w:after="30"/>
      </w:pPr>
      <w:r>
        <w:t>The statute does not expressly create a clarification toll or restart. The agency should still issue a timely response under the applicable channel rule.</w:t>
      </w:r>
    </w:p>
    <w:p>
      <w:pPr>
        <w:pStyle w:val="ListBullet"/>
        <w:spacing w:after="30"/>
      </w:pPr>
      <w:r>
        <w:t>The city may require a written request or agency form at its discretion, but generally may not require the requester to state a purpose unless another statute allows it.</w:t>
      </w:r>
    </w:p>
    <w:p>
      <w:pPr>
        <w:pStyle w:val="ListBullet"/>
        <w:spacing w:after="30"/>
      </w:pPr>
      <w:r>
        <w:t>No general statewide abandonment period for nonresponse to clarification was identified.</w:t>
      </w:r>
    </w:p>
    <w:p>
      <w:pPr>
        <w:pStyle w:val="ListBullet"/>
        <w:spacing w:after="30"/>
      </w:pPr>
      <w:r>
        <w:t>The engine should preserve requested terms, proposed narrowed terms, and the final accepted scope as separate versions.</w:t>
      </w:r>
    </w:p>
    <w:p>
      <w:pPr>
        <w:pStyle w:val="Heading1"/>
      </w:pPr>
      <w:r>
        <w:t>6. Denial and Partial-Denial Process</w:t>
      </w:r>
    </w:p>
    <w:p>
      <w:pPr>
        <w:pStyle w:val="ListBullet"/>
        <w:spacing w:after="30"/>
      </w:pPr>
      <w:r>
        <w:t>A denial must identify the specific statutory authority and the name/title of the person responsible for the denial.</w:t>
      </w:r>
    </w:p>
    <w:p>
      <w:pPr>
        <w:pStyle w:val="ListBullet"/>
        <w:spacing w:after="30"/>
      </w:pPr>
      <w:r>
        <w:t>Failure to respond within the channel-specific time is treated as a denial for enforcement purposes, even though production may lawfully take a reasonable period after acknowledgment.</w:t>
      </w:r>
    </w:p>
    <w:p>
      <w:pPr>
        <w:pStyle w:val="ListBullet"/>
        <w:spacing w:after="30"/>
      </w:pPr>
      <w:r>
        <w:t>Mandatory and discretionary exemptions should be separately coded; human approval is required for discretionary withholding.</w:t>
      </w:r>
    </w:p>
    <w:p>
      <w:pPr>
        <w:pStyle w:val="ListBullet"/>
        <w:spacing w:after="30"/>
      </w:pPr>
      <w:r>
        <w:t>Release nonexempt portions of otherwise exempt-containing records where required.</w:t>
      </w:r>
    </w:p>
    <w:p>
      <w:pPr>
        <w:pStyle w:val="Heading1"/>
      </w:pPr>
      <w:r>
        <w:t>7. Legal Classifications, Tracks, and Operational Classifications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Classification / flag</w:t>
            </w:r>
          </w:p>
        </w:tc>
        <w:tc>
          <w:tcPr>
            <w:tcW w:type="dxa" w:w="165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Legal or operational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25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Timer / communication effect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In-person/telephone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channel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24-hour response timer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Acknowledgment or denial due quickly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Mail/fax/email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channel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7-calendar-day response timer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Acknowledgment or denial due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Reasonably particular / deficient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validation status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Proceed or clarify/deny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Does not automatically toll response timer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Mandatory / discretionary exception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disclosure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Required withholding vs agency choice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Denial basis and approver differ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Simple / complex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Operational only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Production target and staffing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change to response deadline</w:t>
            </w:r>
          </w:p>
        </w:tc>
      </w:tr>
    </w:tbl>
    <w:p>
      <w:pPr>
        <w:pStyle w:val="Heading1"/>
      </w:pPr>
      <w:r>
        <w:t>8. Large Volume, Redaction, Programming, and Electronic Records</w:t>
      </w:r>
    </w:p>
    <w:p>
      <w:pPr>
        <w:pStyle w:val="ListBullet"/>
        <w:spacing w:after="30"/>
      </w:pPr>
      <w:r>
        <w:t>Indiana’s “response” deadline should not be configured as the production deadline; the engine needs two different events.</w:t>
      </w:r>
    </w:p>
    <w:p>
      <w:pPr>
        <w:pStyle w:val="ListBullet"/>
        <w:spacing w:after="30"/>
      </w:pPr>
      <w:r>
        <w:t>Electronic records may be provided electronically, and ordinary email delivery generally should not generate a copy fee unless a specific permitted category applies.</w:t>
      </w:r>
    </w:p>
    <w:p>
      <w:pPr>
        <w:pStyle w:val="ListBullet"/>
        <w:spacing w:after="30"/>
      </w:pPr>
      <w:r>
        <w:t>General search, examination, and review fees are restricted; specialized statutes or record types may create exceptions that require separate modules.</w:t>
      </w:r>
    </w:p>
    <w:p>
      <w:pPr>
        <w:pStyle w:val="ListBullet"/>
        <w:spacing w:after="30"/>
      </w:pPr>
      <w:r>
        <w:t>Redaction, off-site storage, volume, and age are factors supporting a longer reasonable production period, not a separate statutory extension.</w:t>
      </w:r>
    </w:p>
    <w:p>
      <w:pPr>
        <w:pStyle w:val="Heading1"/>
      </w:pPr>
      <w:r>
        <w:t>9. Fee Estimate, Deposit, Payment, and Reconciliation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Fee component / trigger</w:t>
            </w:r>
          </w:p>
        </w:tc>
        <w:tc>
          <w:tcPr>
            <w:tcW w:type="dxa" w:w="367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Statewide rule</w:t>
            </w:r>
          </w:p>
        </w:tc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Estimate / payment timing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treatment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Inspection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copy charge; access during regular business hours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prepayment for inspection itself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Standard local copies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fee within IC 5-14-3-8 limits; common caps depend on format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Quote/collect before delivery if agency requires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schedule + state caps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Search/examination/review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Generally no fee under the general rule, subject to specific statutory exceptions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Exclude unless a cited exception applies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Activity-level eligibility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Nonstandard media / certification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Direct cost or statutory certification amount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Before delivery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Record/media-specific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Advance payment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Agency may require payment in advance for permitted search/copy costs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Before work/delivery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policy within authority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threshold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universal mandatory dollar threshold identified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operationally required if prepayment demanded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Jurisdiction-configured</w:t>
            </w:r>
          </w:p>
        </w:tc>
      </w:tr>
    </w:tbl>
    <w:p>
      <w:pPr>
        <w:pStyle w:val="Heading1"/>
      </w:pPr>
      <w:r>
        <w:t>10. Normalized Software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208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 / conditions</w:t>
            </w:r>
          </w:p>
        </w:tc>
        <w:tc>
          <w:tcPr>
            <w:tcW w:type="dxa" w:w="33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Required action &amp; communication</w:t>
            </w:r>
          </w:p>
        </w:tc>
        <w:tc>
          <w:tcPr>
            <w:tcW w:type="dxa" w:w="18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Deadline / clock effect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Configuration, applicability &amp; authority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IN-01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Request channel=in person/telephone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Respond with production, plan, or denial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24 hours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 channel timer; cities; IC 5-14-3-9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IN-02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Request channel=mail/fax/email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Respond with production, plan, or denial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7 calendar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 channel timer; IC 5-14-3-9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IN-03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Timely acknowledgment; production outstanding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Produce within reasonable period; status communication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Qualitative fulfillment timer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PAC guidance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IN-04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Insufficient reasonable particularity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Ask clarification; still respond on channel deadline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express toll/reset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Human validation; IC 5-14-3-3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IN-05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Denial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Specific statutory basis + responsible person name/title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applicable response deadline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IC 5-14-3-9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IN-06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Authorized fees and advance-payment policy invoked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Issue estimate/amount and await payment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permitted work/delivery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Local within IC 5-14-3-8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IN-07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Discretionary exception considered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Human approval and documented public-interest rationale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During reasonable production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Legal classification; IC 5-14-3-4(b)</w:t>
            </w:r>
          </w:p>
        </w:tc>
      </w:tr>
    </w:tbl>
    <w:p>
      <w:pPr>
        <w:pStyle w:val="Heading1"/>
      </w:pPr>
      <w:r>
        <w:t>11. Jurisdiction-Configuration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field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Value / permitted setting</w:t>
            </w:r>
          </w:p>
        </w:tc>
        <w:tc>
          <w:tcPr>
            <w:tcW w:type="dxa" w:w="374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submission_channel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in_person_phone / mail_fax_email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Selects 24-hour or 7-day timer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calendar_unit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24 elapsed hours / 7 calendar days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Do not convert to business days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reasonable_production_targets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policy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volume/complexity-based milestones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Not statutory deadlines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request_form_required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discretion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yes/no by channel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Cannot impose prohibited purpose field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copy_fee_schedule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within law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format/certification/media rates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Validate against current statute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advance_payment_policy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enabled and triggers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Only permitted components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clarification_nonresponse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reminders/closure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statewide abandonment rule</w:t>
            </w:r>
          </w:p>
        </w:tc>
      </w:tr>
    </w:tbl>
    <w:p>
      <w:pPr>
        <w:pStyle w:val="Heading1"/>
      </w:pPr>
      <w:r>
        <w:t>12. Recommended Workflow States and Transitions</w:t>
      </w:r>
    </w:p>
    <w:p>
      <w:r>
        <w:rPr>
          <w:b/>
        </w:rPr>
        <w:t xml:space="preserve">Recommended state sequence: </w:t>
      </w:r>
      <w:r>
        <w:t>Received -&gt; Channel Timer Selected -&gt; Particularity Review -&gt; Acknowledged / Awaiting Clarification -&gt; Search and Review -&gt; Fee Estimate -&gt; Awaiting Payment -&gt; Production -&gt; Released / Partially Released / Denied / No Records / Closed</w:t>
      </w:r>
    </w:p>
    <w:p>
      <w:pPr>
        <w:pStyle w:val="Heading1"/>
      </w:pPr>
      <w:r>
        <w:t>13. Unresolved Questions and Local-Policy Decisions</w:t>
      </w:r>
    </w:p>
    <w:p>
      <w:pPr>
        <w:pStyle w:val="ListBullet"/>
        <w:spacing w:after="30"/>
      </w:pPr>
      <w:r>
        <w:t>What operational production milestones will the city use after a timely acknowledgment?</w:t>
      </w:r>
    </w:p>
    <w:p>
      <w:pPr>
        <w:pStyle w:val="ListBullet"/>
        <w:spacing w:after="30"/>
      </w:pPr>
      <w:r>
        <w:t>Which local copy rates and special record-type fees apply to each department?</w:t>
      </w:r>
    </w:p>
    <w:p>
      <w:pPr>
        <w:pStyle w:val="ListBullet"/>
        <w:spacing w:after="30"/>
      </w:pPr>
      <w:r>
        <w:t>Will the city require a written form, and how will oral requests be logged?</w:t>
      </w:r>
    </w:p>
    <w:p>
      <w:pPr>
        <w:pStyle w:val="ListBullet"/>
        <w:spacing w:after="30"/>
      </w:pPr>
      <w:r>
        <w:t>What local nonresponse policy will apply to clarification and payment requests?</w:t>
      </w:r>
    </w:p>
    <w:p>
      <w:pPr>
        <w:pStyle w:val="Heading1"/>
      </w:pPr>
      <w:r>
        <w:t>14. Suggestion Added During This Review</w:t>
      </w:r>
    </w:p>
    <w:p>
      <w:r>
        <w:rPr>
          <w:b/>
        </w:rPr>
        <w:t xml:space="preserve">S-017: </w:t>
      </w:r>
      <w:r>
        <w:t>Represent acknowledgment/response compliance and final production as separate obligations; select the initial response timer from the request submission channel.</w:t>
      </w:r>
    </w:p>
    <w:p>
      <w:pPr>
        <w:pStyle w:val="IntenseQuote"/>
      </w:pPr>
      <w:r>
        <w:t>This suggestion is recorded for later universal-engine review and does not alter the fixed methodology used for this state.</w:t>
      </w:r>
    </w:p>
    <w:p>
      <w:pPr>
        <w:pStyle w:val="Heading1"/>
      </w:pPr>
      <w:r>
        <w:t>15. Primary Sources</w:t>
      </w:r>
    </w:p>
    <w:p>
      <w:pPr>
        <w:pStyle w:val="ListBullet"/>
        <w:spacing w:after="40"/>
      </w:pPr>
      <w:r>
        <w:rPr>
          <w:b/>
        </w:rPr>
        <w:t>Indiana Public Access Counselor (Official APRA resources)</w:t>
      </w:r>
      <w:r>
        <w:t xml:space="preserve"> - Handbook, opinions, and current guidance. </w:t>
      </w:r>
      <w:hyperlink r:id="rId11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IN.gov FAQ - Production Timing (Official PAC-derived guidance)</w:t>
      </w:r>
      <w:r>
        <w:t xml:space="preserve"> - 24-hour, seven-day, and reasonable production explanation. </w:t>
      </w:r>
      <w:hyperlink r:id="rId12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Indiana General Assembly (Indiana Code IC 5-14-3)</w:t>
      </w:r>
      <w:r>
        <w:t xml:space="preserve"> - Current code access. </w:t>
      </w:r>
      <w:hyperlink r:id="rId13">
        <w:r>
          <w:rPr>
            <w:color w:val="2F5597"/>
            <w:u w:val="single"/>
          </w:rPr>
          <w:t>Official source</w:t>
        </w:r>
      </w:hyperlink>
    </w:p>
    <w:p>
      <w:pPr>
        <w:spacing w:before="120"/>
      </w:pPr>
      <w:r>
        <w:rPr>
          <w:b/>
        </w:rPr>
        <w:t xml:space="preserve">Implementation note: </w:t>
      </w:r>
      <w:r>
        <w:t>This document is a requirements-engineering research artifact, not legal advice. A city should validate its final configuration against current statutes, controlling decisions, its own adopted policies, and counsel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National Open Records Workflow Schema - Implementation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5597"/>
        <w:sz w:val="15"/>
      </w:rPr>
      <w:t>Indiana | Open Records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n.gov/pac/" TargetMode="External"/><Relationship Id="rId12" Type="http://schemas.openxmlformats.org/officeDocument/2006/relationships/hyperlink" Target="https://faqs.in.gov/hc/en-us/articles/115005226148-How-long-does-the-agency-have-to-give-me-the-records-I-requested" TargetMode="External"/><Relationship Id="rId13" Type="http://schemas.openxmlformats.org/officeDocument/2006/relationships/hyperlink" Target="https://iga.in.gov/laws/2026/ic/titles/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