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/>
        <w:jc w:val="center"/>
      </w:pPr>
      <w:r>
        <w:rPr>
          <w:rFonts w:ascii="Aptos Display" w:hAnsi="Aptos Display"/>
          <w:b/>
          <w:color w:val="17365D"/>
          <w:sz w:val="38"/>
        </w:rPr>
        <w:t>Illinois Public Records Workflow</w:t>
      </w:r>
    </w:p>
    <w:p>
      <w:pPr>
        <w:spacing w:after="50"/>
        <w:jc w:val="center"/>
      </w:pPr>
      <w:r>
        <w:rPr>
          <w:rFonts w:ascii="Aptos Display" w:hAnsi="Aptos Display"/>
          <w:b/>
          <w:color w:val="2F5597"/>
          <w:sz w:val="22"/>
        </w:rPr>
        <w:t>Initial Processing Reverse-Engineered into Software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20"/>
              <w:jc w:val="center"/>
            </w:pPr>
            <w:r>
              <w:rPr>
                <w:b/>
                <w:sz w:val="16"/>
              </w:rPr>
              <w:t>Primary law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 w:val="0"/>
                <w:sz w:val="16"/>
              </w:rPr>
              <w:t>Illinois Freedom of Information Act, 5 ILCS 140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20"/>
              <w:jc w:val="center"/>
            </w:pPr>
            <w:r>
              <w:rPr>
                <w:b/>
                <w:sz w:val="16"/>
              </w:rPr>
              <w:t>Research date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 w:val="0"/>
                <w:sz w:val="16"/>
              </w:rPr>
              <w:t>2026-07-22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20"/>
              <w:jc w:val="center"/>
            </w:pPr>
            <w:r>
              <w:rPr>
                <w:b/>
                <w:sz w:val="16"/>
              </w:rPr>
              <w:t>Applicability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 w:val="0"/>
                <w:sz w:val="16"/>
              </w:rPr>
              <w:t>Cities / municipal public bodies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20"/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 w:val="0"/>
                <w:sz w:val="16"/>
              </w:rPr>
              <w:t>Fixed national schema methodology</w:t>
            </w:r>
          </w:p>
        </w:tc>
      </w:tr>
    </w:tbl>
    <w:p>
      <w:pPr>
        <w:spacing w:after="50"/>
      </w:pPr>
    </w:p>
    <w:p>
      <w:pPr>
        <w:pStyle w:val="Heading1"/>
      </w:pPr>
      <w:r>
        <w:t>1. Executive Summary and Applicability</w:t>
      </w:r>
    </w:p>
    <w:p>
      <w:pPr>
        <w:spacing w:after="50"/>
      </w:pPr>
      <w:r>
        <w:t>Illinois has a multi-track statutory architecture. Standard requests use a five-business-day response period with a single five-business-day statutory extension. Commercial, recurrent-requester, and voluminous requests follow separate procedures. Effective January 1, 2026, a public body may toll its response deadline while requesting non-identifying verification that a request was submitted by a person and may deny after 30 days without verification.</w:t>
      </w:r>
    </w:p>
    <w:p>
      <w:pPr>
        <w:spacing w:after="50"/>
      </w:pPr>
      <w:r>
        <w:rPr>
          <w:b/>
        </w:rPr>
        <w:t xml:space="preserve">Core engine pattern: </w:t>
      </w:r>
      <w:r>
        <w:t>Pre-timer legal-track selection + standard/extended, commercial, recurrent, voluminous, and person-verification branches.</w:t>
      </w:r>
    </w:p>
    <w:p>
      <w:pPr>
        <w:spacing w:after="50"/>
      </w:pPr>
      <w:r>
        <w:rPr>
          <w:b/>
        </w:rPr>
        <w:t xml:space="preserve">Scope caution: </w:t>
      </w:r>
      <w:r>
        <w:t>This analysis focuses on the statewide rules applicable to cities. Agency-specific fee schedules and local administrative practices are configuration inputs, not statewide law.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Workflow function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5"/>
              </w:rPr>
              <w:t>City applicability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5 ILCS 140/3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Standard response, extensions, unduly burdensome, 2026 person verification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Applies to municipal public bodies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5 ILCS 140/3.1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Commercial-purpose requests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Separate 21-working-day track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5 ILCS 140/3.2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Recurrent requester track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Separate notices/timing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5 ILCS 140/3.6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Voluminous request notice, amendment, extension, fees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Separate nested timer track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5 ILCS 140/6 and /9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Fees and denial contents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5"/>
              </w:rPr>
              <w:t>Applies to city responses</w:t>
            </w:r>
          </w:p>
        </w:tc>
      </w:tr>
    </w:tbl>
    <w:p>
      <w:pPr>
        <w:pStyle w:val="Heading1"/>
      </w:pPr>
      <w:r>
        <w:t>3. Human-Readable Initial Processing Workflow</w:t>
      </w:r>
    </w:p>
    <w:p>
      <w:pPr>
        <w:pStyle w:val="ListNumber"/>
        <w:spacing w:after="20"/>
      </w:pPr>
      <w:r>
        <w:rPr>
          <w:b/>
        </w:rPr>
        <w:t xml:space="preserve">Validate intake form/body: </w:t>
      </w:r>
      <w:r>
        <w:t>Confirm the request content is readable and contained in the request body where current law permits the body to decline opening attachments or hyperlinks; issue any required notice.</w:t>
      </w:r>
    </w:p>
    <w:p>
      <w:pPr>
        <w:pStyle w:val="ListNumber"/>
        <w:spacing w:after="20"/>
      </w:pPr>
      <w:r>
        <w:rPr>
          <w:b/>
        </w:rPr>
        <w:t xml:space="preserve">Select legal track: </w:t>
      </w:r>
      <w:r>
        <w:t>Before creating timers, determine standard, commercial purpose, recurrent requester, voluminous, and whether person verification is invoked.</w:t>
      </w:r>
    </w:p>
    <w:p>
      <w:pPr>
        <w:pStyle w:val="ListNumber"/>
        <w:spacing w:after="20"/>
      </w:pPr>
      <w:r>
        <w:rPr>
          <w:b/>
        </w:rPr>
        <w:t xml:space="preserve">Start track-specific timer: </w:t>
      </w:r>
      <w:r>
        <w:t>Standard requests use five business days. Commercial requests use 21 working days for the specified initial response. Recurrent and voluminous requests follow their own notices and nested periods.</w:t>
      </w:r>
    </w:p>
    <w:p>
      <w:pPr>
        <w:pStyle w:val="ListNumber"/>
        <w:spacing w:after="20"/>
      </w:pPr>
      <w:r>
        <w:rPr>
          <w:b/>
        </w:rPr>
        <w:t xml:space="preserve">Verify person if authorized: </w:t>
      </w:r>
      <w:r>
        <w:t>Within five business days, request oral/written verification without demanding identifying information; toll response until verification, and permit denial after 30 days without it.</w:t>
      </w:r>
    </w:p>
    <w:p>
      <w:pPr>
        <w:pStyle w:val="ListNumber"/>
        <w:spacing w:after="20"/>
      </w:pPr>
      <w:r>
        <w:rPr>
          <w:b/>
        </w:rPr>
        <w:t xml:space="preserve">Clarify or confer: </w:t>
      </w:r>
      <w:r>
        <w:t>For an unduly burdensome categorical request, extend an opportunity to narrow before denial. Voluminous notices give a ten-business-day amendment opportunity.</w:t>
      </w:r>
    </w:p>
    <w:p>
      <w:pPr>
        <w:pStyle w:val="ListNumber"/>
        <w:spacing w:after="20"/>
      </w:pPr>
      <w:r>
        <w:rPr>
          <w:b/>
        </w:rPr>
        <w:t xml:space="preserve">Estimate and collect permitted fees: </w:t>
      </w:r>
      <w:r>
        <w:t>Apply the fee rules for the selected track, including full prepayment where authorized for commercial or voluminous requests.</w:t>
      </w:r>
    </w:p>
    <w:p>
      <w:pPr>
        <w:pStyle w:val="ListNumber"/>
        <w:spacing w:after="20"/>
      </w:pPr>
      <w:r>
        <w:rPr>
          <w:b/>
        </w:rPr>
        <w:t xml:space="preserve">Search, review, redact, and produce: </w:t>
      </w:r>
      <w:r>
        <w:t>Release nonexempt material, document withholding, and meet the selected track’s deadline or authorized extension.</w:t>
      </w:r>
    </w:p>
    <w:p>
      <w:pPr>
        <w:pStyle w:val="ListNumber"/>
        <w:spacing w:after="20"/>
      </w:pPr>
      <w:r>
        <w:rPr>
          <w:b/>
        </w:rPr>
        <w:t xml:space="preserve">Issue denial/review rights: </w:t>
      </w:r>
      <w:r>
        <w:t>Provide detailed factual and legal grounds and information about Public Access Counselor and judicial review.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Deadline or standard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Required communication / action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Clock effect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Standard request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5 business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Comply, deny, or issue statutory extension notice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Standard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5 ILCS 140/3(d)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Statutory extension reason exists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Additional 5 business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Written reason and expected response date within original period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Replaces standard due date once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§3(e)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Reasonable belief request not submitted by person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Verification request within 5 business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Oral/written verification request; no identifying info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Response clock tolled until verification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§3(j), effective 2026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No person verification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30 days after verification request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May deny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Closes verification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§3(j)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Commercial purpose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21 working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Estimate time/fees, deny, undue-burden notice/narrowing, or produce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Commercial initial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§3.1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Voluminous classification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5 business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Eight-element statutory notice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Starts 10-business-day requester amendment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§3.6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Voluminous requester amendment opportunity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10 business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Requester may amend; body then responds on statutory schedule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Nested requester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§3.6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Recurrent requester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5 business days status notice; 21-business-day substantive response framework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Statutory status/reasons and time/fee/production response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Recurrent track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§3.2</w:t>
            </w:r>
          </w:p>
        </w:tc>
      </w:tr>
    </w:tbl>
    <w:p>
      <w:pPr>
        <w:pStyle w:val="Heading1"/>
      </w:pPr>
      <w:r>
        <w:t>5. Vague, Unclear, or Overly Broad Requests</w:t>
      </w:r>
    </w:p>
    <w:p>
      <w:pPr>
        <w:pStyle w:val="ListBullet"/>
        <w:spacing w:after="20"/>
      </w:pPr>
      <w:r>
        <w:t>Ordinary ambiguity may be addressed through clarification, but no universal ordinary-clarification toll is created by the standard provision.</w:t>
      </w:r>
    </w:p>
    <w:p>
      <w:pPr>
        <w:pStyle w:val="ListBullet"/>
        <w:spacing w:after="20"/>
      </w:pPr>
      <w:r>
        <w:t>Before denying a categorical request as unduly burdensome, the city must extend an opportunity to narrow to manageable proportions and document why the burden outweighs the public interest.</w:t>
      </w:r>
    </w:p>
    <w:p>
      <w:pPr>
        <w:pStyle w:val="ListBullet"/>
        <w:spacing w:after="20"/>
      </w:pPr>
      <w:r>
        <w:t>Voluminous requests use a formal statutory ten-business-day amendment opportunity with detailed required notice content.</w:t>
      </w:r>
    </w:p>
    <w:p>
      <w:pPr>
        <w:pStyle w:val="ListBullet"/>
        <w:spacing w:after="20"/>
      </w:pPr>
      <w:r>
        <w:t>Person verification is not identity verification: the city may not demand personal, private, or identifying information to verify that the requester is a person.</w:t>
      </w:r>
    </w:p>
    <w:p>
      <w:pPr>
        <w:pStyle w:val="ListBullet"/>
        <w:spacing w:after="20"/>
      </w:pPr>
      <w:r>
        <w:t>The engine must not conflate requester verification, clarification, undue-burden narrowing, and voluminous amendment; each has different legal effects.</w:t>
      </w:r>
    </w:p>
    <w:p>
      <w:pPr>
        <w:pStyle w:val="Heading1"/>
      </w:pPr>
      <w:r>
        <w:t>6. Denial and Partial-Denial Process</w:t>
      </w:r>
    </w:p>
    <w:p>
      <w:pPr>
        <w:pStyle w:val="ListBullet"/>
        <w:spacing w:after="20"/>
      </w:pPr>
      <w:r>
        <w:t>Denials must be written and provide a detailed factual basis, specific exemption/legal authority, names/titles of responsible persons as applicable, and review rights.</w:t>
      </w:r>
    </w:p>
    <w:p>
      <w:pPr>
        <w:pStyle w:val="ListBullet"/>
        <w:spacing w:after="20"/>
      </w:pPr>
      <w:r>
        <w:t>Failure to respond within applicable deadlines is treated as a denial and can eliminate the ability to charge copying fees for a late response and to invoke certain undue-burden treatment.</w:t>
      </w:r>
    </w:p>
    <w:p>
      <w:pPr>
        <w:pStyle w:val="ListBullet"/>
        <w:spacing w:after="20"/>
      </w:pPr>
      <w:r>
        <w:t>Unduly burdensome denial requires prior narrowing opportunity and a written explanation of burden and public-interest assessment.</w:t>
      </w:r>
    </w:p>
    <w:p>
      <w:pPr>
        <w:pStyle w:val="ListBullet"/>
        <w:spacing w:after="20"/>
      </w:pPr>
      <w:r>
        <w:t>Partial release and redaction must preserve nonexempt portions.</w:t>
      </w:r>
    </w:p>
    <w:p>
      <w:pPr>
        <w:pStyle w:val="Heading1"/>
      </w:pPr>
      <w:r>
        <w:t>7. Legal Classifications, Tracks, and Operational Classifications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Classification / flag</w:t>
            </w:r>
          </w:p>
        </w:tc>
        <w:tc>
          <w:tcPr>
            <w:tcW w:type="dxa" w:w="165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Legal or operational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Timer / communication effect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Standard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Legal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5-day response + possible 5-day extension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Standard notices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Commercial purpose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Legal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21-working-day initial response; fee/time estimate and lower priority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Prepayment may be required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Recurrent requester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Legal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5-day status and 21-business-day response structure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Special notice and fees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Voluminous request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Legal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5-day classification notice, 10-day amendment, additional response/extension periods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Special electronic fees/prepayment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Person verification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Legal tolling flag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Tolls selected response deadline until verification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30-day possible denial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Unduly burdensome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Legal denial flag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Requires narrowing opportunity and balancing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Not a shortcut classification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Simple / complex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Operational only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Staffing/routing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No independent legal timer</w:t>
            </w:r>
          </w:p>
        </w:tc>
      </w:tr>
    </w:tbl>
    <w:p>
      <w:pPr>
        <w:pStyle w:val="Heading1"/>
      </w:pPr>
      <w:r>
        <w:t>8. Large Volume, Redaction, Programming, and Electronic Records</w:t>
      </w:r>
    </w:p>
    <w:p>
      <w:pPr>
        <w:pStyle w:val="ListBullet"/>
        <w:spacing w:after="20"/>
      </w:pPr>
      <w:r>
        <w:t>The system must evaluate legal track before starting the response timer because §3 expressly excludes commercial, recurrent, and voluminous requests from standard timing.</w:t>
      </w:r>
    </w:p>
    <w:p>
      <w:pPr>
        <w:pStyle w:val="ListBullet"/>
        <w:spacing w:after="20"/>
      </w:pPr>
      <w:r>
        <w:t>Current law allows a body not to open attachments or hyperlinks in electronic requests and requires a notice if request content must be placed in the body; implement malware-safe intake without losing the notice deadline.</w:t>
      </w:r>
    </w:p>
    <w:p>
      <w:pPr>
        <w:pStyle w:val="ListBullet"/>
        <w:spacing w:after="20"/>
      </w:pPr>
      <w:r>
        <w:t>Voluminous definitions and exclusions should be encoded as rules, not a free-form “large request” label.</w:t>
      </w:r>
    </w:p>
    <w:p>
      <w:pPr>
        <w:pStyle w:val="ListBullet"/>
        <w:spacing w:after="20"/>
      </w:pPr>
      <w:r>
        <w:t>Electronic fee formulas vary by track and data volume; activity and file-volume metrics must be auditable.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Fee component / trigger</w:t>
            </w:r>
          </w:p>
        </w:tc>
        <w:tc>
          <w:tcPr>
            <w:tcW w:type="dxa" w:w="3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Estimate / payment timing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Configuration treatment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Standard paper copies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First 50 letter/legal B&amp;W pages free; statutory per-page cap thereafter; actual cost for color/oversize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Quote/collect as allowed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State caps + media actual cost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Search/review standard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Generally not chargeable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Exclude absent special track/authority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Activity-level prohibition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Commercial request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Permitted search/review/retrieval and copy fees under §6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Time/fee estimate within 21-working-day response; full prepayment may be required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Commercial formula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Voluminous electronic request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Statutory electronic fees may apply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Notice/estimate; full prepayment may be required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Volume-based formula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Late response consequence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Copy fees may be barred after missed deadline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Fee engine checks compliance status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Automatic legal consequence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Estimate reconciliation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Track-specific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Final actual authorized fee and payment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Local accounting within statute</w:t>
            </w:r>
          </w:p>
        </w:tc>
      </w:tr>
    </w:tbl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20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3"/>
              </w:rPr>
              <w:t>Trigger / conditions</w:t>
            </w:r>
          </w:p>
        </w:tc>
        <w:tc>
          <w:tcPr>
            <w:tcW w:type="dxa" w:w="33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3"/>
              </w:rPr>
              <w:t>Required action &amp; communication</w:t>
            </w:r>
          </w:p>
        </w:tc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3"/>
              </w:rPr>
              <w:t>Deadline / clock effect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3"/>
              </w:rPr>
              <w:t>Configuration, applicability &amp; authority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IL-01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Track=standard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Comply/deny/extend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Within 5 business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Mandatory; cities; §3(d)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IL-02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Statutory extension condition + unused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Written reason and expected date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Additional 5 business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One extension; §3(e)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IL-03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Reasonable belief requester not person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Request non-identifying verification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Within 5 business days; toll until verified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2026 statewide; §3(j)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IL-04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No verification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May deny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After 30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State timer; §3(j)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IL-05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Track=commercial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Estimate time/fees, deny, narrow, or produce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Within 21 working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§3.1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IL-06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Track=voluminous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Eight-item notice; await amendment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Notice in 5 business days; requester 10 business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Nested timers; §3.6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IL-07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Track=recurrent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Issue status and statutory substantive response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5-day / 21-business-day structure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§3.2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IL-08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Categorical request unduly burdensome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Offer narrowing; written denial only if unresolved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Within selected track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3"/>
              </w:rPr>
              <w:t>Mandatory precondition; §3(g), §3.1</w:t>
            </w:r>
          </w:p>
        </w:tc>
      </w:tr>
    </w:tbl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Value / permitted setting</w:t>
            </w:r>
          </w:p>
        </w:tc>
        <w:tc>
          <w:tcPr>
            <w:tcW w:type="dxa" w:w="37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track_classifier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standard/commercial/recurrent/voluminous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Must run before timers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person_verification_enabled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Local choice within law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criteria and approval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No identifying information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business_vs_working_day_calendar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Statewide/local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business day / working day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Different tracks use different units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voluminous_rule_parameters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statutory thresholds/exclusions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Version by effective date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extension_reason_codes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enumerated statutory reasons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One-use control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fee_schedule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Statewide/local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standard/commercial/voluminous formulas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Compliance status affects collectability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narrowing_conference_workflow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Statewide + 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notice/template/response logging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20"/>
            </w:pPr>
            <w:r>
              <w:rPr>
                <w:sz w:val="14"/>
              </w:rPr>
              <w:t>Required before burden denial</w:t>
            </w:r>
          </w:p>
        </w:tc>
      </w:tr>
    </w:tbl>
    <w:p>
      <w:pPr>
        <w:pStyle w:val="Heading1"/>
      </w:pPr>
      <w:r>
        <w:t>12. Recommended Workflow States and Transitions</w:t>
      </w:r>
    </w:p>
    <w:p>
      <w:pPr>
        <w:spacing w:after="50"/>
      </w:pPr>
      <w:r>
        <w:rPr>
          <w:b/>
        </w:rPr>
        <w:t xml:space="preserve">Recommended state sequence: </w:t>
      </w:r>
      <w:r>
        <w:t>Received -&gt; Intake Safety / Request Body Validation -&gt; Legal Track Classified -&gt; Person Verification Requested -&gt; Awaiting Verification -&gt; Standard / Commercial / Recurrent / Voluminous Processing -&gt; Awaiting Narrowing or Amendment -&gt; Estimate / Awaiting Prepayment -&gt; Search and Review -&gt; Released / Partially Released / Denied / Deemed Denied / Closed</w:t>
      </w: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20"/>
      </w:pPr>
      <w:r>
        <w:t>What evidence and approver are required before invoking person verification?</w:t>
      </w:r>
    </w:p>
    <w:p>
      <w:pPr>
        <w:pStyle w:val="ListBullet"/>
        <w:spacing w:after="20"/>
      </w:pPr>
      <w:r>
        <w:t>How will the city maintain statutory recurrent-requester history and voluminous request calculations across departments?</w:t>
      </w:r>
    </w:p>
    <w:p>
      <w:pPr>
        <w:pStyle w:val="ListBullet"/>
        <w:spacing w:after="20"/>
      </w:pPr>
      <w:r>
        <w:t>What track-specific fee formulas and prepayment choices will the city adopt?</w:t>
      </w:r>
    </w:p>
    <w:p>
      <w:pPr>
        <w:pStyle w:val="ListBullet"/>
        <w:spacing w:after="20"/>
      </w:pPr>
      <w:r>
        <w:t>How will the engine handle a request satisfying more than one special-track definition and record the controlling selection?</w:t>
      </w:r>
    </w:p>
    <w:p>
      <w:pPr>
        <w:pStyle w:val="Heading1"/>
      </w:pPr>
      <w:r>
        <w:t>14. Suggestion Added During This Review</w:t>
      </w:r>
    </w:p>
    <w:p>
      <w:pPr>
        <w:spacing w:after="50"/>
      </w:pPr>
      <w:r>
        <w:rPr>
          <w:b/>
        </w:rPr>
        <w:t xml:space="preserve">S-018: </w:t>
      </w:r>
      <w:r>
        <w:t>Run a legal processing-track classifier before creating timers, and support nested requester-response timers, explicit tolling, and compliance consequences that alter fee authority.</w:t>
      </w:r>
    </w:p>
    <w:p>
      <w:pPr>
        <w:pStyle w:val="IntenseQuote"/>
      </w:pPr>
      <w:r>
        <w:t>This suggestion is recorded for later universal-engine review and does not alter the fixed methodology used for this state.</w:t>
      </w:r>
    </w:p>
    <w:p>
      <w:pPr>
        <w:pStyle w:val="Heading1"/>
      </w:pPr>
      <w:r>
        <w:t>15. Primary Sources</w:t>
      </w:r>
    </w:p>
    <w:p>
      <w:pPr>
        <w:pStyle w:val="ListBullet"/>
        <w:spacing w:after="20"/>
      </w:pPr>
      <w:r>
        <w:rPr>
          <w:b/>
        </w:rPr>
        <w:t>Illinois General Assembly (5 ILCS 140/3)</w:t>
      </w:r>
      <w:r>
        <w:t xml:space="preserve"> - Standard response, extension, and 2026 person verification. </w:t>
      </w:r>
      <w:hyperlink r:id="rId11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20"/>
      </w:pPr>
      <w:r>
        <w:rPr>
          <w:b/>
        </w:rPr>
        <w:t>Illinois General Assembly (5 ILCS 140/3.6)</w:t>
      </w:r>
      <w:r>
        <w:t xml:space="preserve"> - Voluminous request workflow. </w:t>
      </w:r>
      <w:hyperlink r:id="rId12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20"/>
      </w:pPr>
      <w:r>
        <w:rPr>
          <w:b/>
        </w:rPr>
        <w:t>Illinois General Assembly (Full Freedom of Information Act)</w:t>
      </w:r>
      <w:r>
        <w:t xml:space="preserve"> - Commercial, recurrent, fees, and denials. </w:t>
      </w:r>
      <w:hyperlink r:id="rId13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20"/>
      </w:pPr>
      <w:r>
        <w:rPr>
          <w:b/>
        </w:rPr>
        <w:t>Illinois Attorney General - FOIA (Public Access Counselor resources)</w:t>
      </w:r>
      <w:r>
        <w:t xml:space="preserve"> - Official guidance and review. </w:t>
      </w:r>
      <w:hyperlink r:id="rId14">
        <w:r>
          <w:rPr>
            <w:color w:val="2F5597"/>
            <w:u w:val="single"/>
          </w:rPr>
          <w:t>Official source</w:t>
        </w:r>
      </w:hyperlink>
    </w:p>
    <w:p>
      <w:pPr>
        <w:spacing w:before="120" w:after="50"/>
      </w:pPr>
      <w:r>
        <w:rPr>
          <w:b/>
        </w:rPr>
        <w:t xml:space="preserve">Implementation note: </w:t>
      </w:r>
      <w:r>
        <w:t>This document is a requirements-engineering research artifact, not legal advice. A city should validate its final configuration against current statutes, controlling decisions, its own adopted policies, and counsel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National Open Records Workflow Schema - Implementation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Illinois | Open Records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lga.gov/documents/legislation/ilcs/documents/000501400K3.htm" TargetMode="External"/><Relationship Id="rId12" Type="http://schemas.openxmlformats.org/officeDocument/2006/relationships/hyperlink" Target="https://ilga.gov/documents/legislation/ilcs/documents/000501400K3.6.htm" TargetMode="External"/><Relationship Id="rId13" Type="http://schemas.openxmlformats.org/officeDocument/2006/relationships/hyperlink" Target="https://www.ilga.gov/legislation/ILCS/Articles?ActID=85&amp;ChapterID=2" TargetMode="External"/><Relationship Id="rId14" Type="http://schemas.openxmlformats.org/officeDocument/2006/relationships/hyperlink" Target="https://www.illinoisattorneygeneral.gov/open-and-honest-government/pa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