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8"/>
        </w:rPr>
        <w:t>Kentucky Public Records Workflow</w:t>
      </w:r>
    </w:p>
    <w:p>
      <w:pPr>
        <w:spacing w:after="100"/>
        <w:jc w:val="center"/>
      </w:pPr>
      <w:r>
        <w:rPr>
          <w:rFonts w:ascii="Aptos Display" w:hAnsi="Aptos Display"/>
          <w:b/>
          <w:color w:val="2F5597"/>
          <w:sz w:val="22"/>
        </w:rPr>
        <w:t>Initial Processing Reverse-Engineered into Software Configuration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Primary law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Kentucky Open Records Act, KRS 61.870-61.884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Research date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2026-07-22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Applicability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Cities / municipal public bodies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Fixed national schema methodology</w:t>
            </w:r>
          </w:p>
        </w:tc>
      </w:tr>
    </w:tbl>
    <w:p/>
    <w:p>
      <w:pPr>
        <w:pStyle w:val="Heading1"/>
      </w:pPr>
      <w:r>
        <w:t>1. Executive Summary and Applicability</w:t>
      </w:r>
    </w:p>
    <w:p>
      <w:r>
        <w:t>Kentucky generally requires a written determination within five business days. A city must decide whether to comply and notify the requester in writing; when records are in active use, storage, or otherwise unavailable, it must explain the cause and provide the earliest availability date. Kentucky also has legal requester-eligibility and commercial-purpose classifications that materially affect access and fees.</w:t>
      </w:r>
    </w:p>
    <w:p>
      <w:r>
        <w:rPr>
          <w:b/>
        </w:rPr>
        <w:t xml:space="preserve">Core engine pattern: </w:t>
      </w:r>
      <w:r>
        <w:t>Five-business-day written determination + resident/eligible-requester gate + commercial-purpose fee branch + burden/disruption defense.</w:t>
      </w:r>
    </w:p>
    <w:p>
      <w:r>
        <w:rPr>
          <w:b/>
        </w:rPr>
        <w:t xml:space="preserve">Scope caution: </w:t>
      </w:r>
      <w:r>
        <w:t>This analysis focuses on the statewide rules applicable to cities. Agency-specific fee schedules and local administrative practices are configuration inputs, not statewide law.</w:t>
      </w:r>
    </w:p>
    <w:p>
      <w:pPr>
        <w:pStyle w:val="Heading1"/>
      </w:pPr>
      <w:r>
        <w:t>2. Authority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95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482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Workflow function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City applicability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KRS 61.872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Resident access, written application, inspection/copy process, burden/disruption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city public agencies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KRS 61.874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Copies, actual cost, advance payment, commercial-purpose fees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cities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KRS 61.880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Five-business-day response, denial contents, Attorney General appeal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cities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Kentucky Attorney General OROM guidance/decisions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Binding administrative decisions and implementation guidance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Highly relevant to city configuration</w:t>
            </w:r>
          </w:p>
        </w:tc>
      </w:tr>
    </w:tbl>
    <w:p>
      <w:pPr>
        <w:pStyle w:val="Heading1"/>
      </w:pPr>
      <w:r>
        <w:t>3. Human-Readable Initial Processing Workflow</w:t>
      </w:r>
    </w:p>
    <w:p>
      <w:pPr>
        <w:pStyle w:val="ListNumber"/>
        <w:spacing w:after="40"/>
      </w:pPr>
      <w:r>
        <w:rPr>
          <w:b/>
        </w:rPr>
        <w:t xml:space="preserve">Validate eligible requester: </w:t>
      </w:r>
      <w:r>
        <w:t>Determine whether the requester fits Kentucky’s statutory resident/eligible-requester definition and capture only evidence authorized by current law/policy.</w:t>
      </w:r>
    </w:p>
    <w:p>
      <w:pPr>
        <w:pStyle w:val="ListNumber"/>
        <w:spacing w:after="40"/>
      </w:pPr>
      <w:r>
        <w:rPr>
          <w:b/>
        </w:rPr>
        <w:t xml:space="preserve">Validate written application: </w:t>
      </w:r>
      <w:r>
        <w:t>Confirm delivery to the official custodian and that the application describes the records to be inspected or, for mailed copies, precisely describes readily available records.</w:t>
      </w:r>
    </w:p>
    <w:p>
      <w:pPr>
        <w:pStyle w:val="ListNumber"/>
        <w:spacing w:after="40"/>
      </w:pPr>
      <w:r>
        <w:rPr>
          <w:b/>
        </w:rPr>
        <w:t xml:space="preserve">Start five-business-day timer: </w:t>
      </w:r>
      <w:r>
        <w:t>Within five business days, issue a written determination granting, denying, partially granting, or explaining delay/earliest availability.</w:t>
      </w:r>
    </w:p>
    <w:p>
      <w:pPr>
        <w:pStyle w:val="ListNumber"/>
        <w:spacing w:after="40"/>
      </w:pPr>
      <w:r>
        <w:rPr>
          <w:b/>
        </w:rPr>
        <w:t xml:space="preserve">Clarify if description inadequate: </w:t>
      </w:r>
      <w:r>
        <w:t>Ask the requester to identify records more precisely; do not silently suspend the five-day determination obligation unless controlling authority supports that result.</w:t>
      </w:r>
    </w:p>
    <w:p>
      <w:pPr>
        <w:pStyle w:val="ListNumber"/>
        <w:spacing w:after="40"/>
      </w:pPr>
      <w:r>
        <w:rPr>
          <w:b/>
        </w:rPr>
        <w:t xml:space="preserve">Classify purpose and burden: </w:t>
      </w:r>
      <w:r>
        <w:t>Determine ordinary versus commercial purpose, and whether compliance would impose an unreasonable burden or repeated disruption supported by clear and convincing evidence.</w:t>
      </w:r>
    </w:p>
    <w:p>
      <w:pPr>
        <w:pStyle w:val="ListNumber"/>
        <w:spacing w:after="40"/>
      </w:pPr>
      <w:r>
        <w:rPr>
          <w:b/>
        </w:rPr>
        <w:t xml:space="preserve">Estimate and advance payment: </w:t>
      </w:r>
      <w:r>
        <w:t>Calculate actual reproduction cost for ordinary requests or permitted commercial-purpose fees; require advance payment if the city invokes that authority.</w:t>
      </w:r>
    </w:p>
    <w:p>
      <w:pPr>
        <w:pStyle w:val="ListNumber"/>
        <w:spacing w:after="40"/>
      </w:pPr>
      <w:r>
        <w:rPr>
          <w:b/>
        </w:rPr>
        <w:t xml:space="preserve">Produce and segregate: </w:t>
      </w:r>
      <w:r>
        <w:t>Provide inspection or copies, redact exempt portions, and communicate specific exemption and application for withheld records.</w:t>
      </w:r>
    </w:p>
    <w:p>
      <w:pPr>
        <w:pStyle w:val="ListNumber"/>
        <w:spacing w:after="40"/>
      </w:pPr>
      <w:r>
        <w:rPr>
          <w:b/>
        </w:rPr>
        <w:t xml:space="preserve">Appeal-ready closure: </w:t>
      </w:r>
      <w:r>
        <w:t>Preserve the request, response, records reviewed, and fee/burden evidence for possible Attorney General appeal.</w:t>
      </w:r>
    </w:p>
    <w:p>
      <w:pPr>
        <w:pStyle w:val="Heading1"/>
      </w:pPr>
      <w:r>
        <w:t>4. Deadline and Required-Communication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Deadline or standard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Required communication / action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Clock effect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Authority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application received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5 business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determination whether city will comply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Initial determination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KRS 61.880(1)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Records in active use/storage/not otherwise available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5-day response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Detailed cause and earliest date/place/time of availability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Sets delayed-production commitment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KRS 61.872(5); 61.880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Full/partial denial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5-day response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Specific exception and brief explanation how it applies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Ends determination / opens appeal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KRS 61.880(1)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Advance payment invoked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copies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Fee amount/estimate and payment instructions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Awaiting-payment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KRS 61.874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Unreasonable burden/disruption refusal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5-day determination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factual basis sufficient for clear-and-convincing standard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Denial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KRS 61.872(6)</w:t>
            </w:r>
          </w:p>
        </w:tc>
      </w:tr>
    </w:tbl>
    <w:p>
      <w:pPr>
        <w:pStyle w:val="Heading1"/>
      </w:pPr>
      <w:r>
        <w:t>5. Vague, Unclear, or Overly Broad Requests</w:t>
      </w:r>
    </w:p>
    <w:p>
      <w:pPr>
        <w:pStyle w:val="ListBullet"/>
        <w:spacing w:after="30"/>
      </w:pPr>
      <w:r>
        <w:t>The application must describe records; requests for copies by mail require precision and records that are readily available.</w:t>
      </w:r>
    </w:p>
    <w:p>
      <w:pPr>
        <w:pStyle w:val="ListBullet"/>
        <w:spacing w:after="30"/>
      </w:pPr>
      <w:r>
        <w:t>Kentucky law and Attorney General decisions often focus on whether a request describes records rather than asks broad questions or requires research. A city should offer clarification where feasible.</w:t>
      </w:r>
    </w:p>
    <w:p>
      <w:pPr>
        <w:pStyle w:val="ListBullet"/>
        <w:spacing w:after="30"/>
      </w:pPr>
      <w:r>
        <w:t>No universal statutory toll/restart provision was identified for ordinary clarification. Issue a compliant written determination by day five.</w:t>
      </w:r>
    </w:p>
    <w:p>
      <w:pPr>
        <w:pStyle w:val="ListBullet"/>
        <w:spacing w:after="30"/>
      </w:pPr>
      <w:r>
        <w:t>No general statewide abandonment period for failure to clarify was identified; local closure is a configuration decision.</w:t>
      </w:r>
    </w:p>
    <w:p>
      <w:pPr>
        <w:pStyle w:val="ListBullet"/>
        <w:spacing w:after="30"/>
      </w:pPr>
      <w:r>
        <w:t>Residency/eligibility verification is a separate intake issue and should not be mixed with scope clarification.</w:t>
      </w:r>
    </w:p>
    <w:p>
      <w:pPr>
        <w:pStyle w:val="Heading1"/>
      </w:pPr>
      <w:r>
        <w:t>6. Denial and Partial-Denial Process</w:t>
      </w:r>
    </w:p>
    <w:p>
      <w:pPr>
        <w:pStyle w:val="ListBullet"/>
        <w:spacing w:after="30"/>
      </w:pPr>
      <w:r>
        <w:t>A denial must cite the specific exception and briefly explain how it applies to the withheld records.</w:t>
      </w:r>
    </w:p>
    <w:p>
      <w:pPr>
        <w:pStyle w:val="ListBullet"/>
        <w:spacing w:after="30"/>
      </w:pPr>
      <w:r>
        <w:t>An unreasonable-burden or repeated-disruption denial requires clear and convincing evidence; volume alone should not trigger automatic denial.</w:t>
      </w:r>
    </w:p>
    <w:p>
      <w:pPr>
        <w:pStyle w:val="ListBullet"/>
        <w:spacing w:after="30"/>
      </w:pPr>
      <w:r>
        <w:t>Partial release is required where nonexempt portions can be separated.</w:t>
      </w:r>
    </w:p>
    <w:p>
      <w:pPr>
        <w:pStyle w:val="ListBullet"/>
        <w:spacing w:after="30"/>
      </w:pPr>
      <w:r>
        <w:t>The response should preserve Attorney General appeal rights and the administrative record necessary for review.</w:t>
      </w:r>
    </w:p>
    <w:p>
      <w:pPr>
        <w:pStyle w:val="Heading1"/>
      </w:pPr>
      <w:r>
        <w:t>7. Legal Classifications, Tracks, and Operational Classifications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Classification / flag</w:t>
            </w:r>
          </w:p>
        </w:tc>
        <w:tc>
          <w:tcPr>
            <w:tcW w:type="dxa" w:w="165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Legal or operational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25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Timer / communication effect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Statutory resident / eligible requester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access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Determines entitlement under current Act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Validate before substantive processing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Ordinary vs commercial purpose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fee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Commercial use permits broader fee formula/contract controls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Fee notice/advance payment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Unreasonable burden / repeated disruption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defense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May support refusal on clear and convincing evidence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Written detailed determination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Inspection vs mailed copies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service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Precision/readily-available requirements and fee treatment differ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Same 5-day determination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Simple / complex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Operational only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Routing and projected completion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different determination deadline</w:t>
            </w:r>
          </w:p>
        </w:tc>
      </w:tr>
    </w:tbl>
    <w:p>
      <w:pPr>
        <w:pStyle w:val="Heading1"/>
      </w:pPr>
      <w:r>
        <w:t>8. Large Volume, Redaction, Programming, and Electronic Records</w:t>
      </w:r>
    </w:p>
    <w:p>
      <w:pPr>
        <w:pStyle w:val="ListBullet"/>
        <w:spacing w:after="30"/>
      </w:pPr>
      <w:r>
        <w:t>The city is not required to create a record or compile information that does not exist as a public record; distinguish existing database output from a new custom analysis.</w:t>
      </w:r>
    </w:p>
    <w:p>
      <w:pPr>
        <w:pStyle w:val="ListBullet"/>
        <w:spacing w:after="30"/>
      </w:pPr>
      <w:r>
        <w:t>Actual-cost fees for ordinary requests exclude staff costs beyond lawful reproduction components; commercial-purpose fees can include broader production/personnel costs and a reasonable return as authorized.</w:t>
      </w:r>
    </w:p>
    <w:p>
      <w:pPr>
        <w:pStyle w:val="ListBullet"/>
        <w:spacing w:after="30"/>
      </w:pPr>
      <w:r>
        <w:t>Redaction supports partial disclosure and does not create a different five-day response track.</w:t>
      </w:r>
    </w:p>
    <w:p>
      <w:pPr>
        <w:pStyle w:val="ListBullet"/>
        <w:spacing w:after="30"/>
      </w:pPr>
      <w:r>
        <w:t>Attorney General decisions are a continuing source of operational detail; store rule-source dates and decision citations.</w:t>
      </w:r>
    </w:p>
    <w:p>
      <w:pPr>
        <w:pStyle w:val="Heading1"/>
      </w:pPr>
      <w:r>
        <w:t>9. Fee Estimate, Deposit, Payment, and Reconciliation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Fee component / trigger</w:t>
            </w:r>
          </w:p>
        </w:tc>
        <w:tc>
          <w:tcPr>
            <w:tcW w:type="dxa" w:w="367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Statewide rule</w:t>
            </w:r>
          </w:p>
        </w:tc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Estimate / payment timing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treatment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Inspection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Generally free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Arrange access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copy fee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Ordinary copies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Reasonable fee not exceeding actual reproduction cost; excludes staff cost as defined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Advance payment may be required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rate constrained by statute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Nonstandard media / electronic mechanism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Actual cost of reproduction/mechanical processing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Estimate/payment before delivery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Media-specific actual cost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Commercial purpose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Reasonable fee may include production/personnel costs and reasonable return under statute/agreement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Written estimate/agreement and advance payment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purpose classification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 threshold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universal mandatory dollar threshold identified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 needed when advance payment or commercial fee is invoked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policy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Final reconciliation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Actual authorized cost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Collect/refund difference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accounting workflow</w:t>
            </w:r>
          </w:p>
        </w:tc>
      </w:tr>
    </w:tbl>
    <w:p>
      <w:pPr>
        <w:pStyle w:val="Heading1"/>
      </w:pPr>
      <w:r>
        <w:t>10. Normalized Software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208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 / conditions</w:t>
            </w:r>
          </w:p>
        </w:tc>
        <w:tc>
          <w:tcPr>
            <w:tcW w:type="dxa" w:w="33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Required action &amp; communication</w:t>
            </w:r>
          </w:p>
        </w:tc>
        <w:tc>
          <w:tcPr>
            <w:tcW w:type="dxa" w:w="18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Deadline / clock effect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Configuration, applicability &amp; authority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KY-01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application from eligible requester received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Determine compliance and notify in writing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5 business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cities; KRS 61.880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KY-02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Records unavailable due active use/storage/other cause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Detailed cause + earliest availability date/place/time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5-day response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 delayed branch; KRS 61.872(5)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KY-03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Full/partial denial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Specific exception + brief application explanation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5 business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KRS 61.880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KY-04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Description insufficient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Seek clarification or issue reasoned determination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express toll/reset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Human validation; KRS 61.872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KY-05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Unreasonable burden or repeated disruption claimed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Develop clear-and-convincing evidence; written refusal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determination period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High-evidence defense; KRS 61.872(6)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KY-06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Commercial purpose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Apply commercial fee authority and agreement controls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use/copies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Legal fee track; KRS 61.874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KY-07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Advance payment invoked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Issue estimate/amount and await payment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copies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Discretionary; KRS 61.874</w:t>
            </w:r>
          </w:p>
        </w:tc>
      </w:tr>
    </w:tbl>
    <w:p>
      <w:pPr>
        <w:pStyle w:val="Heading1"/>
      </w:pPr>
      <w:r>
        <w:t>11. Jurisdiction-Configuration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field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 type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Value / permitted setting</w:t>
            </w:r>
          </w:p>
        </w:tc>
        <w:tc>
          <w:tcPr>
            <w:tcW w:type="dxa" w:w="374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requester_eligibility_rule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resident/eligible categories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Version to current statute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eligibility_verification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within law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accepted evidence and exceptions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Avoid unnecessary personal data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business_calendar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5-business-day calculation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City holidays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clarification_workflow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notice/reminder/closure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automatic toll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ordinary_copy_rates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within law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actual reproduction costs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Exclude impermissible staff cost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commercial_fee_formula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Statewide/local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personnel/production/reasonable return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Human purpose determination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burden_denial_approval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governance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evidence checklist and senior/legal approval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Clear-and-convincing standard</w:t>
            </w:r>
          </w:p>
        </w:tc>
      </w:tr>
    </w:tbl>
    <w:p>
      <w:pPr>
        <w:pStyle w:val="Heading1"/>
      </w:pPr>
      <w:r>
        <w:t>12. Recommended Workflow States and Transitions</w:t>
      </w:r>
    </w:p>
    <w:p>
      <w:r>
        <w:rPr>
          <w:b/>
        </w:rPr>
        <w:t xml:space="preserve">Recommended state sequence: </w:t>
      </w:r>
      <w:r>
        <w:t>Received -&gt; Eligibility Review -&gt; Description Review -&gt; Determination Due -&gt; Awaiting Clarification -&gt; Delayed with Earliest Date -&gt; Fee Estimate / Commercial Agreement -&gt; Awaiting Payment -&gt; Search / Review / Redaction -&gt; Released / Partially Released / Denied / Appealed / Closed</w:t>
      </w:r>
    </w:p>
    <w:p>
      <w:pPr>
        <w:pStyle w:val="Heading1"/>
      </w:pPr>
      <w:r>
        <w:t>13. Unresolved Questions and Local-Policy Decisions</w:t>
      </w:r>
    </w:p>
    <w:p>
      <w:pPr>
        <w:pStyle w:val="ListBullet"/>
        <w:spacing w:after="30"/>
      </w:pPr>
      <w:r>
        <w:t>What evidence will the city accept to verify statutory requester eligibility?</w:t>
      </w:r>
    </w:p>
    <w:p>
      <w:pPr>
        <w:pStyle w:val="ListBullet"/>
        <w:spacing w:after="30"/>
      </w:pPr>
      <w:r>
        <w:t>What local actual-reproduction rates and commercial-purpose fee methodology will be adopted?</w:t>
      </w:r>
    </w:p>
    <w:p>
      <w:pPr>
        <w:pStyle w:val="ListBullet"/>
        <w:spacing w:after="30"/>
      </w:pPr>
      <w:r>
        <w:t>Who may approve an unreasonable-burden denial under the clear-and-convincing standard?</w:t>
      </w:r>
    </w:p>
    <w:p>
      <w:pPr>
        <w:pStyle w:val="ListBullet"/>
        <w:spacing w:after="30"/>
      </w:pPr>
      <w:r>
        <w:t>How will clarification be handled while ensuring a written day-five determination?</w:t>
      </w:r>
    </w:p>
    <w:p>
      <w:pPr>
        <w:pStyle w:val="Heading1"/>
      </w:pPr>
      <w:r>
        <w:t>14. Suggestion Added During This Review</w:t>
      </w:r>
    </w:p>
    <w:p>
      <w:r>
        <w:rPr>
          <w:b/>
        </w:rPr>
        <w:t xml:space="preserve">S-019: </w:t>
      </w:r>
      <w:r>
        <w:t>Model requester eligibility and request purpose as separate legal classifications: eligibility controls access, while commercial purpose primarily changes fee and use rules without changing the standard determination deadline.</w:t>
      </w:r>
    </w:p>
    <w:p>
      <w:pPr>
        <w:pStyle w:val="IntenseQuote"/>
      </w:pPr>
      <w:r>
        <w:t>This suggestion is recorded for later universal-engine review and does not alter the fixed methodology used for this state.</w:t>
      </w:r>
    </w:p>
    <w:p>
      <w:pPr>
        <w:pStyle w:val="Heading1"/>
      </w:pPr>
      <w:r>
        <w:t>15. Primary Sources</w:t>
      </w:r>
    </w:p>
    <w:p>
      <w:pPr>
        <w:pStyle w:val="ListBullet"/>
        <w:spacing w:after="40"/>
      </w:pPr>
      <w:r>
        <w:rPr>
          <w:b/>
        </w:rPr>
        <w:t>Kentucky Legislature - Chapter 61 (KRS 61.870-61.884)</w:t>
      </w:r>
      <w:r>
        <w:t xml:space="preserve"> - Current statutory chapter. </w:t>
      </w:r>
      <w:hyperlink r:id="rId11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Kentucky Attorney General - OROM Outline (Official guidance)</w:t>
      </w:r>
      <w:r>
        <w:t xml:space="preserve"> - Interpretive outline. </w:t>
      </w:r>
      <w:hyperlink r:id="rId12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Kentucky Attorney General - Open Records/Open Meetings (Official decisions and guide)</w:t>
      </w:r>
      <w:r>
        <w:t xml:space="preserve"> - Appeals, decisions, and current guide. </w:t>
      </w:r>
      <w:hyperlink r:id="rId13">
        <w:r>
          <w:rPr>
            <w:color w:val="2F5597"/>
            <w:u w:val="single"/>
          </w:rPr>
          <w:t>Official source</w:t>
        </w:r>
      </w:hyperlink>
    </w:p>
    <w:p>
      <w:pPr>
        <w:spacing w:before="120"/>
      </w:pPr>
      <w:r>
        <w:rPr>
          <w:b/>
        </w:rPr>
        <w:t xml:space="preserve">Implementation note: </w:t>
      </w:r>
      <w:r>
        <w:t>This document is a requirements-engineering research artifact, not legal advice. A city should validate its final configuration against current statutes, controlling decisions, its own adopted policies, and counsel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>National Open Records Workflow Schema - Implementation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F5597"/>
        <w:sz w:val="15"/>
      </w:rPr>
      <w:t>Kentucky | Open Records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pps.legislature.ky.gov/law/statutes/chapter.aspx?id=37294" TargetMode="External"/><Relationship Id="rId12" Type="http://schemas.openxmlformats.org/officeDocument/2006/relationships/hyperlink" Target="https://www.ag.ky.gov/Resources/orom/Pages/outline.aspx" TargetMode="External"/><Relationship Id="rId13" Type="http://schemas.openxmlformats.org/officeDocument/2006/relationships/hyperlink" Target="https://www.ag.ky.gov/Resources/orom/Pages/default.aspx/1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