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8"/>
        </w:rPr>
        <w:t>Louisiana Public Records Workflow</w:t>
      </w:r>
    </w:p>
    <w:p>
      <w:pPr>
        <w:spacing w:after="100"/>
        <w:jc w:val="center"/>
      </w:pPr>
      <w:r>
        <w:rPr>
          <w:rFonts w:ascii="Aptos Display" w:hAnsi="Aptos Display"/>
          <w:b/>
          <w:color w:val="2F5597"/>
          <w:sz w:val="22"/>
        </w:rPr>
        <w:t>Initial Processing Reverse-Engineered into Software Configuration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Primary law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Louisiana Public Records Law, La. R.S. 44:1 et seq.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Research date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2026-07-22</w:t>
            </w:r>
          </w:p>
        </w:tc>
      </w:tr>
      <w:tr>
        <w:trPr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Applicability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Cities / municipal public bodies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Fixed national schema methodology</w:t>
            </w:r>
          </w:p>
        </w:tc>
      </w:tr>
    </w:tbl>
    <w:p/>
    <w:p>
      <w:pPr>
        <w:pStyle w:val="Heading1"/>
      </w:pPr>
      <w:r>
        <w:t>1. Executive Summary and Applicability</w:t>
      </w:r>
    </w:p>
    <w:p>
      <w:r>
        <w:t>Louisiana branches processing according to record availability and the type of determination needed. Immediately available records must be presented immediately. Records in active use require a prompt written certificate fixing a day and hour within three days. A requester may sue after five days without a written determination or a reasonable time estimate, and exemption determinations must be written within five days with the legal basis.</w:t>
      </w:r>
    </w:p>
    <w:p>
      <w:r>
        <w:rPr>
          <w:b/>
        </w:rPr>
        <w:t xml:space="preserve">Core engine pattern: </w:t>
      </w:r>
      <w:r>
        <w:t>Availability-condition branching + immediate/three-day/five-day response paths + advance fee notice/payment for copies.</w:t>
      </w:r>
    </w:p>
    <w:p>
      <w:r>
        <w:rPr>
          <w:b/>
        </w:rPr>
        <w:t xml:space="preserve">Scope caution: </w:t>
      </w:r>
      <w:r>
        <w:t>This analysis focuses on the statewide rules applicable to cities. Agency-specific fee schedules and local administrative practices are configuration inputs, not statewide law.</w:t>
      </w:r>
    </w:p>
    <w:p>
      <w:pPr>
        <w:pStyle w:val="Heading1"/>
      </w:pPr>
      <w:r>
        <w:t>2. Authority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95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482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Workflow function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City applicability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La. R.S. 44:32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Access, fees, examination, five-day exemption determination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municipal custodians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La. R.S. 44:33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Immediate availability, active-use certificate, segregation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municipal records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La. R.S. 44:34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No-custody certificate and locating information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custodians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La. R.S. 44:35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Five-day enforcement trigger and reasonable time estimate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request enforcement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La. R.S. 44:33.1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Custodian contact information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Applies to public bodies including local government</w:t>
            </w:r>
          </w:p>
        </w:tc>
      </w:tr>
    </w:tbl>
    <w:p>
      <w:pPr>
        <w:pStyle w:val="Heading1"/>
      </w:pPr>
      <w:r>
        <w:t>3. Human-Readable Initial Processing Workflow</w:t>
      </w:r>
    </w:p>
    <w:p>
      <w:pPr>
        <w:pStyle w:val="ListNumber"/>
        <w:spacing w:after="40"/>
      </w:pPr>
      <w:r>
        <w:rPr>
          <w:b/>
        </w:rPr>
        <w:t xml:space="preserve">Receive by custodian: </w:t>
      </w:r>
      <w:r>
        <w:t>Capture the request and route to the designated custodian whose contact information should be publicly available.</w:t>
      </w:r>
    </w:p>
    <w:p>
      <w:pPr>
        <w:pStyle w:val="ListNumber"/>
        <w:spacing w:after="40"/>
      </w:pPr>
      <w:r>
        <w:rPr>
          <w:b/>
        </w:rPr>
        <w:t xml:space="preserve">Check specificity only if necessary: </w:t>
      </w:r>
      <w:r>
        <w:t>A custodian may inquire about specificity when unable to ascertain the requested records; otherwise avoid purpose inquiries beyond statutory age/identity provisions.</w:t>
      </w:r>
    </w:p>
    <w:p>
      <w:pPr>
        <w:pStyle w:val="ListNumber"/>
        <w:spacing w:after="40"/>
      </w:pPr>
      <w:r>
        <w:rPr>
          <w:b/>
        </w:rPr>
        <w:t xml:space="preserve">Classify availability branch: </w:t>
      </w:r>
      <w:r>
        <w:t>Determine whether records are immediately available, in active use, require more than five days for collection/segregation/redaction/review, raise an exemption question, or are outside custody/control.</w:t>
      </w:r>
    </w:p>
    <w:p>
      <w:pPr>
        <w:pStyle w:val="ListNumber"/>
        <w:spacing w:after="40"/>
      </w:pPr>
      <w:r>
        <w:rPr>
          <w:b/>
        </w:rPr>
        <w:t xml:space="preserve">Send branch-specific communication: </w:t>
      </w:r>
      <w:r>
        <w:t>Present immediately; issue active-use certificate with appointment within three days; provide written determination or reasonable time estimate within five days; or issue detailed no-custody certificate.</w:t>
      </w:r>
    </w:p>
    <w:p>
      <w:pPr>
        <w:pStyle w:val="ListNumber"/>
        <w:spacing w:after="40"/>
      </w:pPr>
      <w:r>
        <w:rPr>
          <w:b/>
        </w:rPr>
        <w:t xml:space="preserve">Narrow substantial disruption: </w:t>
      </w:r>
      <w:r>
        <w:t>If fulfillment would substantially disrupt required operations, make reasonable attempts to narrow/specify before denial.</w:t>
      </w:r>
    </w:p>
    <w:p>
      <w:pPr>
        <w:pStyle w:val="ListNumber"/>
        <w:spacing w:after="40"/>
      </w:pPr>
      <w:r>
        <w:rPr>
          <w:b/>
        </w:rPr>
        <w:t xml:space="preserve">Estimate and collect fees: </w:t>
      </w:r>
      <w:r>
        <w:t>For copies, apply the city’s posted reasonable fee schedule, notify the requester of amount in advance, and require advance payment if the city elects to do so.</w:t>
      </w:r>
    </w:p>
    <w:p>
      <w:pPr>
        <w:pStyle w:val="ListNumber"/>
        <w:spacing w:after="40"/>
      </w:pPr>
      <w:r>
        <w:rPr>
          <w:b/>
        </w:rPr>
        <w:t xml:space="preserve">Segregate and release: </w:t>
      </w:r>
      <w:r>
        <w:t>Separate releasable material, state in writing if segregation is unreasonably burdensome/expensive, and complete production on the committed schedule.</w:t>
      </w:r>
    </w:p>
    <w:p>
      <w:pPr>
        <w:pStyle w:val="ListNumber"/>
        <w:spacing w:after="40"/>
      </w:pPr>
      <w:r>
        <w:rPr>
          <w:b/>
        </w:rPr>
        <w:t xml:space="preserve">Close with determination: </w:t>
      </w:r>
      <w:r>
        <w:t>Provide full/partial access, written exemption basis, no-custody certificate, or a documented disruption decision.</w:t>
      </w:r>
    </w:p>
    <w:p>
      <w:pPr>
        <w:pStyle w:val="Heading1"/>
      </w:pPr>
      <w:r>
        <w:t>4. Deadline and Required-Communication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Deadline or standard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Required communication / action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Clock effect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Authority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Record immediately available and not in active use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Immediately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Present record for inspection/copying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Immediate branch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La. R.S. 44:33(B)(1)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Record in active use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Prompt certificate; appointment within 3 days excluding weekends/holidays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certificate and fixed day/hour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Three-day availability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§44:33(B)(1)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Exemption/public-record question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5 days excluding weekends/holidays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determination, reasons, and legal basis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Five-day determination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§44:32(D)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written determination or time estimate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After passage of 5 days excluding weekends/holidays requester may sue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Provide determination or reasonable time estimate before enforcement point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Five-day response safeguard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§44:35(A)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custody/control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Promptly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Detailed written certificate with reason, location/current custodian/removal facts where known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No-custody branch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§44:34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Copy fee charged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 advance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Notice of amount; advance payment may be required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Awaiting-payment branch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§44:32</w:t>
            </w:r>
          </w:p>
        </w:tc>
      </w:tr>
    </w:tbl>
    <w:p>
      <w:pPr>
        <w:pStyle w:val="Heading1"/>
      </w:pPr>
      <w:r>
        <w:t>5. Vague, Unclear, or Overly Broad Requests</w:t>
      </w:r>
    </w:p>
    <w:p>
      <w:pPr>
        <w:pStyle w:val="ListBullet"/>
        <w:spacing w:after="30"/>
      </w:pPr>
      <w:r>
        <w:t>The custodian may inquire about specificity only when unable to ascertain the records sought.</w:t>
      </w:r>
    </w:p>
    <w:p>
      <w:pPr>
        <w:pStyle w:val="ListBullet"/>
        <w:spacing w:after="30"/>
      </w:pPr>
      <w:r>
        <w:t>If a request would substantially disrupt required operations, the custodian should make reasonable attempts to narrow or specify it before denial.</w:t>
      </w:r>
    </w:p>
    <w:p>
      <w:pPr>
        <w:pStyle w:val="ListBullet"/>
        <w:spacing w:after="30"/>
      </w:pPr>
      <w:r>
        <w:t>No universal clarification toll/restart or requester-abandonment period was identified; the engine should preserve the five-day determination/time-estimate safeguard unless controlling authority supports another result.</w:t>
      </w:r>
    </w:p>
    <w:p>
      <w:pPr>
        <w:pStyle w:val="ListBullet"/>
        <w:spacing w:after="30"/>
      </w:pPr>
      <w:r>
        <w:t>Age/identity inquiries permitted by §44:32 are not a general-purpose justification requirement. Purpose should not be a mandatory city intake field absent specific authority.</w:t>
      </w:r>
    </w:p>
    <w:p>
      <w:pPr>
        <w:pStyle w:val="ListBullet"/>
        <w:spacing w:after="30"/>
      </w:pPr>
      <w:r>
        <w:t>Clarification and disruption-narrowing should be logged separately from exemption review.</w:t>
      </w:r>
    </w:p>
    <w:p>
      <w:pPr>
        <w:pStyle w:val="Heading1"/>
      </w:pPr>
      <w:r>
        <w:t>6. Denial and Partial-Denial Process</w:t>
      </w:r>
    </w:p>
    <w:p>
      <w:pPr>
        <w:pStyle w:val="ListBullet"/>
        <w:spacing w:after="30"/>
      </w:pPr>
      <w:r>
        <w:t>When the custodian questions whether a record is public, a written determination must be issued within five days excluding weekends and legal holidays, with reasons and legal basis.</w:t>
      </w:r>
    </w:p>
    <w:p>
      <w:pPr>
        <w:pStyle w:val="ListBullet"/>
        <w:spacing w:after="30"/>
      </w:pPr>
      <w:r>
        <w:t>A substantial-disruption denial should follow reasonable narrowing attempts and document operational evidence.</w:t>
      </w:r>
    </w:p>
    <w:p>
      <w:pPr>
        <w:pStyle w:val="ListBullet"/>
        <w:spacing w:after="30"/>
      </w:pPr>
      <w:r>
        <w:t>If segregation is unreasonably burdensome or expensive, the official must state that in writing and identify the record location.</w:t>
      </w:r>
    </w:p>
    <w:p>
      <w:pPr>
        <w:pStyle w:val="ListBullet"/>
        <w:spacing w:after="30"/>
      </w:pPr>
      <w:r>
        <w:t>When the city lacks custody/control, it must issue a detailed written certificate designed to facilitate access elsewhere, not a bare “no records” message.</w:t>
      </w:r>
    </w:p>
    <w:p>
      <w:pPr>
        <w:pStyle w:val="Heading1"/>
      </w:pPr>
      <w:r>
        <w:t>7. Legal Classifications, Tracks, and Operational Classifications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Classification / flag</w:t>
            </w:r>
          </w:p>
        </w:tc>
        <w:tc>
          <w:tcPr>
            <w:tcW w:type="dxa" w:w="165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Legal or operational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25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Timer / communication effect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Immediately available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availability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Present immediately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extension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Active use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availability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Written certificate and appointment within 3 days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Three-day timer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Processing &gt;5 days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processing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Written determination or reasonable time estimate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Five-day enforcement safeguard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Exemption question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determination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Written reasons/legal basis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Five-day timer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custody/control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custody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Detailed certificate and locating assistance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Prompt communication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Substantial disruption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burden flag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Narrowing attempts before denial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Human determination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Simple / complex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Operational only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Routing and projected work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Cannot replace legal branches</w:t>
            </w:r>
          </w:p>
        </w:tc>
      </w:tr>
    </w:tbl>
    <w:p>
      <w:pPr>
        <w:pStyle w:val="Heading1"/>
      </w:pPr>
      <w:r>
        <w:t>8. Large Volume, Redaction, Programming, and Electronic Records</w:t>
      </w:r>
    </w:p>
    <w:p>
      <w:pPr>
        <w:pStyle w:val="ListBullet"/>
        <w:spacing w:after="30"/>
      </w:pPr>
      <w:r>
        <w:t>The engine should select an availability condition immediately after intake because each branch carries different communication content and timing.</w:t>
      </w:r>
    </w:p>
    <w:p>
      <w:pPr>
        <w:pStyle w:val="ListBullet"/>
        <w:spacing w:after="30"/>
      </w:pPr>
      <w:r>
        <w:t>Segregation/redaction, examination, and review are listed in the five-day reasonable-time-estimate safeguard but examination/review to decide disclosure is not chargeable to the requester.</w:t>
      </w:r>
    </w:p>
    <w:p>
      <w:pPr>
        <w:pStyle w:val="ListBullet"/>
        <w:spacing w:after="30"/>
      </w:pPr>
      <w:r>
        <w:t>Posted fee schedules may include electronic transmission. City rates must be stored locally; state agency schedules are not municipal defaults.</w:t>
      </w:r>
    </w:p>
    <w:p>
      <w:pPr>
        <w:pStyle w:val="ListBullet"/>
        <w:spacing w:after="30"/>
      </w:pPr>
      <w:r>
        <w:t>Outstanding fees may justify withholding copies under current law/policy, but inspection rights and copy delivery must be separated.</w:t>
      </w:r>
    </w:p>
    <w:p>
      <w:pPr>
        <w:pStyle w:val="Heading1"/>
      </w:pPr>
      <w:r>
        <w:t>9. Fee Estimate, Deposit, Payment, and Reconciliation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Fee component / trigger</w:t>
            </w:r>
          </w:p>
        </w:tc>
        <w:tc>
          <w:tcPr>
            <w:tcW w:type="dxa" w:w="367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Statewide rule</w:t>
            </w:r>
          </w:p>
        </w:tc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Estimate / payment timing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treatment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Inspection / review for disclosure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charge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Provide access; do not invoice review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Hard prohibition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Copies / reproduction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Reasonable fee under posted schedule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Notify amount in advance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posted schedule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Electronic transmission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May be included in reasonable posted schedule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Advance notice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rate/method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Advance payment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May be required before copies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Invoice/estimate before production or release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choice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Outstanding fees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Copies may be withheld for current/prior unpaid authorized fees where law permits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Notice of balance and basis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Account-level rule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 threshold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universal statewide dollar threshold identified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Advance amount notice required whenever fee charged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invented threshold</w:t>
            </w:r>
          </w:p>
        </w:tc>
      </w:tr>
    </w:tbl>
    <w:p>
      <w:pPr>
        <w:pStyle w:val="Heading1"/>
      </w:pPr>
      <w:r>
        <w:t>10. Normalized Software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208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 / conditions</w:t>
            </w:r>
          </w:p>
        </w:tc>
        <w:tc>
          <w:tcPr>
            <w:tcW w:type="dxa" w:w="33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Required action &amp; communication</w:t>
            </w:r>
          </w:p>
        </w:tc>
        <w:tc>
          <w:tcPr>
            <w:tcW w:type="dxa" w:w="180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Deadline / clock effect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Configuration, applicability &amp; authority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LA-01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Record immediately available, not active use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Present immediately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Immediate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cities; §44:33(B)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LA-02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Record in active use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Prompt written certificate + fixed day/hour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Appointment within 3 days excluding weekends/holidays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§44:33(B)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LA-03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Public-record/exemption question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determination, reasons, legal basis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5 days excluding weekends/holidays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§44:32(D)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LA-04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Processing not completed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determination or reasonable time estimate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5-day enforcement point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Compliance safeguard; §44:35(A)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LA-05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No custody/control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Detailed written certificate and locating facts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Promptly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§44:34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LA-06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Substantial disruption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Reasonable narrowing attempts before denial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applicable branch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Human burden rule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LA-07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Copy fee charged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Advance amount notice; may require advance payment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Before copies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Local schedule within §44:32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LA-08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Segregation unreasonably burdensome/expensive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statement and record location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 determination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§44:33(A)(2)</w:t>
            </w:r>
          </w:p>
        </w:tc>
      </w:tr>
    </w:tbl>
    <w:p>
      <w:pPr>
        <w:pStyle w:val="Heading1"/>
      </w:pPr>
      <w:r>
        <w:t>11. Jurisdiction-Configuration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field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 type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Value / permitted setting</w:t>
            </w:r>
          </w:p>
        </w:tc>
        <w:tc>
          <w:tcPr>
            <w:tcW w:type="dxa" w:w="374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Implementation note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availability_branch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 + human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immediate / active use / &gt;5-day / exemption / no custody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Select immediately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holiday_calendar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Local/state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excludes weekends/legal holidays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For 3- and 5-day timers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reasonable_time_estimate_method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policy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factors and approval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Preserve qualitative basis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custodian_directory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State/local required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name/contact by department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Publicly available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posted_copy_fee_schedule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within law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paper/electronic/media rates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Effective-date versioning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advance_payment_policy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enabled/payment methods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Always provide amount in advance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substantial_disruption_approval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governance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evidence and narrowing checklist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Human determination</w:t>
            </w:r>
          </w:p>
        </w:tc>
      </w:tr>
    </w:tbl>
    <w:p>
      <w:pPr>
        <w:pStyle w:val="Heading1"/>
      </w:pPr>
      <w:r>
        <w:t>12. Recommended Workflow States and Transitions</w:t>
      </w:r>
    </w:p>
    <w:p>
      <w:r>
        <w:rPr>
          <w:b/>
        </w:rPr>
        <w:t xml:space="preserve">Recommended state sequence: </w:t>
      </w:r>
      <w:r>
        <w:t>Received by Custodian -&gt; Specificity / Custody Check -&gt; Availability Branch Selected -&gt; Immediate Inspection / Active-Use Certificate / Five-Day Determination or Estimate / No-Custody Certificate -&gt; Awaiting Narrowing -&gt; Fee Notice -&gt; Awaiting Payment -&gt; Collection / Segregation / Redaction -&gt; Released / Partially Released / Denied / Referred / Closed</w:t>
      </w:r>
    </w:p>
    <w:p>
      <w:pPr>
        <w:pStyle w:val="Heading1"/>
      </w:pPr>
      <w:r>
        <w:t>13. Unresolved Questions and Local-Policy Decisions</w:t>
      </w:r>
    </w:p>
    <w:p>
      <w:pPr>
        <w:pStyle w:val="ListBullet"/>
        <w:spacing w:after="30"/>
      </w:pPr>
      <w:r>
        <w:t>What local factors and approver will support a “time reasonably necessary” estimate?</w:t>
      </w:r>
    </w:p>
    <w:p>
      <w:pPr>
        <w:pStyle w:val="ListBullet"/>
        <w:spacing w:after="30"/>
      </w:pPr>
      <w:r>
        <w:t>What fee schedule and advance-payment policy will the city post?</w:t>
      </w:r>
    </w:p>
    <w:p>
      <w:pPr>
        <w:pStyle w:val="ListBullet"/>
        <w:spacing w:after="30"/>
      </w:pPr>
      <w:r>
        <w:t>How will the city document reasonable narrowing attempts before substantial-disruption denial?</w:t>
      </w:r>
    </w:p>
    <w:p>
      <w:pPr>
        <w:pStyle w:val="ListBullet"/>
        <w:spacing w:after="30"/>
      </w:pPr>
      <w:r>
        <w:t>What standardized data will populate the detailed no-custody certificate and identify another custodian?</w:t>
      </w:r>
    </w:p>
    <w:p>
      <w:pPr>
        <w:pStyle w:val="Heading1"/>
      </w:pPr>
      <w:r>
        <w:t>14. Suggestion Added During This Review</w:t>
      </w:r>
    </w:p>
    <w:p>
      <w:r>
        <w:rPr>
          <w:b/>
        </w:rPr>
        <w:t xml:space="preserve">S-020: </w:t>
      </w:r>
      <w:r>
        <w:t>Model availability as an early branch selector: immediate access, active-use appointment, five-day determination/time estimate, exemption determination, and no-custody certificate are distinct legal workflows, not merely complexity levels.</w:t>
      </w:r>
    </w:p>
    <w:p>
      <w:pPr>
        <w:pStyle w:val="IntenseQuote"/>
      </w:pPr>
      <w:r>
        <w:t>This suggestion is recorded for later universal-engine review and does not alter the fixed methodology used for this state.</w:t>
      </w:r>
    </w:p>
    <w:p>
      <w:pPr>
        <w:pStyle w:val="Heading1"/>
      </w:pPr>
      <w:r>
        <w:t>15. Primary Sources</w:t>
      </w:r>
    </w:p>
    <w:p>
      <w:pPr>
        <w:pStyle w:val="ListBullet"/>
        <w:spacing w:after="40"/>
      </w:pPr>
      <w:r>
        <w:rPr>
          <w:b/>
        </w:rPr>
        <w:t>Louisiana Legislature (La. R.S. 44:32)</w:t>
      </w:r>
      <w:r>
        <w:t xml:space="preserve"> - Access, fees, and five-day exemption determination. </w:t>
      </w:r>
      <w:hyperlink r:id="rId11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Louisiana Legislature (La. R.S. 44:33)</w:t>
      </w:r>
      <w:r>
        <w:t xml:space="preserve"> - Immediate/active-use access and segregation. </w:t>
      </w:r>
      <w:hyperlink r:id="rId12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Louisiana Legislature (La. R.S. 44:34)</w:t>
      </w:r>
      <w:r>
        <w:t xml:space="preserve"> - No-custody certificate. </w:t>
      </w:r>
      <w:hyperlink r:id="rId13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Louisiana Legislature (La. R.S. 44:35)</w:t>
      </w:r>
      <w:r>
        <w:t xml:space="preserve"> - Five-day enforcement trigger and estimate. </w:t>
      </w:r>
      <w:hyperlink r:id="rId14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Louisiana Legislature - Public Records Law CLE (Official guidance)</w:t>
      </w:r>
      <w:r>
        <w:t xml:space="preserve"> - Overview and implementation context. </w:t>
      </w:r>
      <w:hyperlink r:id="rId15">
        <w:r>
          <w:rPr>
            <w:color w:val="2F5597"/>
            <w:u w:val="single"/>
          </w:rPr>
          <w:t>Official source</w:t>
        </w:r>
      </w:hyperlink>
    </w:p>
    <w:p>
      <w:pPr>
        <w:spacing w:before="120"/>
      </w:pPr>
      <w:r>
        <w:rPr>
          <w:b/>
        </w:rPr>
        <w:t xml:space="preserve">Implementation note: </w:t>
      </w:r>
      <w:r>
        <w:t>This document is a requirements-engineering research artifact, not legal advice. A city should validate its final configuration against current statutes, controlling decisions, its own adopted policies, and counsel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5"/>
      </w:rPr>
      <w:t>National Open Records Workflow Schema - Implementation Research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F5597"/>
        <w:sz w:val="15"/>
      </w:rPr>
      <w:t>Louisiana | Open Records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gis.la.gov/Legis/Law.aspx?d=99691&amp;p=y" TargetMode="External"/><Relationship Id="rId12" Type="http://schemas.openxmlformats.org/officeDocument/2006/relationships/hyperlink" Target="https://legis.la.gov/legis/Law.aspx?d=99701" TargetMode="External"/><Relationship Id="rId13" Type="http://schemas.openxmlformats.org/officeDocument/2006/relationships/hyperlink" Target="https://www.legis.la.gov/legis/Law.aspx?d=99702" TargetMode="External"/><Relationship Id="rId14" Type="http://schemas.openxmlformats.org/officeDocument/2006/relationships/hyperlink" Target="https://legis.la.gov/Legis/Law.aspx?d=99703" TargetMode="External"/><Relationship Id="rId15" Type="http://schemas.openxmlformats.org/officeDocument/2006/relationships/hyperlink" Target="https://legis.la.gov/LegisDocs/CLE/2023/Public_Records_Law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