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40"/>
        </w:rPr>
        <w:t>Alabama Public Records Workflow</w:t>
      </w:r>
    </w:p>
    <w:p>
      <w:pPr>
        <w:spacing w:after="140"/>
        <w:jc w:val="center"/>
      </w:pPr>
      <w:r>
        <w:rPr>
          <w:rFonts w:ascii="Aptos Display" w:hAnsi="Aptos Display"/>
          <w:b/>
          <w:color w:val="2F5597"/>
          <w:sz w:val="23"/>
        </w:rPr>
        <w:t>Initial Processing Reverse-Engineered into Software Configuration Requirements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6"/>
              </w:rPr>
              <w:t>Primary law</w:t>
            </w:r>
          </w:p>
        </w:tc>
        <w:tc>
          <w:tcPr>
            <w:tcW w:type="dxa" w:w="2642"/>
            <w:shd w:fill="17365D"/>
            <w:tcMar>
              <w:top w:w="55" w:type="dxa"/>
              <w:start w:w="65" w:type="dxa"/>
              <w:bottom w:w="55" w:type="dxa"/>
              <w:end w:w="65" w:type="dxa"/>
            </w:tcMar>
          </w:tcPr>
          <w:p>
            <w:pPr>
              <w:jc w:val="center"/>
            </w:pPr>
            <w:r>
              <w:rPr>
                <w:b/>
                <w:color w:val="FFFFFF"/>
                <w:sz w:val="16"/>
              </w:rPr>
              <w:t>Ala. Code §§ 36-12-40 and 36-12-43 through 36-12-45</w:t>
            </w:r>
          </w:p>
        </w:tc>
        <w:tc>
          <w:tcPr>
            <w:tcW w:type="dxa" w:w="2642"/>
            <w:shd w:fill="17365D"/>
            <w:tcMar>
              <w:top w:w="55" w:type="dxa"/>
              <w:start w:w="65" w:type="dxa"/>
              <w:bottom w:w="55" w:type="dxa"/>
              <w:end w:w="65" w:type="dxa"/>
            </w:tcMar>
          </w:tcPr>
          <w:p>
            <w:pPr>
              <w:jc w:val="center"/>
            </w:pPr>
            <w:r>
              <w:rPr>
                <w:b/>
                <w:color w:val="FFFFFF"/>
                <w:sz w:val="16"/>
              </w:rPr>
              <w:t>Research date</w:t>
            </w:r>
          </w:p>
        </w:tc>
        <w:tc>
          <w:tcPr>
            <w:tcW w:type="dxa" w:w="2642"/>
            <w:shd w:fill="17365D"/>
            <w:tcMar>
              <w:top w:w="55" w:type="dxa"/>
              <w:start w:w="65" w:type="dxa"/>
              <w:bottom w:w="55" w:type="dxa"/>
              <w:end w:w="65" w:type="dxa"/>
            </w:tcMar>
          </w:tcPr>
          <w:p>
            <w:pPr>
              <w:jc w:val="center"/>
            </w:pPr>
            <w:r>
              <w:rPr>
                <w:b/>
                <w:color w:val="FFFFFF"/>
                <w:sz w:val="16"/>
              </w:rPr>
              <w:t>2026-07-22</w:t>
            </w:r>
          </w:p>
        </w:tc>
      </w:tr>
    </w:tbl>
    <w:p>
      <w:pPr>
        <w:pStyle w:val="Heading1"/>
      </w:pPr>
      <w:r>
        <w:t>1. Executive Summary and Applicability</w:t>
      </w:r>
    </w:p>
    <w:p>
      <w:r>
        <w:t>Alabama now uses an unusually explicit two-track request model created by Act 2024-278: “standard” requests and “time-intensive” requests. The track is determined principally by whether the work is expected to exceed eight hours of staff time, counting identification, retrieval, and redaction.</w:t>
      </w:r>
    </w:p>
    <w:p>
      <w:r>
        <w:t>The statute applies to public officers and public records of state and local government, including cities, but access under the new procedures is framed for Alabama residents. A city therefore needs both a requester-residency validation rule and a workload-classification decision early in processing.</w:t>
      </w:r>
    </w:p>
    <w:p>
      <w:r>
        <w:t>The statutory periods are response milestones rather than promises that all records will always be produced by the first date. Written acknowledgments, classification notices, fee notices, substantive responses, status communications, and rebuttable denial-presumption clocks must be separately represented.</w:t>
      </w:r>
    </w:p>
    <w:p>
      <w:r>
        <w:rPr>
          <w:b/>
        </w:rPr>
        <w:t xml:space="preserve">Core engine pattern: </w:t>
      </w:r>
      <w:r>
        <w:t>Resident validation + standard/time-intensive workload classification + staged acknowledgment/substantive-response timers + fee-before-search and fee-before-release branches.</w:t>
      </w:r>
    </w:p>
    <w:p>
      <w:r>
        <w:rPr>
          <w:b/>
        </w:rPr>
        <w:t xml:space="preserve">Scope caution: </w:t>
      </w:r>
      <w:r>
        <w:t>The statewide law supplies the core tracks and maximum intervals, but each city must configure its accepted form/procedure, reasonable rates, local proof of residency, extension notices, and internal approval roles.</w:t>
      </w:r>
    </w:p>
    <w:p>
      <w:pPr>
        <w:pStyle w:val="Heading1"/>
      </w:pPr>
      <w:r>
        <w:t>2. Authority Inventory</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cantSplit/>
        </w:trPr>
        <w:tc>
          <w:tcPr>
            <w:tcW w:type="dxa" w:w="3523"/>
            <w:shd w:fill="17365D"/>
            <w:tcMar>
              <w:top w:w="55" w:type="dxa"/>
              <w:start w:w="65" w:type="dxa"/>
              <w:bottom w:w="55" w:type="dxa"/>
              <w:end w:w="65" w:type="dxa"/>
            </w:tcMar>
          </w:tcPr>
          <w:p>
            <w:pPr>
              <w:jc w:val="center"/>
            </w:pPr>
            <w:r>
              <w:rPr>
                <w:b/>
                <w:color w:val="FFFFFF"/>
                <w:sz w:val="15"/>
              </w:rPr>
              <w:t>Authority</w:t>
            </w:r>
          </w:p>
        </w:tc>
        <w:tc>
          <w:tcPr>
            <w:tcW w:type="dxa" w:w="3523"/>
            <w:shd w:fill="17365D"/>
            <w:tcMar>
              <w:top w:w="55" w:type="dxa"/>
              <w:start w:w="65" w:type="dxa"/>
              <w:bottom w:w="55" w:type="dxa"/>
              <w:end w:w="65" w:type="dxa"/>
            </w:tcMar>
          </w:tcPr>
          <w:p>
            <w:pPr>
              <w:jc w:val="center"/>
            </w:pPr>
            <w:r>
              <w:rPr>
                <w:b/>
                <w:color w:val="FFFFFF"/>
                <w:sz w:val="15"/>
              </w:rPr>
              <w:t>Workflow function</w:t>
            </w:r>
          </w:p>
        </w:tc>
        <w:tc>
          <w:tcPr>
            <w:tcW w:type="dxa" w:w="3523"/>
            <w:shd w:fill="17365D"/>
            <w:tcMar>
              <w:top w:w="55" w:type="dxa"/>
              <w:start w:w="65" w:type="dxa"/>
              <w:bottom w:w="55" w:type="dxa"/>
              <w:end w:w="65" w:type="dxa"/>
            </w:tcMar>
          </w:tcPr>
          <w:p>
            <w:pPr>
              <w:jc w:val="center"/>
            </w:pPr>
            <w:r>
              <w:rPr>
                <w:b/>
                <w:color w:val="FFFFFF"/>
                <w:sz w:val="15"/>
              </w:rPr>
              <w:t>City applicability</w:t>
            </w:r>
          </w:p>
        </w:tc>
      </w:tr>
      <w:tr>
        <w:trPr>
          <w:cantSplit/>
        </w:trPr>
        <w:tc>
          <w:tcPr>
            <w:tcW w:type="dxa" w:w="3523"/>
            <w:tcMar>
              <w:top w:w="55" w:type="dxa"/>
              <w:start w:w="65" w:type="dxa"/>
              <w:bottom w:w="55" w:type="dxa"/>
              <w:end w:w="65" w:type="dxa"/>
            </w:tcMar>
            <w:vAlign w:val="center"/>
          </w:tcPr>
          <w:p>
            <w:r>
              <w:rPr>
                <w:sz w:val="15"/>
              </w:rPr>
              <w:t>Ala. Code § 36-12-43</w:t>
            </w:r>
          </w:p>
        </w:tc>
        <w:tc>
          <w:tcPr>
            <w:tcW w:type="dxa" w:w="3523"/>
            <w:tcMar>
              <w:top w:w="55" w:type="dxa"/>
              <w:start w:w="65" w:type="dxa"/>
              <w:bottom w:w="55" w:type="dxa"/>
              <w:end w:w="65" w:type="dxa"/>
            </w:tcMar>
            <w:vAlign w:val="center"/>
          </w:tcPr>
          <w:p>
            <w:r>
              <w:rPr>
                <w:sz w:val="15"/>
              </w:rPr>
              <w:t>Definitions, resident status, standard and time-intensive classifications, and request requirements.</w:t>
            </w:r>
          </w:p>
        </w:tc>
        <w:tc>
          <w:tcPr>
            <w:tcW w:type="dxa" w:w="3523"/>
            <w:tcMar>
              <w:top w:w="55" w:type="dxa"/>
              <w:start w:w="65" w:type="dxa"/>
              <w:bottom w:w="55" w:type="dxa"/>
              <w:end w:w="65" w:type="dxa"/>
            </w:tcMar>
            <w:vAlign w:val="center"/>
          </w:tcPr>
          <w:p>
            <w:r>
              <w:rPr>
                <w:sz w:val="15"/>
              </w:rPr>
              <w:t>Statewide; applicable to municipal public officers.</w:t>
            </w:r>
          </w:p>
        </w:tc>
      </w:tr>
      <w:tr>
        <w:trPr>
          <w:cantSplit/>
        </w:trPr>
        <w:tc>
          <w:tcPr>
            <w:tcW w:type="dxa" w:w="3523"/>
            <w:tcMar>
              <w:top w:w="55" w:type="dxa"/>
              <w:start w:w="65" w:type="dxa"/>
              <w:bottom w:w="55" w:type="dxa"/>
              <w:end w:w="65" w:type="dxa"/>
            </w:tcMar>
            <w:vAlign w:val="center"/>
            <w:shd w:fill="F8FAFC"/>
          </w:tcPr>
          <w:p>
            <w:r>
              <w:rPr>
                <w:sz w:val="15"/>
              </w:rPr>
              <w:t>Ala. Code § 36-12-44</w:t>
            </w:r>
          </w:p>
        </w:tc>
        <w:tc>
          <w:tcPr>
            <w:tcW w:type="dxa" w:w="3523"/>
            <w:tcMar>
              <w:top w:w="55" w:type="dxa"/>
              <w:start w:w="65" w:type="dxa"/>
              <w:bottom w:w="55" w:type="dxa"/>
              <w:end w:w="65" w:type="dxa"/>
            </w:tcMar>
            <w:vAlign w:val="center"/>
            <w:shd w:fill="F8FAFC"/>
          </w:tcPr>
          <w:p>
            <w:r>
              <w:rPr>
                <w:sz w:val="15"/>
              </w:rPr>
              <w:t>Procedures, acknowledgment, substantive response, classification, fee, extension, and denial-presumption rules.</w:t>
            </w:r>
          </w:p>
        </w:tc>
        <w:tc>
          <w:tcPr>
            <w:tcW w:type="dxa" w:w="3523"/>
            <w:tcMar>
              <w:top w:w="55" w:type="dxa"/>
              <w:start w:w="65" w:type="dxa"/>
              <w:bottom w:w="55" w:type="dxa"/>
              <w:end w:w="65" w:type="dxa"/>
            </w:tcMar>
            <w:vAlign w:val="center"/>
            <w:shd w:fill="F8FAFC"/>
          </w:tcPr>
          <w:p>
            <w:r>
              <w:rPr>
                <w:sz w:val="15"/>
              </w:rPr>
              <w:t>Statewide city workflow.</w:t>
            </w:r>
          </w:p>
        </w:tc>
      </w:tr>
      <w:tr>
        <w:trPr>
          <w:cantSplit/>
        </w:trPr>
        <w:tc>
          <w:tcPr>
            <w:tcW w:type="dxa" w:w="3523"/>
            <w:tcMar>
              <w:top w:w="55" w:type="dxa"/>
              <w:start w:w="65" w:type="dxa"/>
              <w:bottom w:w="55" w:type="dxa"/>
              <w:end w:w="65" w:type="dxa"/>
            </w:tcMar>
            <w:vAlign w:val="center"/>
          </w:tcPr>
          <w:p>
            <w:r>
              <w:rPr>
                <w:sz w:val="15"/>
              </w:rPr>
              <w:t>Ala. Code § 36-12-45</w:t>
            </w:r>
          </w:p>
        </w:tc>
        <w:tc>
          <w:tcPr>
            <w:tcW w:type="dxa" w:w="3523"/>
            <w:tcMar>
              <w:top w:w="55" w:type="dxa"/>
              <w:start w:w="65" w:type="dxa"/>
              <w:bottom w:w="55" w:type="dxa"/>
              <w:end w:w="65" w:type="dxa"/>
            </w:tcMar>
            <w:vAlign w:val="center"/>
          </w:tcPr>
          <w:p>
            <w:r>
              <w:rPr>
                <w:sz w:val="15"/>
              </w:rPr>
              <w:t>Enforcement and related remedies.</w:t>
            </w:r>
          </w:p>
        </w:tc>
        <w:tc>
          <w:tcPr>
            <w:tcW w:type="dxa" w:w="3523"/>
            <w:tcMar>
              <w:top w:w="55" w:type="dxa"/>
              <w:start w:w="65" w:type="dxa"/>
              <w:bottom w:w="55" w:type="dxa"/>
              <w:end w:w="65" w:type="dxa"/>
            </w:tcMar>
            <w:vAlign w:val="center"/>
          </w:tcPr>
          <w:p>
            <w:r>
              <w:rPr>
                <w:sz w:val="15"/>
              </w:rPr>
              <w:t>Relevant to compliance and audit trail.</w:t>
            </w:r>
          </w:p>
        </w:tc>
      </w:tr>
      <w:tr>
        <w:trPr>
          <w:cantSplit/>
        </w:trPr>
        <w:tc>
          <w:tcPr>
            <w:tcW w:type="dxa" w:w="3523"/>
            <w:tcMar>
              <w:top w:w="55" w:type="dxa"/>
              <w:start w:w="65" w:type="dxa"/>
              <w:bottom w:w="55" w:type="dxa"/>
              <w:end w:w="65" w:type="dxa"/>
            </w:tcMar>
            <w:vAlign w:val="center"/>
            <w:shd w:fill="F8FAFC"/>
          </w:tcPr>
          <w:p>
            <w:r>
              <w:rPr>
                <w:sz w:val="15"/>
              </w:rPr>
              <w:t>Alabama Legislature, “Do’s and Don’ts” publication</w:t>
            </w:r>
          </w:p>
        </w:tc>
        <w:tc>
          <w:tcPr>
            <w:tcW w:type="dxa" w:w="3523"/>
            <w:tcMar>
              <w:top w:w="55" w:type="dxa"/>
              <w:start w:w="65" w:type="dxa"/>
              <w:bottom w:w="55" w:type="dxa"/>
              <w:end w:w="65" w:type="dxa"/>
            </w:tcMar>
            <w:vAlign w:val="center"/>
            <w:shd w:fill="F8FAFC"/>
          </w:tcPr>
          <w:p>
            <w:r>
              <w:rPr>
                <w:sz w:val="15"/>
              </w:rPr>
              <w:t>Official implementation explanation of Act 2024-278.</w:t>
            </w:r>
          </w:p>
        </w:tc>
        <w:tc>
          <w:tcPr>
            <w:tcW w:type="dxa" w:w="3523"/>
            <w:tcMar>
              <w:top w:w="55" w:type="dxa"/>
              <w:start w:w="65" w:type="dxa"/>
              <w:bottom w:w="55" w:type="dxa"/>
              <w:end w:w="65" w:type="dxa"/>
            </w:tcMar>
            <w:vAlign w:val="center"/>
            <w:shd w:fill="F8FAFC"/>
          </w:tcPr>
          <w:p>
            <w:r>
              <w:rPr>
                <w:sz w:val="15"/>
              </w:rPr>
              <w:t>Guidance; do not elevate recommendations beyond statute.</w:t>
            </w:r>
          </w:p>
        </w:tc>
      </w:tr>
    </w:tbl>
    <w:p>
      <w:pPr>
        <w:pStyle w:val="Heading1"/>
      </w:pPr>
      <w:r>
        <w:t>3. Human-Readable Initial Processing Workflow</w:t>
      </w:r>
    </w:p>
    <w:p>
      <w:pPr>
        <w:pStyle w:val="ListNumber"/>
        <w:spacing w:after="30"/>
      </w:pPr>
      <w:r>
        <w:t>Receive and validate: Preserve the written request, verify that it is directed to the proper public officer, check required local procedures, and determine whether the requester qualifies as an Alabama resident.</w:t>
      </w:r>
    </w:p>
    <w:p>
      <w:pPr>
        <w:pStyle w:val="ListNumber"/>
        <w:spacing w:after="30"/>
      </w:pPr>
      <w:r>
        <w:t>Assess specificity and workload: Determine whether existing records are specifically and discretely identified, whether clarification is needed, and whether expected staff time for identification, retrieval, and redaction is eight hours or less or exceeds eight hours.</w:t>
      </w:r>
    </w:p>
    <w:p>
      <w:pPr>
        <w:pStyle w:val="ListNumber"/>
        <w:spacing w:after="30"/>
      </w:pPr>
      <w:r>
        <w:t>Acknowledge: Send the statutory acknowledgment within 10 business days for a properly submitted request. Record any clarification request because a clarified or supplemented request may establish a new receipt anchor.</w:t>
      </w:r>
    </w:p>
    <w:p>
      <w:pPr>
        <w:pStyle w:val="ListNumber"/>
        <w:spacing w:after="30"/>
      </w:pPr>
      <w:r>
        <w:t>Run the standard track: For a standard request, issue a substantive response within 15 business days after acknowledgment; produce, arrange access, state that records are ready after payment, deny with reasons, state no responsive records, or explain a procedural defect. Use written 15-business-day extensions when needed.</w:t>
      </w:r>
    </w:p>
    <w:p>
      <w:pPr>
        <w:pStyle w:val="ListNumber"/>
        <w:spacing w:after="30"/>
      </w:pPr>
      <w:r>
        <w:t>Run the time-intensive track: Within 15 business days after acknowledgment, tell the requester the request is time-intensive, provide likely fees, and offer withdrawal or narrowing. After the requester elects to proceed, issue the substantive response within 45 business days, using written 45-business-day extensions when necessary.</w:t>
      </w:r>
    </w:p>
    <w:p>
      <w:pPr>
        <w:pStyle w:val="ListNumber"/>
        <w:spacing w:after="30"/>
      </w:pPr>
      <w:r>
        <w:t>Collect authorized fees and close: A city may require some or all estimated fees before search and may withhold production until payment. Preserve partial responses, agreements, negotiations, and status communications because they affect the rebuttable denial presumption.</w:t>
      </w:r>
    </w:p>
    <w:p>
      <w:pPr>
        <w:pStyle w:val="Heading1"/>
      </w:pPr>
      <w:r>
        <w:t>4. Deadline and Required-Communication Matrix</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4"/>
              </w:rPr>
              <w:t>Trigger / condition</w:t>
            </w:r>
          </w:p>
        </w:tc>
        <w:tc>
          <w:tcPr>
            <w:tcW w:type="dxa" w:w="2114"/>
            <w:shd w:fill="17365D"/>
            <w:tcMar>
              <w:top w:w="55" w:type="dxa"/>
              <w:start w:w="65" w:type="dxa"/>
              <w:bottom w:w="55" w:type="dxa"/>
              <w:end w:w="65" w:type="dxa"/>
            </w:tcMar>
          </w:tcPr>
          <w:p>
            <w:pPr>
              <w:jc w:val="center"/>
            </w:pPr>
            <w:r>
              <w:rPr>
                <w:b/>
                <w:color w:val="FFFFFF"/>
                <w:sz w:val="14"/>
              </w:rPr>
              <w:t>Deadline or standard</w:t>
            </w:r>
          </w:p>
        </w:tc>
        <w:tc>
          <w:tcPr>
            <w:tcW w:type="dxa" w:w="2114"/>
            <w:shd w:fill="17365D"/>
            <w:tcMar>
              <w:top w:w="55" w:type="dxa"/>
              <w:start w:w="65" w:type="dxa"/>
              <w:bottom w:w="55" w:type="dxa"/>
              <w:end w:w="65" w:type="dxa"/>
            </w:tcMar>
          </w:tcPr>
          <w:p>
            <w:pPr>
              <w:jc w:val="center"/>
            </w:pPr>
            <w:r>
              <w:rPr>
                <w:b/>
                <w:color w:val="FFFFFF"/>
                <w:sz w:val="14"/>
              </w:rPr>
              <w:t>Required communication / action</w:t>
            </w:r>
          </w:p>
        </w:tc>
        <w:tc>
          <w:tcPr>
            <w:tcW w:type="dxa" w:w="2114"/>
            <w:shd w:fill="17365D"/>
            <w:tcMar>
              <w:top w:w="55" w:type="dxa"/>
              <w:start w:w="65" w:type="dxa"/>
              <w:bottom w:w="55" w:type="dxa"/>
              <w:end w:w="65" w:type="dxa"/>
            </w:tcMar>
          </w:tcPr>
          <w:p>
            <w:pPr>
              <w:jc w:val="center"/>
            </w:pPr>
            <w:r>
              <w:rPr>
                <w:b/>
                <w:color w:val="FFFFFF"/>
                <w:sz w:val="14"/>
              </w:rPr>
              <w:t>Clock effect</w:t>
            </w:r>
          </w:p>
        </w:tc>
        <w:tc>
          <w:tcPr>
            <w:tcW w:type="dxa" w:w="2114"/>
            <w:shd w:fill="17365D"/>
            <w:tcMar>
              <w:top w:w="55" w:type="dxa"/>
              <w:start w:w="65" w:type="dxa"/>
              <w:bottom w:w="55" w:type="dxa"/>
              <w:end w:w="65" w:type="dxa"/>
            </w:tcMar>
          </w:tcPr>
          <w:p>
            <w:pPr>
              <w:jc w:val="center"/>
            </w:pPr>
            <w:r>
              <w:rPr>
                <w:b/>
                <w:color w:val="FFFFFF"/>
                <w:sz w:val="14"/>
              </w:rPr>
              <w:t>Authority</w:t>
            </w:r>
          </w:p>
        </w:tc>
      </w:tr>
      <w:tr>
        <w:trPr>
          <w:cantSplit/>
        </w:trPr>
        <w:tc>
          <w:tcPr>
            <w:tcW w:type="dxa" w:w="2114"/>
            <w:tcMar>
              <w:top w:w="55" w:type="dxa"/>
              <w:start w:w="65" w:type="dxa"/>
              <w:bottom w:w="55" w:type="dxa"/>
              <w:end w:w="65" w:type="dxa"/>
            </w:tcMar>
            <w:vAlign w:val="center"/>
          </w:tcPr>
          <w:p>
            <w:r>
              <w:rPr>
                <w:sz w:val="14"/>
              </w:rPr>
              <w:t>Proper request received</w:t>
            </w:r>
          </w:p>
        </w:tc>
        <w:tc>
          <w:tcPr>
            <w:tcW w:type="dxa" w:w="2114"/>
            <w:tcMar>
              <w:top w:w="55" w:type="dxa"/>
              <w:start w:w="65" w:type="dxa"/>
              <w:bottom w:w="55" w:type="dxa"/>
              <w:end w:w="65" w:type="dxa"/>
            </w:tcMar>
            <w:vAlign w:val="center"/>
          </w:tcPr>
          <w:p>
            <w:r>
              <w:rPr>
                <w:sz w:val="14"/>
              </w:rPr>
              <w:t>10 business days</w:t>
            </w:r>
          </w:p>
        </w:tc>
        <w:tc>
          <w:tcPr>
            <w:tcW w:type="dxa" w:w="2114"/>
            <w:tcMar>
              <w:top w:w="55" w:type="dxa"/>
              <w:start w:w="65" w:type="dxa"/>
              <w:bottom w:w="55" w:type="dxa"/>
              <w:end w:w="65" w:type="dxa"/>
            </w:tcMar>
            <w:vAlign w:val="center"/>
          </w:tcPr>
          <w:p>
            <w:r>
              <w:rPr>
                <w:sz w:val="14"/>
              </w:rPr>
              <w:t>Acknowledge receipt.</w:t>
            </w:r>
          </w:p>
        </w:tc>
        <w:tc>
          <w:tcPr>
            <w:tcW w:type="dxa" w:w="2114"/>
            <w:tcMar>
              <w:top w:w="55" w:type="dxa"/>
              <w:start w:w="65" w:type="dxa"/>
              <w:bottom w:w="55" w:type="dxa"/>
              <w:end w:w="65" w:type="dxa"/>
            </w:tcMar>
            <w:vAlign w:val="center"/>
          </w:tcPr>
          <w:p>
            <w:r>
              <w:rPr>
                <w:sz w:val="14"/>
              </w:rPr>
              <w:t>Starts track-assessment period.</w:t>
            </w:r>
          </w:p>
        </w:tc>
        <w:tc>
          <w:tcPr>
            <w:tcW w:type="dxa" w:w="2114"/>
            <w:tcMar>
              <w:top w:w="55" w:type="dxa"/>
              <w:start w:w="65" w:type="dxa"/>
              <w:bottom w:w="55" w:type="dxa"/>
              <w:end w:w="65" w:type="dxa"/>
            </w:tcMar>
            <w:vAlign w:val="center"/>
          </w:tcPr>
          <w:p>
            <w:r>
              <w:rPr>
                <w:sz w:val="14"/>
              </w:rPr>
              <w:t>§ 36-12-44</w:t>
            </w:r>
          </w:p>
        </w:tc>
      </w:tr>
      <w:tr>
        <w:trPr>
          <w:cantSplit/>
        </w:trPr>
        <w:tc>
          <w:tcPr>
            <w:tcW w:type="dxa" w:w="2114"/>
            <w:tcMar>
              <w:top w:w="55" w:type="dxa"/>
              <w:start w:w="65" w:type="dxa"/>
              <w:bottom w:w="55" w:type="dxa"/>
              <w:end w:w="65" w:type="dxa"/>
            </w:tcMar>
            <w:vAlign w:val="center"/>
            <w:shd w:fill="F8FAFC"/>
          </w:tcPr>
          <w:p>
            <w:r>
              <w:rPr>
                <w:sz w:val="14"/>
              </w:rPr>
              <w:t>Standard request after acknowledgment</w:t>
            </w:r>
          </w:p>
        </w:tc>
        <w:tc>
          <w:tcPr>
            <w:tcW w:type="dxa" w:w="2114"/>
            <w:tcMar>
              <w:top w:w="55" w:type="dxa"/>
              <w:start w:w="65" w:type="dxa"/>
              <w:bottom w:w="55" w:type="dxa"/>
              <w:end w:w="65" w:type="dxa"/>
            </w:tcMar>
            <w:vAlign w:val="center"/>
            <w:shd w:fill="F8FAFC"/>
          </w:tcPr>
          <w:p>
            <w:r>
              <w:rPr>
                <w:sz w:val="14"/>
              </w:rPr>
              <w:t>15 business days</w:t>
            </w:r>
          </w:p>
        </w:tc>
        <w:tc>
          <w:tcPr>
            <w:tcW w:type="dxa" w:w="2114"/>
            <w:tcMar>
              <w:top w:w="55" w:type="dxa"/>
              <w:start w:w="65" w:type="dxa"/>
              <w:bottom w:w="55" w:type="dxa"/>
              <w:end w:w="65" w:type="dxa"/>
            </w:tcMar>
            <w:vAlign w:val="center"/>
            <w:shd w:fill="F8FAFC"/>
          </w:tcPr>
          <w:p>
            <w:r>
              <w:rPr>
                <w:sz w:val="14"/>
              </w:rPr>
              <w:t>Provide a substantive response; if not complete, written extension/status notice in 15-business-day increments.</w:t>
            </w:r>
          </w:p>
        </w:tc>
        <w:tc>
          <w:tcPr>
            <w:tcW w:type="dxa" w:w="2114"/>
            <w:tcMar>
              <w:top w:w="55" w:type="dxa"/>
              <w:start w:w="65" w:type="dxa"/>
              <w:bottom w:w="55" w:type="dxa"/>
              <w:end w:w="65" w:type="dxa"/>
            </w:tcMar>
            <w:vAlign w:val="center"/>
            <w:shd w:fill="F8FAFC"/>
          </w:tcPr>
          <w:p>
            <w:r>
              <w:rPr>
                <w:sz w:val="14"/>
              </w:rPr>
              <w:t>Extension replaces next milestone; process expeditiously.</w:t>
            </w:r>
          </w:p>
        </w:tc>
        <w:tc>
          <w:tcPr>
            <w:tcW w:type="dxa" w:w="2114"/>
            <w:tcMar>
              <w:top w:w="55" w:type="dxa"/>
              <w:start w:w="65" w:type="dxa"/>
              <w:bottom w:w="55" w:type="dxa"/>
              <w:end w:w="65" w:type="dxa"/>
            </w:tcMar>
            <w:vAlign w:val="center"/>
            <w:shd w:fill="F8FAFC"/>
          </w:tcPr>
          <w:p>
            <w:r>
              <w:rPr>
                <w:sz w:val="14"/>
              </w:rPr>
              <w:t>§ 36-12-44</w:t>
            </w:r>
          </w:p>
        </w:tc>
      </w:tr>
      <w:tr>
        <w:trPr>
          <w:cantSplit/>
        </w:trPr>
        <w:tc>
          <w:tcPr>
            <w:tcW w:type="dxa" w:w="2114"/>
            <w:tcMar>
              <w:top w:w="55" w:type="dxa"/>
              <w:start w:w="65" w:type="dxa"/>
              <w:bottom w:w="55" w:type="dxa"/>
              <w:end w:w="65" w:type="dxa"/>
            </w:tcMar>
            <w:vAlign w:val="center"/>
          </w:tcPr>
          <w:p>
            <w:r>
              <w:rPr>
                <w:sz w:val="14"/>
              </w:rPr>
              <w:t>Time-intensive classification</w:t>
            </w:r>
          </w:p>
        </w:tc>
        <w:tc>
          <w:tcPr>
            <w:tcW w:type="dxa" w:w="2114"/>
            <w:tcMar>
              <w:top w:w="55" w:type="dxa"/>
              <w:start w:w="65" w:type="dxa"/>
              <w:bottom w:w="55" w:type="dxa"/>
              <w:end w:w="65" w:type="dxa"/>
            </w:tcMar>
            <w:vAlign w:val="center"/>
          </w:tcPr>
          <w:p>
            <w:r>
              <w:rPr>
                <w:sz w:val="14"/>
              </w:rPr>
              <w:t>15 business days after acknowledgment</w:t>
            </w:r>
          </w:p>
        </w:tc>
        <w:tc>
          <w:tcPr>
            <w:tcW w:type="dxa" w:w="2114"/>
            <w:tcMar>
              <w:top w:w="55" w:type="dxa"/>
              <w:start w:w="65" w:type="dxa"/>
              <w:bottom w:w="55" w:type="dxa"/>
              <w:end w:w="65" w:type="dxa"/>
            </w:tcMar>
            <w:vAlign w:val="center"/>
          </w:tcPr>
          <w:p>
            <w:r>
              <w:rPr>
                <w:sz w:val="14"/>
              </w:rPr>
              <w:t>Notify classification, likely fees, and withdrawal/narrowing options.</w:t>
            </w:r>
          </w:p>
        </w:tc>
        <w:tc>
          <w:tcPr>
            <w:tcW w:type="dxa" w:w="2114"/>
            <w:tcMar>
              <w:top w:w="55" w:type="dxa"/>
              <w:start w:w="65" w:type="dxa"/>
              <w:bottom w:w="55" w:type="dxa"/>
              <w:end w:w="65" w:type="dxa"/>
            </w:tcMar>
            <w:vAlign w:val="center"/>
          </w:tcPr>
          <w:p>
            <w:r>
              <w:rPr>
                <w:sz w:val="14"/>
              </w:rPr>
              <w:t>Wait for requester election before 45-day response timer.</w:t>
            </w:r>
          </w:p>
        </w:tc>
        <w:tc>
          <w:tcPr>
            <w:tcW w:type="dxa" w:w="2114"/>
            <w:tcMar>
              <w:top w:w="55" w:type="dxa"/>
              <w:start w:w="65" w:type="dxa"/>
              <w:bottom w:w="55" w:type="dxa"/>
              <w:end w:w="65" w:type="dxa"/>
            </w:tcMar>
            <w:vAlign w:val="center"/>
          </w:tcPr>
          <w:p>
            <w:r>
              <w:rPr>
                <w:sz w:val="14"/>
              </w:rPr>
              <w:t>§ 36-12-44</w:t>
            </w:r>
          </w:p>
        </w:tc>
      </w:tr>
      <w:tr>
        <w:trPr>
          <w:cantSplit/>
        </w:trPr>
        <w:tc>
          <w:tcPr>
            <w:tcW w:type="dxa" w:w="2114"/>
            <w:tcMar>
              <w:top w:w="55" w:type="dxa"/>
              <w:start w:w="65" w:type="dxa"/>
              <w:bottom w:w="55" w:type="dxa"/>
              <w:end w:w="65" w:type="dxa"/>
            </w:tcMar>
            <w:vAlign w:val="center"/>
            <w:shd w:fill="F8FAFC"/>
          </w:tcPr>
          <w:p>
            <w:r>
              <w:rPr>
                <w:sz w:val="14"/>
              </w:rPr>
              <w:t>Requester elects to proceed with time-intensive request</w:t>
            </w:r>
          </w:p>
        </w:tc>
        <w:tc>
          <w:tcPr>
            <w:tcW w:type="dxa" w:w="2114"/>
            <w:tcMar>
              <w:top w:w="55" w:type="dxa"/>
              <w:start w:w="65" w:type="dxa"/>
              <w:bottom w:w="55" w:type="dxa"/>
              <w:end w:w="65" w:type="dxa"/>
            </w:tcMar>
            <w:vAlign w:val="center"/>
            <w:shd w:fill="F8FAFC"/>
          </w:tcPr>
          <w:p>
            <w:r>
              <w:rPr>
                <w:sz w:val="14"/>
              </w:rPr>
              <w:t>45 business days</w:t>
            </w:r>
          </w:p>
        </w:tc>
        <w:tc>
          <w:tcPr>
            <w:tcW w:type="dxa" w:w="2114"/>
            <w:tcMar>
              <w:top w:w="55" w:type="dxa"/>
              <w:start w:w="65" w:type="dxa"/>
              <w:bottom w:w="55" w:type="dxa"/>
              <w:end w:w="65" w:type="dxa"/>
            </w:tcMar>
            <w:vAlign w:val="center"/>
            <w:shd w:fill="F8FAFC"/>
          </w:tcPr>
          <w:p>
            <w:r>
              <w:rPr>
                <w:sz w:val="14"/>
              </w:rPr>
              <w:t>Provide substantive response; written extensions may be issued in 45-business-day increments.</w:t>
            </w:r>
          </w:p>
        </w:tc>
        <w:tc>
          <w:tcPr>
            <w:tcW w:type="dxa" w:w="2114"/>
            <w:tcMar>
              <w:top w:w="55" w:type="dxa"/>
              <w:start w:w="65" w:type="dxa"/>
              <w:bottom w:w="55" w:type="dxa"/>
              <w:end w:w="65" w:type="dxa"/>
            </w:tcMar>
            <w:vAlign w:val="center"/>
            <w:shd w:fill="F8FAFC"/>
          </w:tcPr>
          <w:p>
            <w:r>
              <w:rPr>
                <w:sz w:val="14"/>
              </w:rPr>
              <w:t>Election anchors substantive-response timer.</w:t>
            </w:r>
          </w:p>
        </w:tc>
        <w:tc>
          <w:tcPr>
            <w:tcW w:type="dxa" w:w="2114"/>
            <w:tcMar>
              <w:top w:w="55" w:type="dxa"/>
              <w:start w:w="65" w:type="dxa"/>
              <w:bottom w:w="55" w:type="dxa"/>
              <w:end w:w="65" w:type="dxa"/>
            </w:tcMar>
            <w:vAlign w:val="center"/>
            <w:shd w:fill="F8FAFC"/>
          </w:tcPr>
          <w:p>
            <w:r>
              <w:rPr>
                <w:sz w:val="14"/>
              </w:rPr>
              <w:t>§ 36-12-44</w:t>
            </w:r>
          </w:p>
        </w:tc>
      </w:tr>
      <w:tr>
        <w:trPr>
          <w:cantSplit/>
        </w:trPr>
        <w:tc>
          <w:tcPr>
            <w:tcW w:type="dxa" w:w="2114"/>
            <w:tcMar>
              <w:top w:w="55" w:type="dxa"/>
              <w:start w:w="65" w:type="dxa"/>
              <w:bottom w:w="55" w:type="dxa"/>
              <w:end w:w="65" w:type="dxa"/>
            </w:tcMar>
            <w:vAlign w:val="center"/>
          </w:tcPr>
          <w:p>
            <w:r>
              <w:rPr>
                <w:sz w:val="14"/>
              </w:rPr>
              <w:t>Clarification/additional information requested and supplied</w:t>
            </w:r>
          </w:p>
        </w:tc>
        <w:tc>
          <w:tcPr>
            <w:tcW w:type="dxa" w:w="2114"/>
            <w:tcMar>
              <w:top w:w="55" w:type="dxa"/>
              <w:start w:w="65" w:type="dxa"/>
              <w:bottom w:w="55" w:type="dxa"/>
              <w:end w:w="65" w:type="dxa"/>
            </w:tcMar>
            <w:vAlign w:val="center"/>
          </w:tcPr>
          <w:p>
            <w:r>
              <w:rPr>
                <w:sz w:val="14"/>
              </w:rPr>
              <w:t>Statutory timing re-anchored to clarified request</w:t>
            </w:r>
          </w:p>
        </w:tc>
        <w:tc>
          <w:tcPr>
            <w:tcW w:type="dxa" w:w="2114"/>
            <w:tcMar>
              <w:top w:w="55" w:type="dxa"/>
              <w:start w:w="65" w:type="dxa"/>
              <w:bottom w:w="55" w:type="dxa"/>
              <w:end w:w="65" w:type="dxa"/>
            </w:tcMar>
            <w:vAlign w:val="center"/>
          </w:tcPr>
          <w:p>
            <w:r>
              <w:rPr>
                <w:sz w:val="14"/>
              </w:rPr>
              <w:t>Treat clarified submission as the operative request and document the new scope.</w:t>
            </w:r>
          </w:p>
        </w:tc>
        <w:tc>
          <w:tcPr>
            <w:tcW w:type="dxa" w:w="2114"/>
            <w:tcMar>
              <w:top w:w="55" w:type="dxa"/>
              <w:start w:w="65" w:type="dxa"/>
              <w:bottom w:w="55" w:type="dxa"/>
              <w:end w:w="65" w:type="dxa"/>
            </w:tcMar>
            <w:vAlign w:val="center"/>
          </w:tcPr>
          <w:p>
            <w:r>
              <w:rPr>
                <w:sz w:val="14"/>
              </w:rPr>
              <w:t>New receipt anchor rather than silent pause.</w:t>
            </w:r>
          </w:p>
        </w:tc>
        <w:tc>
          <w:tcPr>
            <w:tcW w:type="dxa" w:w="2114"/>
            <w:tcMar>
              <w:top w:w="55" w:type="dxa"/>
              <w:start w:w="65" w:type="dxa"/>
              <w:bottom w:w="55" w:type="dxa"/>
              <w:end w:w="65" w:type="dxa"/>
            </w:tcMar>
            <w:vAlign w:val="center"/>
          </w:tcPr>
          <w:p>
            <w:r>
              <w:rPr>
                <w:sz w:val="14"/>
              </w:rPr>
              <w:t>§§ 36-12-43 to -44</w:t>
            </w:r>
          </w:p>
        </w:tc>
      </w:tr>
      <w:tr>
        <w:trPr>
          <w:cantSplit/>
        </w:trPr>
        <w:tc>
          <w:tcPr>
            <w:tcW w:type="dxa" w:w="2114"/>
            <w:tcMar>
              <w:top w:w="55" w:type="dxa"/>
              <w:start w:w="65" w:type="dxa"/>
              <w:bottom w:w="55" w:type="dxa"/>
              <w:end w:w="65" w:type="dxa"/>
            </w:tcMar>
            <w:vAlign w:val="center"/>
            <w:shd w:fill="F8FAFC"/>
          </w:tcPr>
          <w:p>
            <w:r>
              <w:rPr>
                <w:sz w:val="14"/>
              </w:rPr>
              <w:t>Standard request: no qualifying response/production</w:t>
            </w:r>
          </w:p>
        </w:tc>
        <w:tc>
          <w:tcPr>
            <w:tcW w:type="dxa" w:w="2114"/>
            <w:tcMar>
              <w:top w:w="55" w:type="dxa"/>
              <w:start w:w="65" w:type="dxa"/>
              <w:bottom w:w="55" w:type="dxa"/>
              <w:end w:w="65" w:type="dxa"/>
            </w:tcMar>
            <w:vAlign w:val="center"/>
            <w:shd w:fill="F8FAFC"/>
          </w:tcPr>
          <w:p>
            <w:r>
              <w:rPr>
                <w:sz w:val="14"/>
              </w:rPr>
              <w:t>Earlier of 30 business days or 60 calendar days after applicable anchor</w:t>
            </w:r>
          </w:p>
        </w:tc>
        <w:tc>
          <w:tcPr>
            <w:tcW w:type="dxa" w:w="2114"/>
            <w:tcMar>
              <w:top w:w="55" w:type="dxa"/>
              <w:start w:w="65" w:type="dxa"/>
              <w:bottom w:w="55" w:type="dxa"/>
              <w:end w:w="65" w:type="dxa"/>
            </w:tcMar>
            <w:vAlign w:val="center"/>
            <w:shd w:fill="F8FAFC"/>
          </w:tcPr>
          <w:p>
            <w:r>
              <w:rPr>
                <w:sz w:val="14"/>
              </w:rPr>
              <w:t>Rebuttable presumption of denial, subject to statutory exceptions.</w:t>
            </w:r>
          </w:p>
        </w:tc>
        <w:tc>
          <w:tcPr>
            <w:tcW w:type="dxa" w:w="2114"/>
            <w:tcMar>
              <w:top w:w="55" w:type="dxa"/>
              <w:start w:w="65" w:type="dxa"/>
              <w:bottom w:w="55" w:type="dxa"/>
              <w:end w:w="65" w:type="dxa"/>
            </w:tcMar>
            <w:vAlign w:val="center"/>
            <w:shd w:fill="F8FAFC"/>
          </w:tcPr>
          <w:p>
            <w:r>
              <w:rPr>
                <w:sz w:val="14"/>
              </w:rPr>
              <w:t>Compliance-risk timer; not an automatic workflow closure.</w:t>
            </w:r>
          </w:p>
        </w:tc>
        <w:tc>
          <w:tcPr>
            <w:tcW w:type="dxa" w:w="2114"/>
            <w:tcMar>
              <w:top w:w="55" w:type="dxa"/>
              <w:start w:w="65" w:type="dxa"/>
              <w:bottom w:w="55" w:type="dxa"/>
              <w:end w:w="65" w:type="dxa"/>
            </w:tcMar>
            <w:vAlign w:val="center"/>
            <w:shd w:fill="F8FAFC"/>
          </w:tcPr>
          <w:p>
            <w:r>
              <w:rPr>
                <w:sz w:val="14"/>
              </w:rPr>
              <w:t>§ 36-12-44</w:t>
            </w:r>
          </w:p>
        </w:tc>
      </w:tr>
      <w:tr>
        <w:trPr>
          <w:cantSplit/>
        </w:trPr>
        <w:tc>
          <w:tcPr>
            <w:tcW w:type="dxa" w:w="2114"/>
            <w:tcMar>
              <w:top w:w="55" w:type="dxa"/>
              <w:start w:w="65" w:type="dxa"/>
              <w:bottom w:w="55" w:type="dxa"/>
              <w:end w:w="65" w:type="dxa"/>
            </w:tcMar>
            <w:vAlign w:val="center"/>
          </w:tcPr>
          <w:p>
            <w:r>
              <w:rPr>
                <w:sz w:val="14"/>
              </w:rPr>
              <w:t>Time-intensive request: no qualifying response/production</w:t>
            </w:r>
          </w:p>
        </w:tc>
        <w:tc>
          <w:tcPr>
            <w:tcW w:type="dxa" w:w="2114"/>
            <w:tcMar>
              <w:top w:w="55" w:type="dxa"/>
              <w:start w:w="65" w:type="dxa"/>
              <w:bottom w:w="55" w:type="dxa"/>
              <w:end w:w="65" w:type="dxa"/>
            </w:tcMar>
            <w:vAlign w:val="center"/>
          </w:tcPr>
          <w:p>
            <w:r>
              <w:rPr>
                <w:sz w:val="14"/>
              </w:rPr>
              <w:t>Earlier of 180 business days or 270 calendar days after applicable anchor</w:t>
            </w:r>
          </w:p>
        </w:tc>
        <w:tc>
          <w:tcPr>
            <w:tcW w:type="dxa" w:w="2114"/>
            <w:tcMar>
              <w:top w:w="55" w:type="dxa"/>
              <w:start w:w="65" w:type="dxa"/>
              <w:bottom w:w="55" w:type="dxa"/>
              <w:end w:w="65" w:type="dxa"/>
            </w:tcMar>
            <w:vAlign w:val="center"/>
          </w:tcPr>
          <w:p>
            <w:r>
              <w:rPr>
                <w:sz w:val="14"/>
              </w:rPr>
              <w:t>Rebuttable presumption of denial, subject to statutory exceptions.</w:t>
            </w:r>
          </w:p>
        </w:tc>
        <w:tc>
          <w:tcPr>
            <w:tcW w:type="dxa" w:w="2114"/>
            <w:tcMar>
              <w:top w:w="55" w:type="dxa"/>
              <w:start w:w="65" w:type="dxa"/>
              <w:bottom w:w="55" w:type="dxa"/>
              <w:end w:w="65" w:type="dxa"/>
            </w:tcMar>
            <w:vAlign w:val="center"/>
          </w:tcPr>
          <w:p>
            <w:r>
              <w:rPr>
                <w:sz w:val="14"/>
              </w:rPr>
              <w:t>Separate long-form compliance timer.</w:t>
            </w:r>
          </w:p>
        </w:tc>
        <w:tc>
          <w:tcPr>
            <w:tcW w:type="dxa" w:w="2114"/>
            <w:tcMar>
              <w:top w:w="55" w:type="dxa"/>
              <w:start w:w="65" w:type="dxa"/>
              <w:bottom w:w="55" w:type="dxa"/>
              <w:end w:w="65" w:type="dxa"/>
            </w:tcMar>
            <w:vAlign w:val="center"/>
          </w:tcPr>
          <w:p>
            <w:r>
              <w:rPr>
                <w:sz w:val="14"/>
              </w:rPr>
              <w:t>§ 36-12-44</w:t>
            </w:r>
          </w:p>
        </w:tc>
      </w:tr>
    </w:tbl>
    <w:p>
      <w:pPr>
        <w:pStyle w:val="Heading1"/>
      </w:pPr>
      <w:r>
        <w:t>5. Vague, Unclear, or Overly Broad Requests</w:t>
      </w:r>
    </w:p>
    <w:p>
      <w:pPr>
        <w:pStyle w:val="ListBullet"/>
        <w:spacing w:after="30"/>
      </w:pPr>
      <w:r>
        <w:t>A request must specifically and discretely identify the records. A public officer has no duty to answer an improper request that is vague, ambiguous, overly broad, or unreasonable in scope.</w:t>
      </w:r>
    </w:p>
    <w:p>
      <w:pPr>
        <w:pStyle w:val="ListBullet"/>
        <w:spacing w:after="30"/>
      </w:pPr>
      <w:r>
        <w:t>Clarification is therefore a validation branch, not a legal classification by itself. The system should preserve the original text, the defect communicated, the proposed narrowing, and the clarified text.</w:t>
      </w:r>
    </w:p>
    <w:p>
      <w:pPr>
        <w:pStyle w:val="ListBullet"/>
        <w:spacing w:after="30"/>
      </w:pPr>
      <w:r>
        <w:t>When the requester supplies clarification or additional information, the clarified submission should become a new timing anchor rather than being treated as an invisible pause of the original clock.</w:t>
      </w:r>
    </w:p>
    <w:p>
      <w:pPr>
        <w:pStyle w:val="ListBullet"/>
        <w:spacing w:after="30"/>
      </w:pPr>
      <w:r>
        <w:t>No universal statewide requester-nonresponse closure interval was identified for a pending clarification. A city should configure reminders and administrative closure without labeling them statutory abandonment.</w:t>
      </w:r>
    </w:p>
    <w:p>
      <w:pPr>
        <w:pStyle w:val="Heading1"/>
      </w:pPr>
      <w:r>
        <w:t>6. Denial and Partial-Denial Process</w:t>
      </w:r>
    </w:p>
    <w:p>
      <w:pPr>
        <w:pStyle w:val="ListBullet"/>
        <w:spacing w:after="30"/>
      </w:pPr>
      <w:r>
        <w:t>A substantive response may deny access, but it should state the reason and distinguish a confidentiality/exemption denial from an improper-request determination or a no-record result.</w:t>
      </w:r>
    </w:p>
    <w:p>
      <w:pPr>
        <w:pStyle w:val="ListBullet"/>
        <w:spacing w:after="30"/>
      </w:pPr>
      <w:r>
        <w:t>Partial production, ongoing negotiations, written agreements, and reasonably communicated status may defeat the statute’s rebuttable denial presumption; the engine must preserve these events.</w:t>
      </w:r>
    </w:p>
    <w:p>
      <w:pPr>
        <w:pStyle w:val="ListBullet"/>
        <w:spacing w:after="30"/>
      </w:pPr>
      <w:r>
        <w:t>Redact and provide nonexempt portions when reasonably segregable rather than converting a partial exemption into a full denial.</w:t>
      </w:r>
    </w:p>
    <w:p>
      <w:pPr>
        <w:pStyle w:val="ListBullet"/>
        <w:spacing w:after="30"/>
      </w:pPr>
      <w:r>
        <w:t>The final denial record should capture legal authority, factual application, decision-maker, requester notice, available nonexempt portions, and appeal/enforcement information.</w:t>
      </w:r>
    </w:p>
    <w:p>
      <w:pPr>
        <w:pStyle w:val="Heading1"/>
      </w:pPr>
      <w:r>
        <w:t>7. Legal Classifications, Tracks, and Operational Classifications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Classification / flag</w:t>
            </w:r>
          </w:p>
        </w:tc>
        <w:tc>
          <w:tcPr>
            <w:tcW w:type="dxa" w:w="2642"/>
            <w:shd w:fill="17365D"/>
            <w:tcMar>
              <w:top w:w="55" w:type="dxa"/>
              <w:start w:w="65" w:type="dxa"/>
              <w:bottom w:w="55" w:type="dxa"/>
              <w:end w:w="65" w:type="dxa"/>
            </w:tcMar>
          </w:tcPr>
          <w:p>
            <w:pPr>
              <w:jc w:val="center"/>
            </w:pPr>
            <w:r>
              <w:rPr>
                <w:b/>
                <w:color w:val="FFFFFF"/>
                <w:sz w:val="14"/>
              </w:rPr>
              <w:t>Legal or operational</w:t>
            </w:r>
          </w:p>
        </w:tc>
        <w:tc>
          <w:tcPr>
            <w:tcW w:type="dxa" w:w="2642"/>
            <w:shd w:fill="17365D"/>
            <w:tcMar>
              <w:top w:w="55" w:type="dxa"/>
              <w:start w:w="65" w:type="dxa"/>
              <w:bottom w:w="55" w:type="dxa"/>
              <w:end w:w="65" w:type="dxa"/>
            </w:tcMar>
          </w:tcPr>
          <w:p>
            <w:pPr>
              <w:jc w:val="center"/>
            </w:pPr>
            <w:r>
              <w:rPr>
                <w:b/>
                <w:color w:val="FFFFFF"/>
                <w:sz w:val="14"/>
              </w:rPr>
              <w:t>Workflow effect</w:t>
            </w:r>
          </w:p>
        </w:tc>
        <w:tc>
          <w:tcPr>
            <w:tcW w:type="dxa" w:w="2642"/>
            <w:shd w:fill="17365D"/>
            <w:tcMar>
              <w:top w:w="55" w:type="dxa"/>
              <w:start w:w="65" w:type="dxa"/>
              <w:bottom w:w="55" w:type="dxa"/>
              <w:end w:w="65" w:type="dxa"/>
            </w:tcMar>
          </w:tcPr>
          <w:p>
            <w:pPr>
              <w:jc w:val="center"/>
            </w:pPr>
            <w:r>
              <w:rPr>
                <w:b/>
                <w:color w:val="FFFFFF"/>
                <w:sz w:val="14"/>
              </w:rPr>
              <w:t>Timer / communication effect</w:t>
            </w:r>
          </w:p>
        </w:tc>
      </w:tr>
      <w:tr>
        <w:trPr>
          <w:cantSplit/>
        </w:trPr>
        <w:tc>
          <w:tcPr>
            <w:tcW w:type="dxa" w:w="2642"/>
            <w:tcMar>
              <w:top w:w="55" w:type="dxa"/>
              <w:start w:w="65" w:type="dxa"/>
              <w:bottom w:w="55" w:type="dxa"/>
              <w:end w:w="65" w:type="dxa"/>
            </w:tcMar>
            <w:vAlign w:val="center"/>
          </w:tcPr>
          <w:p>
            <w:r>
              <w:rPr>
                <w:sz w:val="14"/>
              </w:rPr>
              <w:t>Standard request</w:t>
            </w:r>
          </w:p>
        </w:tc>
        <w:tc>
          <w:tcPr>
            <w:tcW w:type="dxa" w:w="2642"/>
            <w:tcMar>
              <w:top w:w="55" w:type="dxa"/>
              <w:start w:w="65" w:type="dxa"/>
              <w:bottom w:w="55" w:type="dxa"/>
              <w:end w:w="65" w:type="dxa"/>
            </w:tcMar>
            <w:vAlign w:val="center"/>
          </w:tcPr>
          <w:p>
            <w:r>
              <w:rPr>
                <w:sz w:val="14"/>
              </w:rPr>
              <w:t>Legal</w:t>
            </w:r>
          </w:p>
        </w:tc>
        <w:tc>
          <w:tcPr>
            <w:tcW w:type="dxa" w:w="2642"/>
            <w:tcMar>
              <w:top w:w="55" w:type="dxa"/>
              <w:start w:w="65" w:type="dxa"/>
              <w:bottom w:w="55" w:type="dxa"/>
              <w:end w:w="65" w:type="dxa"/>
            </w:tcMar>
            <w:vAlign w:val="center"/>
          </w:tcPr>
          <w:p>
            <w:r>
              <w:rPr>
                <w:sz w:val="14"/>
              </w:rPr>
              <w:t>Expected to require no more than eight staff hours and no or minimal clarification.</w:t>
            </w:r>
          </w:p>
        </w:tc>
        <w:tc>
          <w:tcPr>
            <w:tcW w:type="dxa" w:w="2642"/>
            <w:tcMar>
              <w:top w:w="55" w:type="dxa"/>
              <w:start w:w="65" w:type="dxa"/>
              <w:bottom w:w="55" w:type="dxa"/>
              <w:end w:w="65" w:type="dxa"/>
            </w:tcMar>
            <w:vAlign w:val="center"/>
          </w:tcPr>
          <w:p>
            <w:r>
              <w:rPr>
                <w:sz w:val="14"/>
              </w:rPr>
              <w:t>10-day acknowledgment; 15-day substantive-response track; 15-day extensions.</w:t>
            </w:r>
          </w:p>
        </w:tc>
      </w:tr>
      <w:tr>
        <w:trPr>
          <w:cantSplit/>
        </w:trPr>
        <w:tc>
          <w:tcPr>
            <w:tcW w:type="dxa" w:w="2642"/>
            <w:tcMar>
              <w:top w:w="55" w:type="dxa"/>
              <w:start w:w="65" w:type="dxa"/>
              <w:bottom w:w="55" w:type="dxa"/>
              <w:end w:w="65" w:type="dxa"/>
            </w:tcMar>
            <w:vAlign w:val="center"/>
            <w:shd w:fill="F8FAFC"/>
          </w:tcPr>
          <w:p>
            <w:r>
              <w:rPr>
                <w:sz w:val="14"/>
              </w:rPr>
              <w:t>Time-intensive request</w:t>
            </w:r>
          </w:p>
        </w:tc>
        <w:tc>
          <w:tcPr>
            <w:tcW w:type="dxa" w:w="2642"/>
            <w:tcMar>
              <w:top w:w="55" w:type="dxa"/>
              <w:start w:w="65" w:type="dxa"/>
              <w:bottom w:w="55" w:type="dxa"/>
              <w:end w:w="65" w:type="dxa"/>
            </w:tcMar>
            <w:vAlign w:val="center"/>
            <w:shd w:fill="F8FAFC"/>
          </w:tcPr>
          <w:p>
            <w:r>
              <w:rPr>
                <w:sz w:val="14"/>
              </w:rPr>
              <w:t>Legal</w:t>
            </w:r>
          </w:p>
        </w:tc>
        <w:tc>
          <w:tcPr>
            <w:tcW w:type="dxa" w:w="2642"/>
            <w:tcMar>
              <w:top w:w="55" w:type="dxa"/>
              <w:start w:w="65" w:type="dxa"/>
              <w:bottom w:w="55" w:type="dxa"/>
              <w:end w:w="65" w:type="dxa"/>
            </w:tcMar>
            <w:vAlign w:val="center"/>
            <w:shd w:fill="F8FAFC"/>
          </w:tcPr>
          <w:p>
            <w:r>
              <w:rPr>
                <w:sz w:val="14"/>
              </w:rPr>
              <w:t>Expected to exceed eight staff hours, including identification, retrieval, and redaction.</w:t>
            </w:r>
          </w:p>
        </w:tc>
        <w:tc>
          <w:tcPr>
            <w:tcW w:type="dxa" w:w="2642"/>
            <w:tcMar>
              <w:top w:w="55" w:type="dxa"/>
              <w:start w:w="65" w:type="dxa"/>
              <w:bottom w:w="55" w:type="dxa"/>
              <w:end w:w="65" w:type="dxa"/>
            </w:tcMar>
            <w:vAlign w:val="center"/>
            <w:shd w:fill="F8FAFC"/>
          </w:tcPr>
          <w:p>
            <w:r>
              <w:rPr>
                <w:sz w:val="14"/>
              </w:rPr>
              <w:t>Classification/fee notice; requester election; 45-day response track and extensions.</w:t>
            </w:r>
          </w:p>
        </w:tc>
      </w:tr>
      <w:tr>
        <w:trPr>
          <w:cantSplit/>
        </w:trPr>
        <w:tc>
          <w:tcPr>
            <w:tcW w:type="dxa" w:w="2642"/>
            <w:tcMar>
              <w:top w:w="55" w:type="dxa"/>
              <w:start w:w="65" w:type="dxa"/>
              <w:bottom w:w="55" w:type="dxa"/>
              <w:end w:w="65" w:type="dxa"/>
            </w:tcMar>
            <w:vAlign w:val="center"/>
          </w:tcPr>
          <w:p>
            <w:r>
              <w:rPr>
                <w:sz w:val="14"/>
              </w:rPr>
              <w:t>Improper / insufficiently specific request</w:t>
            </w:r>
          </w:p>
        </w:tc>
        <w:tc>
          <w:tcPr>
            <w:tcW w:type="dxa" w:w="2642"/>
            <w:tcMar>
              <w:top w:w="55" w:type="dxa"/>
              <w:start w:w="65" w:type="dxa"/>
              <w:bottom w:w="55" w:type="dxa"/>
              <w:end w:w="65" w:type="dxa"/>
            </w:tcMar>
            <w:vAlign w:val="center"/>
          </w:tcPr>
          <w:p>
            <w:r>
              <w:rPr>
                <w:sz w:val="14"/>
              </w:rPr>
              <w:t>Legal validation result</w:t>
            </w:r>
          </w:p>
        </w:tc>
        <w:tc>
          <w:tcPr>
            <w:tcW w:type="dxa" w:w="2642"/>
            <w:tcMar>
              <w:top w:w="55" w:type="dxa"/>
              <w:start w:w="65" w:type="dxa"/>
              <w:bottom w:w="55" w:type="dxa"/>
              <w:end w:w="65" w:type="dxa"/>
            </w:tcMar>
            <w:vAlign w:val="center"/>
          </w:tcPr>
          <w:p>
            <w:r>
              <w:rPr>
                <w:sz w:val="14"/>
              </w:rPr>
              <w:t>No duty to process until a proper request exists.</w:t>
            </w:r>
          </w:p>
        </w:tc>
        <w:tc>
          <w:tcPr>
            <w:tcW w:type="dxa" w:w="2642"/>
            <w:tcMar>
              <w:top w:w="55" w:type="dxa"/>
              <w:start w:w="65" w:type="dxa"/>
              <w:bottom w:w="55" w:type="dxa"/>
              <w:end w:w="65" w:type="dxa"/>
            </w:tcMar>
            <w:vAlign w:val="center"/>
          </w:tcPr>
          <w:p>
            <w:r>
              <w:rPr>
                <w:sz w:val="14"/>
              </w:rPr>
              <w:t>Clarification/new-receipt branch; no invented numeric closure period.</w:t>
            </w:r>
          </w:p>
        </w:tc>
      </w:tr>
      <w:tr>
        <w:trPr>
          <w:cantSplit/>
        </w:trPr>
        <w:tc>
          <w:tcPr>
            <w:tcW w:type="dxa" w:w="2642"/>
            <w:tcMar>
              <w:top w:w="55" w:type="dxa"/>
              <w:start w:w="65" w:type="dxa"/>
              <w:bottom w:w="55" w:type="dxa"/>
              <w:end w:w="65" w:type="dxa"/>
            </w:tcMar>
            <w:vAlign w:val="center"/>
            <w:shd w:fill="F8FAFC"/>
          </w:tcPr>
          <w:p>
            <w:r>
              <w:rPr>
                <w:sz w:val="14"/>
              </w:rPr>
              <w:t>Simple / moderate / complex</w:t>
            </w:r>
          </w:p>
        </w:tc>
        <w:tc>
          <w:tcPr>
            <w:tcW w:type="dxa" w:w="2642"/>
            <w:tcMar>
              <w:top w:w="55" w:type="dxa"/>
              <w:start w:w="65" w:type="dxa"/>
              <w:bottom w:w="55" w:type="dxa"/>
              <w:end w:w="65" w:type="dxa"/>
            </w:tcMar>
            <w:vAlign w:val="center"/>
            <w:shd w:fill="F8FAFC"/>
          </w:tcPr>
          <w:p>
            <w:r>
              <w:rPr>
                <w:sz w:val="14"/>
              </w:rPr>
              <w:t>Operational</w:t>
            </w:r>
          </w:p>
        </w:tc>
        <w:tc>
          <w:tcPr>
            <w:tcW w:type="dxa" w:w="2642"/>
            <w:tcMar>
              <w:top w:w="55" w:type="dxa"/>
              <w:start w:w="65" w:type="dxa"/>
              <w:bottom w:w="55" w:type="dxa"/>
              <w:end w:w="65" w:type="dxa"/>
            </w:tcMar>
            <w:vAlign w:val="center"/>
            <w:shd w:fill="F8FAFC"/>
          </w:tcPr>
          <w:p>
            <w:r>
              <w:rPr>
                <w:sz w:val="14"/>
              </w:rPr>
              <w:t>Optional workload labels for assignment and service goals.</w:t>
            </w:r>
          </w:p>
        </w:tc>
        <w:tc>
          <w:tcPr>
            <w:tcW w:type="dxa" w:w="2642"/>
            <w:tcMar>
              <w:top w:w="55" w:type="dxa"/>
              <w:start w:w="65" w:type="dxa"/>
              <w:bottom w:w="55" w:type="dxa"/>
              <w:end w:w="65" w:type="dxa"/>
            </w:tcMar>
            <w:vAlign w:val="center"/>
            <w:shd w:fill="F8FAFC"/>
          </w:tcPr>
          <w:p>
            <w:r>
              <w:rPr>
                <w:sz w:val="14"/>
              </w:rPr>
              <w:t>Must not replace the two statutory tracks or alter statutory timers.</w:t>
            </w:r>
          </w:p>
        </w:tc>
      </w:tr>
    </w:tbl>
    <w:p>
      <w:pPr>
        <w:pStyle w:val="Heading1"/>
      </w:pPr>
      <w:r>
        <w:t>8. Large Volume, Redaction, Programming, and Electronic Records</w:t>
      </w:r>
    </w:p>
    <w:p>
      <w:pPr>
        <w:pStyle w:val="ListBullet"/>
        <w:spacing w:after="30"/>
      </w:pPr>
      <w:r>
        <w:t>The eight-hour threshold expressly includes time to identify, retrieve, and redact records; workload estimation must cover all three activity families.</w:t>
      </w:r>
    </w:p>
    <w:p>
      <w:pPr>
        <w:pStyle w:val="ListBullet"/>
        <w:spacing w:after="30"/>
      </w:pPr>
      <w:r>
        <w:t>Electronic indexing, templates, and automated redaction may reduce the expected hours and therefore change the legal track selected at intake. Store the facts and estimate version supporting the classification.</w:t>
      </w:r>
    </w:p>
    <w:p>
      <w:pPr>
        <w:pStyle w:val="ListBullet"/>
        <w:spacing w:after="30"/>
      </w:pPr>
      <w:r>
        <w:t>The statute does not require creation of a new record merely to satisfy a request; the system should distinguish existing-record extraction from new-record creation.</w:t>
      </w:r>
    </w:p>
    <w:p>
      <w:pPr>
        <w:pStyle w:val="ListBullet"/>
        <w:spacing w:after="30"/>
      </w:pPr>
      <w:r>
        <w:t>Large requests may proceed through extensions, partial responses, scope negotiation, and fee prepayment rather than being treated as inherently invalid.</w:t>
      </w:r>
    </w:p>
    <w:p>
      <w:pPr>
        <w:pStyle w:val="Heading1"/>
      </w:pPr>
      <w:r>
        <w:t>9. Fee Estimate, Deposit, Payment, and Reconciliation Workflow</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Fee component / trigger</w:t>
            </w:r>
          </w:p>
        </w:tc>
        <w:tc>
          <w:tcPr>
            <w:tcW w:type="dxa" w:w="2642"/>
            <w:shd w:fill="17365D"/>
            <w:tcMar>
              <w:top w:w="55" w:type="dxa"/>
              <w:start w:w="65" w:type="dxa"/>
              <w:bottom w:w="55" w:type="dxa"/>
              <w:end w:w="65" w:type="dxa"/>
            </w:tcMar>
          </w:tcPr>
          <w:p>
            <w:pPr>
              <w:jc w:val="center"/>
            </w:pPr>
            <w:r>
              <w:rPr>
                <w:b/>
                <w:color w:val="FFFFFF"/>
                <w:sz w:val="14"/>
              </w:rPr>
              <w:t>Statewide rule</w:t>
            </w:r>
          </w:p>
        </w:tc>
        <w:tc>
          <w:tcPr>
            <w:tcW w:type="dxa" w:w="2642"/>
            <w:shd w:fill="17365D"/>
            <w:tcMar>
              <w:top w:w="55" w:type="dxa"/>
              <w:start w:w="65" w:type="dxa"/>
              <w:bottom w:w="55" w:type="dxa"/>
              <w:end w:w="65" w:type="dxa"/>
            </w:tcMar>
          </w:tcPr>
          <w:p>
            <w:pPr>
              <w:jc w:val="center"/>
            </w:pPr>
            <w:r>
              <w:rPr>
                <w:b/>
                <w:color w:val="FFFFFF"/>
                <w:sz w:val="14"/>
              </w:rPr>
              <w:t>Estimate / payment timing</w:t>
            </w:r>
          </w:p>
        </w:tc>
        <w:tc>
          <w:tcPr>
            <w:tcW w:type="dxa" w:w="2642"/>
            <w:shd w:fill="17365D"/>
            <w:tcMar>
              <w:top w:w="55" w:type="dxa"/>
              <w:start w:w="65" w:type="dxa"/>
              <w:bottom w:w="55" w:type="dxa"/>
              <w:end w:w="65" w:type="dxa"/>
            </w:tcMar>
          </w:tcPr>
          <w:p>
            <w:pPr>
              <w:jc w:val="center"/>
            </w:pPr>
            <w:r>
              <w:rPr>
                <w:b/>
                <w:color w:val="FFFFFF"/>
                <w:sz w:val="14"/>
              </w:rPr>
              <w:t>Configuration treatment</w:t>
            </w:r>
          </w:p>
        </w:tc>
      </w:tr>
      <w:tr>
        <w:trPr>
          <w:cantSplit/>
        </w:trPr>
        <w:tc>
          <w:tcPr>
            <w:tcW w:type="dxa" w:w="2642"/>
            <w:tcMar>
              <w:top w:w="55" w:type="dxa"/>
              <w:start w:w="65" w:type="dxa"/>
              <w:bottom w:w="55" w:type="dxa"/>
              <w:end w:w="65" w:type="dxa"/>
            </w:tcMar>
            <w:vAlign w:val="center"/>
          </w:tcPr>
          <w:p>
            <w:r>
              <w:rPr>
                <w:sz w:val="14"/>
              </w:rPr>
              <w:t>Reasonable copying / processing fee</w:t>
            </w:r>
          </w:p>
        </w:tc>
        <w:tc>
          <w:tcPr>
            <w:tcW w:type="dxa" w:w="2642"/>
            <w:tcMar>
              <w:top w:w="55" w:type="dxa"/>
              <w:start w:w="65" w:type="dxa"/>
              <w:bottom w:w="55" w:type="dxa"/>
              <w:end w:w="65" w:type="dxa"/>
            </w:tcMar>
            <w:vAlign w:val="center"/>
          </w:tcPr>
          <w:p>
            <w:r>
              <w:rPr>
                <w:sz w:val="14"/>
              </w:rPr>
              <w:t>Allowed under the Act; no universal statewide city rate.</w:t>
            </w:r>
          </w:p>
        </w:tc>
        <w:tc>
          <w:tcPr>
            <w:tcW w:type="dxa" w:w="2642"/>
            <w:tcMar>
              <w:top w:w="55" w:type="dxa"/>
              <w:start w:w="65" w:type="dxa"/>
              <w:bottom w:w="55" w:type="dxa"/>
              <w:end w:w="65" w:type="dxa"/>
            </w:tcMar>
            <w:vAlign w:val="center"/>
          </w:tcPr>
          <w:p>
            <w:r>
              <w:rPr>
                <w:sz w:val="14"/>
              </w:rPr>
              <w:t>Notify estimated or likely fees; production may be withheld until payment.</w:t>
            </w:r>
          </w:p>
        </w:tc>
        <w:tc>
          <w:tcPr>
            <w:tcW w:type="dxa" w:w="2642"/>
            <w:tcMar>
              <w:top w:w="55" w:type="dxa"/>
              <w:start w:w="65" w:type="dxa"/>
              <w:bottom w:w="55" w:type="dxa"/>
              <w:end w:w="65" w:type="dxa"/>
            </w:tcMar>
            <w:vAlign w:val="center"/>
          </w:tcPr>
          <w:p>
            <w:r>
              <w:rPr>
                <w:sz w:val="14"/>
              </w:rPr>
              <w:t>Local fee schedule and legal authority required.</w:t>
            </w:r>
          </w:p>
        </w:tc>
      </w:tr>
      <w:tr>
        <w:trPr>
          <w:cantSplit/>
        </w:trPr>
        <w:tc>
          <w:tcPr>
            <w:tcW w:type="dxa" w:w="2642"/>
            <w:tcMar>
              <w:top w:w="55" w:type="dxa"/>
              <w:start w:w="65" w:type="dxa"/>
              <w:bottom w:w="55" w:type="dxa"/>
              <w:end w:w="65" w:type="dxa"/>
            </w:tcMar>
            <w:vAlign w:val="center"/>
            <w:shd w:fill="F8FAFC"/>
          </w:tcPr>
          <w:p>
            <w:r>
              <w:rPr>
                <w:sz w:val="14"/>
              </w:rPr>
              <w:t>Pre-search payment</w:t>
            </w:r>
          </w:p>
        </w:tc>
        <w:tc>
          <w:tcPr>
            <w:tcW w:type="dxa" w:w="2642"/>
            <w:tcMar>
              <w:top w:w="55" w:type="dxa"/>
              <w:start w:w="65" w:type="dxa"/>
              <w:bottom w:w="55" w:type="dxa"/>
              <w:end w:w="65" w:type="dxa"/>
            </w:tcMar>
            <w:vAlign w:val="center"/>
            <w:shd w:fill="F8FAFC"/>
          </w:tcPr>
          <w:p>
            <w:r>
              <w:rPr>
                <w:sz w:val="14"/>
              </w:rPr>
              <w:t>City may require all or part of estimated fees before beginning search.</w:t>
            </w:r>
          </w:p>
        </w:tc>
        <w:tc>
          <w:tcPr>
            <w:tcW w:type="dxa" w:w="2642"/>
            <w:tcMar>
              <w:top w:w="55" w:type="dxa"/>
              <w:start w:w="65" w:type="dxa"/>
              <w:bottom w:w="55" w:type="dxa"/>
              <w:end w:w="65" w:type="dxa"/>
            </w:tcMar>
            <w:vAlign w:val="center"/>
            <w:shd w:fill="F8FAFC"/>
          </w:tcPr>
          <w:p>
            <w:r>
              <w:rPr>
                <w:sz w:val="14"/>
              </w:rPr>
              <w:t>Payment gate may precede search activity.</w:t>
            </w:r>
          </w:p>
        </w:tc>
        <w:tc>
          <w:tcPr>
            <w:tcW w:type="dxa" w:w="2642"/>
            <w:tcMar>
              <w:top w:w="55" w:type="dxa"/>
              <w:start w:w="65" w:type="dxa"/>
              <w:bottom w:w="55" w:type="dxa"/>
              <w:end w:w="65" w:type="dxa"/>
            </w:tcMar>
            <w:vAlign w:val="center"/>
            <w:shd w:fill="F8FAFC"/>
          </w:tcPr>
          <w:p>
            <w:r>
              <w:rPr>
                <w:sz w:val="14"/>
              </w:rPr>
              <w:t>Configurable percentage/amount and approved communication.</w:t>
            </w:r>
          </w:p>
        </w:tc>
      </w:tr>
      <w:tr>
        <w:trPr>
          <w:cantSplit/>
        </w:trPr>
        <w:tc>
          <w:tcPr>
            <w:tcW w:type="dxa" w:w="2642"/>
            <w:tcMar>
              <w:top w:w="55" w:type="dxa"/>
              <w:start w:w="65" w:type="dxa"/>
              <w:bottom w:w="55" w:type="dxa"/>
              <w:end w:w="65" w:type="dxa"/>
            </w:tcMar>
            <w:vAlign w:val="center"/>
          </w:tcPr>
          <w:p>
            <w:r>
              <w:rPr>
                <w:sz w:val="14"/>
              </w:rPr>
              <w:t>Time-intensive request fee notice</w:t>
            </w:r>
          </w:p>
        </w:tc>
        <w:tc>
          <w:tcPr>
            <w:tcW w:type="dxa" w:w="2642"/>
            <w:tcMar>
              <w:top w:w="55" w:type="dxa"/>
              <w:start w:w="65" w:type="dxa"/>
              <w:bottom w:w="55" w:type="dxa"/>
              <w:end w:w="65" w:type="dxa"/>
            </w:tcMar>
            <w:vAlign w:val="center"/>
          </w:tcPr>
          <w:p>
            <w:r>
              <w:rPr>
                <w:sz w:val="14"/>
              </w:rPr>
              <w:t>Likely fees must be communicated with classification notice.</w:t>
            </w:r>
          </w:p>
        </w:tc>
        <w:tc>
          <w:tcPr>
            <w:tcW w:type="dxa" w:w="2642"/>
            <w:tcMar>
              <w:top w:w="55" w:type="dxa"/>
              <w:start w:w="65" w:type="dxa"/>
              <w:bottom w:w="55" w:type="dxa"/>
              <w:end w:w="65" w:type="dxa"/>
            </w:tcMar>
            <w:vAlign w:val="center"/>
          </w:tcPr>
          <w:p>
            <w:r>
              <w:rPr>
                <w:sz w:val="14"/>
              </w:rPr>
              <w:t>Before requester elects to proceed.</w:t>
            </w:r>
          </w:p>
        </w:tc>
        <w:tc>
          <w:tcPr>
            <w:tcW w:type="dxa" w:w="2642"/>
            <w:tcMar>
              <w:top w:w="55" w:type="dxa"/>
              <w:start w:w="65" w:type="dxa"/>
              <w:bottom w:w="55" w:type="dxa"/>
              <w:end w:w="65" w:type="dxa"/>
            </w:tcMar>
            <w:vAlign w:val="center"/>
          </w:tcPr>
          <w:p>
            <w:r>
              <w:rPr>
                <w:sz w:val="14"/>
              </w:rPr>
              <w:t>Tie estimate version to workload classification.</w:t>
            </w:r>
          </w:p>
        </w:tc>
      </w:tr>
      <w:tr>
        <w:trPr>
          <w:cantSplit/>
        </w:trPr>
        <w:tc>
          <w:tcPr>
            <w:tcW w:type="dxa" w:w="2642"/>
            <w:tcMar>
              <w:top w:w="55" w:type="dxa"/>
              <w:start w:w="65" w:type="dxa"/>
              <w:bottom w:w="55" w:type="dxa"/>
              <w:end w:w="65" w:type="dxa"/>
            </w:tcMar>
            <w:vAlign w:val="center"/>
            <w:shd w:fill="F8FAFC"/>
          </w:tcPr>
          <w:p>
            <w:r>
              <w:rPr>
                <w:sz w:val="14"/>
              </w:rPr>
              <w:t>Final payment / reconciliation</w:t>
            </w:r>
          </w:p>
        </w:tc>
        <w:tc>
          <w:tcPr>
            <w:tcW w:type="dxa" w:w="2642"/>
            <w:tcMar>
              <w:top w:w="55" w:type="dxa"/>
              <w:start w:w="65" w:type="dxa"/>
              <w:bottom w:w="55" w:type="dxa"/>
              <w:end w:w="65" w:type="dxa"/>
            </w:tcMar>
            <w:vAlign w:val="center"/>
            <w:shd w:fill="F8FAFC"/>
          </w:tcPr>
          <w:p>
            <w:r>
              <w:rPr>
                <w:sz w:val="14"/>
              </w:rPr>
              <w:t>Actual charge may differ from estimate within lawful local policy.</w:t>
            </w:r>
          </w:p>
        </w:tc>
        <w:tc>
          <w:tcPr>
            <w:tcW w:type="dxa" w:w="2642"/>
            <w:tcMar>
              <w:top w:w="55" w:type="dxa"/>
              <w:start w:w="65" w:type="dxa"/>
              <w:bottom w:w="55" w:type="dxa"/>
              <w:end w:w="65" w:type="dxa"/>
            </w:tcMar>
            <w:vAlign w:val="center"/>
            <w:shd w:fill="F8FAFC"/>
          </w:tcPr>
          <w:p>
            <w:r>
              <w:rPr>
                <w:sz w:val="14"/>
              </w:rPr>
              <w:t>Collect before release when policy requires; reconcile/refund overpayment.</w:t>
            </w:r>
          </w:p>
        </w:tc>
        <w:tc>
          <w:tcPr>
            <w:tcW w:type="dxa" w:w="2642"/>
            <w:tcMar>
              <w:top w:w="55" w:type="dxa"/>
              <w:start w:w="65" w:type="dxa"/>
              <w:bottom w:w="55" w:type="dxa"/>
              <w:end w:w="65" w:type="dxa"/>
            </w:tcMar>
            <w:vAlign w:val="center"/>
            <w:shd w:fill="F8FAFC"/>
          </w:tcPr>
          <w:p>
            <w:r>
              <w:rPr>
                <w:sz w:val="14"/>
              </w:rPr>
              <w:t>Use activity ledger and template versioning.</w:t>
            </w:r>
          </w:p>
        </w:tc>
      </w:tr>
    </w:tbl>
    <w:p>
      <w:pPr>
        <w:pStyle w:val="Heading1"/>
      </w:pPr>
      <w:r>
        <w:t>10. Normalized Software Rules</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3"/>
              </w:rPr>
              <w:t>Rule</w:t>
            </w:r>
          </w:p>
        </w:tc>
        <w:tc>
          <w:tcPr>
            <w:tcW w:type="dxa" w:w="2114"/>
            <w:shd w:fill="17365D"/>
            <w:tcMar>
              <w:top w:w="55" w:type="dxa"/>
              <w:start w:w="65" w:type="dxa"/>
              <w:bottom w:w="55" w:type="dxa"/>
              <w:end w:w="65" w:type="dxa"/>
            </w:tcMar>
          </w:tcPr>
          <w:p>
            <w:pPr>
              <w:jc w:val="center"/>
            </w:pPr>
            <w:r>
              <w:rPr>
                <w:b/>
                <w:color w:val="FFFFFF"/>
                <w:sz w:val="13"/>
              </w:rPr>
              <w:t>Trigger / conditions</w:t>
            </w:r>
          </w:p>
        </w:tc>
        <w:tc>
          <w:tcPr>
            <w:tcW w:type="dxa" w:w="2114"/>
            <w:shd w:fill="17365D"/>
            <w:tcMar>
              <w:top w:w="55" w:type="dxa"/>
              <w:start w:w="65" w:type="dxa"/>
              <w:bottom w:w="55" w:type="dxa"/>
              <w:end w:w="65" w:type="dxa"/>
            </w:tcMar>
          </w:tcPr>
          <w:p>
            <w:pPr>
              <w:jc w:val="center"/>
            </w:pPr>
            <w:r>
              <w:rPr>
                <w:b/>
                <w:color w:val="FFFFFF"/>
                <w:sz w:val="13"/>
              </w:rPr>
              <w:t>Required action &amp; communication</w:t>
            </w:r>
          </w:p>
        </w:tc>
        <w:tc>
          <w:tcPr>
            <w:tcW w:type="dxa" w:w="2114"/>
            <w:shd w:fill="17365D"/>
            <w:tcMar>
              <w:top w:w="55" w:type="dxa"/>
              <w:start w:w="65" w:type="dxa"/>
              <w:bottom w:w="55" w:type="dxa"/>
              <w:end w:w="65" w:type="dxa"/>
            </w:tcMar>
          </w:tcPr>
          <w:p>
            <w:pPr>
              <w:jc w:val="center"/>
            </w:pPr>
            <w:r>
              <w:rPr>
                <w:b/>
                <w:color w:val="FFFFFF"/>
                <w:sz w:val="13"/>
              </w:rPr>
              <w:t>Deadline / clock effect</w:t>
            </w:r>
          </w:p>
        </w:tc>
        <w:tc>
          <w:tcPr>
            <w:tcW w:type="dxa" w:w="2114"/>
            <w:shd w:fill="17365D"/>
            <w:tcMar>
              <w:top w:w="55" w:type="dxa"/>
              <w:start w:w="65" w:type="dxa"/>
              <w:bottom w:w="55" w:type="dxa"/>
              <w:end w:w="65" w:type="dxa"/>
            </w:tcMar>
          </w:tcPr>
          <w:p>
            <w:pPr>
              <w:jc w:val="center"/>
            </w:pPr>
            <w:r>
              <w:rPr>
                <w:b/>
                <w:color w:val="FFFFFF"/>
                <w:sz w:val="13"/>
              </w:rPr>
              <w:t>Configuration, applicability &amp; authority</w:t>
            </w:r>
          </w:p>
        </w:tc>
      </w:tr>
      <w:tr>
        <w:trPr>
          <w:cantSplit/>
        </w:trPr>
        <w:tc>
          <w:tcPr>
            <w:tcW w:type="dxa" w:w="2114"/>
            <w:tcMar>
              <w:top w:w="55" w:type="dxa"/>
              <w:start w:w="65" w:type="dxa"/>
              <w:bottom w:w="55" w:type="dxa"/>
              <w:end w:w="65" w:type="dxa"/>
            </w:tcMar>
            <w:vAlign w:val="center"/>
          </w:tcPr>
          <w:p>
            <w:r>
              <w:rPr>
                <w:sz w:val="13"/>
              </w:rPr>
              <w:t>AL-INT-01</w:t>
            </w:r>
          </w:p>
        </w:tc>
        <w:tc>
          <w:tcPr>
            <w:tcW w:type="dxa" w:w="2114"/>
            <w:tcMar>
              <w:top w:w="55" w:type="dxa"/>
              <w:start w:w="65" w:type="dxa"/>
              <w:bottom w:w="55" w:type="dxa"/>
              <w:end w:w="65" w:type="dxa"/>
            </w:tcMar>
            <w:vAlign w:val="center"/>
          </w:tcPr>
          <w:p>
            <w:r>
              <w:rPr>
                <w:sz w:val="13"/>
              </w:rPr>
              <w:t>Written request received through required procedure; requester claims Alabama residency.</w:t>
            </w:r>
          </w:p>
        </w:tc>
        <w:tc>
          <w:tcPr>
            <w:tcW w:type="dxa" w:w="2114"/>
            <w:tcMar>
              <w:top w:w="55" w:type="dxa"/>
              <w:start w:w="65" w:type="dxa"/>
              <w:bottom w:w="55" w:type="dxa"/>
              <w:end w:w="65" w:type="dxa"/>
            </w:tcMar>
            <w:vAlign w:val="center"/>
          </w:tcPr>
          <w:p>
            <w:r>
              <w:rPr>
                <w:sz w:val="13"/>
              </w:rPr>
              <w:t>Validate resident status, proper recipient, form/procedure, and identifiable existing records.</w:t>
            </w:r>
          </w:p>
        </w:tc>
        <w:tc>
          <w:tcPr>
            <w:tcW w:type="dxa" w:w="2114"/>
            <w:tcMar>
              <w:top w:w="55" w:type="dxa"/>
              <w:start w:w="65" w:type="dxa"/>
              <w:bottom w:w="55" w:type="dxa"/>
              <w:end w:w="65" w:type="dxa"/>
            </w:tcMar>
            <w:vAlign w:val="center"/>
          </w:tcPr>
          <w:p>
            <w:r>
              <w:rPr>
                <w:sz w:val="13"/>
              </w:rPr>
              <w:t>Before acknowledgment; no processing duty for improper request.</w:t>
            </w:r>
          </w:p>
        </w:tc>
        <w:tc>
          <w:tcPr>
            <w:tcW w:type="dxa" w:w="2114"/>
            <w:tcMar>
              <w:top w:w="55" w:type="dxa"/>
              <w:start w:w="65" w:type="dxa"/>
              <w:bottom w:w="55" w:type="dxa"/>
              <w:end w:w="65" w:type="dxa"/>
            </w:tcMar>
            <w:vAlign w:val="center"/>
          </w:tcPr>
          <w:p>
            <w:r>
              <w:rPr>
                <w:sz w:val="13"/>
              </w:rPr>
              <w:t>State law + local proof/procedure configuration; cities.</w:t>
            </w:r>
          </w:p>
        </w:tc>
      </w:tr>
      <w:tr>
        <w:trPr>
          <w:cantSplit/>
        </w:trPr>
        <w:tc>
          <w:tcPr>
            <w:tcW w:type="dxa" w:w="2114"/>
            <w:tcMar>
              <w:top w:w="55" w:type="dxa"/>
              <w:start w:w="65" w:type="dxa"/>
              <w:bottom w:w="55" w:type="dxa"/>
              <w:end w:w="65" w:type="dxa"/>
            </w:tcMar>
            <w:vAlign w:val="center"/>
            <w:shd w:fill="F8FAFC"/>
          </w:tcPr>
          <w:p>
            <w:r>
              <w:rPr>
                <w:sz w:val="13"/>
              </w:rPr>
              <w:t>AL-ACK-01</w:t>
            </w:r>
          </w:p>
        </w:tc>
        <w:tc>
          <w:tcPr>
            <w:tcW w:type="dxa" w:w="2114"/>
            <w:tcMar>
              <w:top w:w="55" w:type="dxa"/>
              <w:start w:w="65" w:type="dxa"/>
              <w:bottom w:w="55" w:type="dxa"/>
              <w:end w:w="65" w:type="dxa"/>
            </w:tcMar>
            <w:vAlign w:val="center"/>
            <w:shd w:fill="F8FAFC"/>
          </w:tcPr>
          <w:p>
            <w:r>
              <w:rPr>
                <w:sz w:val="13"/>
              </w:rPr>
              <w:t>Proper request accepted.</w:t>
            </w:r>
          </w:p>
        </w:tc>
        <w:tc>
          <w:tcPr>
            <w:tcW w:type="dxa" w:w="2114"/>
            <w:tcMar>
              <w:top w:w="55" w:type="dxa"/>
              <w:start w:w="65" w:type="dxa"/>
              <w:bottom w:w="55" w:type="dxa"/>
              <w:end w:w="65" w:type="dxa"/>
            </w:tcMar>
            <w:vAlign w:val="center"/>
            <w:shd w:fill="F8FAFC"/>
          </w:tcPr>
          <w:p>
            <w:r>
              <w:rPr>
                <w:sz w:val="13"/>
              </w:rPr>
              <w:t>Send acknowledgment.</w:t>
            </w:r>
          </w:p>
        </w:tc>
        <w:tc>
          <w:tcPr>
            <w:tcW w:type="dxa" w:w="2114"/>
            <w:tcMar>
              <w:top w:w="55" w:type="dxa"/>
              <w:start w:w="65" w:type="dxa"/>
              <w:bottom w:w="55" w:type="dxa"/>
              <w:end w:w="65" w:type="dxa"/>
            </w:tcMar>
            <w:vAlign w:val="center"/>
            <w:shd w:fill="F8FAFC"/>
          </w:tcPr>
          <w:p>
            <w:r>
              <w:rPr>
                <w:sz w:val="13"/>
              </w:rPr>
              <w:t>Within 10 business days after receipt.</w:t>
            </w:r>
          </w:p>
        </w:tc>
        <w:tc>
          <w:tcPr>
            <w:tcW w:type="dxa" w:w="2114"/>
            <w:tcMar>
              <w:top w:w="55" w:type="dxa"/>
              <w:start w:w="65" w:type="dxa"/>
              <w:bottom w:w="55" w:type="dxa"/>
              <w:end w:w="65" w:type="dxa"/>
            </w:tcMar>
            <w:vAlign w:val="center"/>
            <w:shd w:fill="F8FAFC"/>
          </w:tcPr>
          <w:p>
            <w:r>
              <w:rPr>
                <w:sz w:val="13"/>
              </w:rPr>
              <w:t>Mandatory statewide timer; § 36-12-44.</w:t>
            </w:r>
          </w:p>
        </w:tc>
      </w:tr>
      <w:tr>
        <w:trPr>
          <w:cantSplit/>
        </w:trPr>
        <w:tc>
          <w:tcPr>
            <w:tcW w:type="dxa" w:w="2114"/>
            <w:tcMar>
              <w:top w:w="55" w:type="dxa"/>
              <w:start w:w="65" w:type="dxa"/>
              <w:bottom w:w="55" w:type="dxa"/>
              <w:end w:w="65" w:type="dxa"/>
            </w:tcMar>
            <w:vAlign w:val="center"/>
          </w:tcPr>
          <w:p>
            <w:r>
              <w:rPr>
                <w:sz w:val="13"/>
              </w:rPr>
              <w:t>AL-CLS-01</w:t>
            </w:r>
          </w:p>
        </w:tc>
        <w:tc>
          <w:tcPr>
            <w:tcW w:type="dxa" w:w="2114"/>
            <w:tcMar>
              <w:top w:w="55" w:type="dxa"/>
              <w:start w:w="65" w:type="dxa"/>
              <w:bottom w:w="55" w:type="dxa"/>
              <w:end w:w="65" w:type="dxa"/>
            </w:tcMar>
            <w:vAlign w:val="center"/>
          </w:tcPr>
          <w:p>
            <w:r>
              <w:rPr>
                <w:sz w:val="13"/>
              </w:rPr>
              <w:t>Expected work is eight hours or less.</w:t>
            </w:r>
          </w:p>
        </w:tc>
        <w:tc>
          <w:tcPr>
            <w:tcW w:type="dxa" w:w="2114"/>
            <w:tcMar>
              <w:top w:w="55" w:type="dxa"/>
              <w:start w:w="65" w:type="dxa"/>
              <w:bottom w:w="55" w:type="dxa"/>
              <w:end w:w="65" w:type="dxa"/>
            </w:tcMar>
            <w:vAlign w:val="center"/>
          </w:tcPr>
          <w:p>
            <w:r>
              <w:rPr>
                <w:sz w:val="13"/>
              </w:rPr>
              <w:t>Classify as standard and open standard substantive-response timer.</w:t>
            </w:r>
          </w:p>
        </w:tc>
        <w:tc>
          <w:tcPr>
            <w:tcW w:type="dxa" w:w="2114"/>
            <w:tcMar>
              <w:top w:w="55" w:type="dxa"/>
              <w:start w:w="65" w:type="dxa"/>
              <w:bottom w:w="55" w:type="dxa"/>
              <w:end w:w="65" w:type="dxa"/>
            </w:tcMar>
            <w:vAlign w:val="center"/>
          </w:tcPr>
          <w:p>
            <w:r>
              <w:rPr>
                <w:sz w:val="13"/>
              </w:rPr>
              <w:t>15 business days after acknowledgment.</w:t>
            </w:r>
          </w:p>
        </w:tc>
        <w:tc>
          <w:tcPr>
            <w:tcW w:type="dxa" w:w="2114"/>
            <w:tcMar>
              <w:top w:w="55" w:type="dxa"/>
              <w:start w:w="65" w:type="dxa"/>
              <w:bottom w:w="55" w:type="dxa"/>
              <w:end w:w="65" w:type="dxa"/>
            </w:tcMar>
            <w:vAlign w:val="center"/>
          </w:tcPr>
          <w:p>
            <w:r>
              <w:rPr>
                <w:sz w:val="13"/>
              </w:rPr>
              <w:t>Human/AI estimate; statewide threshold.</w:t>
            </w:r>
          </w:p>
        </w:tc>
      </w:tr>
      <w:tr>
        <w:trPr>
          <w:cantSplit/>
        </w:trPr>
        <w:tc>
          <w:tcPr>
            <w:tcW w:type="dxa" w:w="2114"/>
            <w:tcMar>
              <w:top w:w="55" w:type="dxa"/>
              <w:start w:w="65" w:type="dxa"/>
              <w:bottom w:w="55" w:type="dxa"/>
              <w:end w:w="65" w:type="dxa"/>
            </w:tcMar>
            <w:vAlign w:val="center"/>
            <w:shd w:fill="F8FAFC"/>
          </w:tcPr>
          <w:p>
            <w:r>
              <w:rPr>
                <w:sz w:val="13"/>
              </w:rPr>
              <w:t>AL-CLS-02</w:t>
            </w:r>
          </w:p>
        </w:tc>
        <w:tc>
          <w:tcPr>
            <w:tcW w:type="dxa" w:w="2114"/>
            <w:tcMar>
              <w:top w:w="55" w:type="dxa"/>
              <w:start w:w="65" w:type="dxa"/>
              <w:bottom w:w="55" w:type="dxa"/>
              <w:end w:w="65" w:type="dxa"/>
            </w:tcMar>
            <w:vAlign w:val="center"/>
            <w:shd w:fill="F8FAFC"/>
          </w:tcPr>
          <w:p>
            <w:r>
              <w:rPr>
                <w:sz w:val="13"/>
              </w:rPr>
              <w:t>Expected work exceeds eight hours.</w:t>
            </w:r>
          </w:p>
        </w:tc>
        <w:tc>
          <w:tcPr>
            <w:tcW w:type="dxa" w:w="2114"/>
            <w:tcMar>
              <w:top w:w="55" w:type="dxa"/>
              <w:start w:w="65" w:type="dxa"/>
              <w:bottom w:w="55" w:type="dxa"/>
              <w:end w:w="65" w:type="dxa"/>
            </w:tcMar>
            <w:vAlign w:val="center"/>
            <w:shd w:fill="F8FAFC"/>
          </w:tcPr>
          <w:p>
            <w:r>
              <w:rPr>
                <w:sz w:val="13"/>
              </w:rPr>
              <w:t>Notify time-intensive classification, likely fees, and options to withdraw/narrow.</w:t>
            </w:r>
          </w:p>
        </w:tc>
        <w:tc>
          <w:tcPr>
            <w:tcW w:type="dxa" w:w="2114"/>
            <w:tcMar>
              <w:top w:w="55" w:type="dxa"/>
              <w:start w:w="65" w:type="dxa"/>
              <w:bottom w:w="55" w:type="dxa"/>
              <w:end w:w="65" w:type="dxa"/>
            </w:tcMar>
            <w:vAlign w:val="center"/>
            <w:shd w:fill="F8FAFC"/>
          </w:tcPr>
          <w:p>
            <w:r>
              <w:rPr>
                <w:sz w:val="13"/>
              </w:rPr>
              <w:t>Within 15 business days after acknowledgment.</w:t>
            </w:r>
          </w:p>
        </w:tc>
        <w:tc>
          <w:tcPr>
            <w:tcW w:type="dxa" w:w="2114"/>
            <w:tcMar>
              <w:top w:w="55" w:type="dxa"/>
              <w:start w:w="65" w:type="dxa"/>
              <w:bottom w:w="55" w:type="dxa"/>
              <w:end w:w="65" w:type="dxa"/>
            </w:tcMar>
            <w:vAlign w:val="center"/>
            <w:shd w:fill="F8FAFC"/>
          </w:tcPr>
          <w:p>
            <w:r>
              <w:rPr>
                <w:sz w:val="13"/>
              </w:rPr>
              <w:t>Mandatory communication; § 36-12-44.</w:t>
            </w:r>
          </w:p>
        </w:tc>
      </w:tr>
      <w:tr>
        <w:trPr>
          <w:cantSplit/>
        </w:trPr>
        <w:tc>
          <w:tcPr>
            <w:tcW w:type="dxa" w:w="2114"/>
            <w:tcMar>
              <w:top w:w="55" w:type="dxa"/>
              <w:start w:w="65" w:type="dxa"/>
              <w:bottom w:w="55" w:type="dxa"/>
              <w:end w:w="65" w:type="dxa"/>
            </w:tcMar>
            <w:vAlign w:val="center"/>
          </w:tcPr>
          <w:p>
            <w:r>
              <w:rPr>
                <w:sz w:val="13"/>
              </w:rPr>
              <w:t>AL-STD-01</w:t>
            </w:r>
          </w:p>
        </w:tc>
        <w:tc>
          <w:tcPr>
            <w:tcW w:type="dxa" w:w="2114"/>
            <w:tcMar>
              <w:top w:w="55" w:type="dxa"/>
              <w:start w:w="65" w:type="dxa"/>
              <w:bottom w:w="55" w:type="dxa"/>
              <w:end w:w="65" w:type="dxa"/>
            </w:tcMar>
            <w:vAlign w:val="center"/>
          </w:tcPr>
          <w:p>
            <w:r>
              <w:rPr>
                <w:sz w:val="13"/>
              </w:rPr>
              <w:t>Standard track active.</w:t>
            </w:r>
          </w:p>
        </w:tc>
        <w:tc>
          <w:tcPr>
            <w:tcW w:type="dxa" w:w="2114"/>
            <w:tcMar>
              <w:top w:w="55" w:type="dxa"/>
              <w:start w:w="65" w:type="dxa"/>
              <w:bottom w:w="55" w:type="dxa"/>
              <w:end w:w="65" w:type="dxa"/>
            </w:tcMar>
            <w:vAlign w:val="center"/>
          </w:tcPr>
          <w:p>
            <w:r>
              <w:rPr>
                <w:sz w:val="13"/>
              </w:rPr>
              <w:t>Produce or provide one authorized substantive response; issue written extension if needed.</w:t>
            </w:r>
          </w:p>
        </w:tc>
        <w:tc>
          <w:tcPr>
            <w:tcW w:type="dxa" w:w="2114"/>
            <w:tcMar>
              <w:top w:w="55" w:type="dxa"/>
              <w:start w:w="65" w:type="dxa"/>
              <w:bottom w:w="55" w:type="dxa"/>
              <w:end w:w="65" w:type="dxa"/>
            </w:tcMar>
            <w:vAlign w:val="center"/>
          </w:tcPr>
          <w:p>
            <w:r>
              <w:rPr>
                <w:sz w:val="13"/>
              </w:rPr>
              <w:t>15 business days, extendable in 15-day increments.</w:t>
            </w:r>
          </w:p>
        </w:tc>
        <w:tc>
          <w:tcPr>
            <w:tcW w:type="dxa" w:w="2114"/>
            <w:tcMar>
              <w:top w:w="55" w:type="dxa"/>
              <w:start w:w="65" w:type="dxa"/>
              <w:bottom w:w="55" w:type="dxa"/>
              <w:end w:w="65" w:type="dxa"/>
            </w:tcMar>
            <w:vAlign w:val="center"/>
          </w:tcPr>
          <w:p>
            <w:r>
              <w:rPr>
                <w:sz w:val="13"/>
              </w:rPr>
              <w:t>State value; city templates.</w:t>
            </w:r>
          </w:p>
        </w:tc>
      </w:tr>
      <w:tr>
        <w:trPr>
          <w:cantSplit/>
        </w:trPr>
        <w:tc>
          <w:tcPr>
            <w:tcW w:type="dxa" w:w="2114"/>
            <w:tcMar>
              <w:top w:w="55" w:type="dxa"/>
              <w:start w:w="65" w:type="dxa"/>
              <w:bottom w:w="55" w:type="dxa"/>
              <w:end w:w="65" w:type="dxa"/>
            </w:tcMar>
            <w:vAlign w:val="center"/>
            <w:shd w:fill="F8FAFC"/>
          </w:tcPr>
          <w:p>
            <w:r>
              <w:rPr>
                <w:sz w:val="13"/>
              </w:rPr>
              <w:t>AL-TI-01</w:t>
            </w:r>
          </w:p>
        </w:tc>
        <w:tc>
          <w:tcPr>
            <w:tcW w:type="dxa" w:w="2114"/>
            <w:tcMar>
              <w:top w:w="55" w:type="dxa"/>
              <w:start w:w="65" w:type="dxa"/>
              <w:bottom w:w="55" w:type="dxa"/>
              <w:end w:w="65" w:type="dxa"/>
            </w:tcMar>
            <w:vAlign w:val="center"/>
            <w:shd w:fill="F8FAFC"/>
          </w:tcPr>
          <w:p>
            <w:r>
              <w:rPr>
                <w:sz w:val="13"/>
              </w:rPr>
              <w:t>Requester elects to proceed.</w:t>
            </w:r>
          </w:p>
        </w:tc>
        <w:tc>
          <w:tcPr>
            <w:tcW w:type="dxa" w:w="2114"/>
            <w:tcMar>
              <w:top w:w="55" w:type="dxa"/>
              <w:start w:w="65" w:type="dxa"/>
              <w:bottom w:w="55" w:type="dxa"/>
              <w:end w:w="65" w:type="dxa"/>
            </w:tcMar>
            <w:vAlign w:val="center"/>
            <w:shd w:fill="F8FAFC"/>
          </w:tcPr>
          <w:p>
            <w:r>
              <w:rPr>
                <w:sz w:val="13"/>
              </w:rPr>
              <w:t>Process and issue substantive response; extension notice if needed.</w:t>
            </w:r>
          </w:p>
        </w:tc>
        <w:tc>
          <w:tcPr>
            <w:tcW w:type="dxa" w:w="2114"/>
            <w:tcMar>
              <w:top w:w="55" w:type="dxa"/>
              <w:start w:w="65" w:type="dxa"/>
              <w:bottom w:w="55" w:type="dxa"/>
              <w:end w:w="65" w:type="dxa"/>
            </w:tcMar>
            <w:vAlign w:val="center"/>
            <w:shd w:fill="F8FAFC"/>
          </w:tcPr>
          <w:p>
            <w:r>
              <w:rPr>
                <w:sz w:val="13"/>
              </w:rPr>
              <w:t>45 business days, extendable in 45-day increments.</w:t>
            </w:r>
          </w:p>
        </w:tc>
        <w:tc>
          <w:tcPr>
            <w:tcW w:type="dxa" w:w="2114"/>
            <w:tcMar>
              <w:top w:w="55" w:type="dxa"/>
              <w:start w:w="65" w:type="dxa"/>
              <w:bottom w:w="55" w:type="dxa"/>
              <w:end w:w="65" w:type="dxa"/>
            </w:tcMar>
            <w:vAlign w:val="center"/>
            <w:shd w:fill="F8FAFC"/>
          </w:tcPr>
          <w:p>
            <w:r>
              <w:rPr>
                <w:sz w:val="13"/>
              </w:rPr>
              <w:t>State value; election event anchor.</w:t>
            </w:r>
          </w:p>
        </w:tc>
      </w:tr>
      <w:tr>
        <w:trPr>
          <w:cantSplit/>
        </w:trPr>
        <w:tc>
          <w:tcPr>
            <w:tcW w:type="dxa" w:w="2114"/>
            <w:tcMar>
              <w:top w:w="55" w:type="dxa"/>
              <w:start w:w="65" w:type="dxa"/>
              <w:bottom w:w="55" w:type="dxa"/>
              <w:end w:w="65" w:type="dxa"/>
            </w:tcMar>
            <w:vAlign w:val="center"/>
          </w:tcPr>
          <w:p>
            <w:r>
              <w:rPr>
                <w:sz w:val="13"/>
              </w:rPr>
              <w:t>AL-FEE-01</w:t>
            </w:r>
          </w:p>
        </w:tc>
        <w:tc>
          <w:tcPr>
            <w:tcW w:type="dxa" w:w="2114"/>
            <w:tcMar>
              <w:top w:w="55" w:type="dxa"/>
              <w:start w:w="65" w:type="dxa"/>
              <w:bottom w:w="55" w:type="dxa"/>
              <w:end w:w="65" w:type="dxa"/>
            </w:tcMar>
            <w:vAlign w:val="center"/>
          </w:tcPr>
          <w:p>
            <w:r>
              <w:rPr>
                <w:sz w:val="13"/>
              </w:rPr>
              <w:t>Authorized fees expected.</w:t>
            </w:r>
          </w:p>
        </w:tc>
        <w:tc>
          <w:tcPr>
            <w:tcW w:type="dxa" w:w="2114"/>
            <w:tcMar>
              <w:top w:w="55" w:type="dxa"/>
              <w:start w:w="65" w:type="dxa"/>
              <w:bottom w:w="55" w:type="dxa"/>
              <w:end w:w="65" w:type="dxa"/>
            </w:tcMar>
            <w:vAlign w:val="center"/>
          </w:tcPr>
          <w:p>
            <w:r>
              <w:rPr>
                <w:sz w:val="13"/>
              </w:rPr>
              <w:t>Provide fee information and enforce configured pre-search/pre-release gate.</w:t>
            </w:r>
          </w:p>
        </w:tc>
        <w:tc>
          <w:tcPr>
            <w:tcW w:type="dxa" w:w="2114"/>
            <w:tcMar>
              <w:top w:w="55" w:type="dxa"/>
              <w:start w:w="65" w:type="dxa"/>
              <w:bottom w:w="55" w:type="dxa"/>
              <w:end w:w="65" w:type="dxa"/>
            </w:tcMar>
            <w:vAlign w:val="center"/>
          </w:tcPr>
          <w:p>
            <w:r>
              <w:rPr>
                <w:sz w:val="13"/>
              </w:rPr>
              <w:t>Before affected work or release.</w:t>
            </w:r>
          </w:p>
        </w:tc>
        <w:tc>
          <w:tcPr>
            <w:tcW w:type="dxa" w:w="2114"/>
            <w:tcMar>
              <w:top w:w="55" w:type="dxa"/>
              <w:start w:w="65" w:type="dxa"/>
              <w:bottom w:w="55" w:type="dxa"/>
              <w:end w:w="65" w:type="dxa"/>
            </w:tcMar>
            <w:vAlign w:val="center"/>
          </w:tcPr>
          <w:p>
            <w:r>
              <w:rPr>
                <w:sz w:val="13"/>
              </w:rPr>
              <w:t>Discretionary under state law; local amount/policy.</w:t>
            </w:r>
          </w:p>
        </w:tc>
      </w:tr>
      <w:tr>
        <w:trPr>
          <w:cantSplit/>
        </w:trPr>
        <w:tc>
          <w:tcPr>
            <w:tcW w:type="dxa" w:w="2114"/>
            <w:tcMar>
              <w:top w:w="55" w:type="dxa"/>
              <w:start w:w="65" w:type="dxa"/>
              <w:bottom w:w="55" w:type="dxa"/>
              <w:end w:w="65" w:type="dxa"/>
            </w:tcMar>
            <w:vAlign w:val="center"/>
            <w:shd w:fill="F8FAFC"/>
          </w:tcPr>
          <w:p>
            <w:r>
              <w:rPr>
                <w:sz w:val="13"/>
              </w:rPr>
              <w:t>AL-RISK-01</w:t>
            </w:r>
          </w:p>
        </w:tc>
        <w:tc>
          <w:tcPr>
            <w:tcW w:type="dxa" w:w="2114"/>
            <w:tcMar>
              <w:top w:w="55" w:type="dxa"/>
              <w:start w:w="65" w:type="dxa"/>
              <w:bottom w:w="55" w:type="dxa"/>
              <w:end w:w="65" w:type="dxa"/>
            </w:tcMar>
            <w:vAlign w:val="center"/>
            <w:shd w:fill="F8FAFC"/>
          </w:tcPr>
          <w:p>
            <w:r>
              <w:rPr>
                <w:sz w:val="13"/>
              </w:rPr>
              <w:t>No qualifying response/production by statutory outer period.</w:t>
            </w:r>
          </w:p>
        </w:tc>
        <w:tc>
          <w:tcPr>
            <w:tcW w:type="dxa" w:w="2114"/>
            <w:tcMar>
              <w:top w:w="55" w:type="dxa"/>
              <w:start w:w="65" w:type="dxa"/>
              <w:bottom w:w="55" w:type="dxa"/>
              <w:end w:w="65" w:type="dxa"/>
            </w:tcMar>
            <w:vAlign w:val="center"/>
            <w:shd w:fill="F8FAFC"/>
          </w:tcPr>
          <w:p>
            <w:r>
              <w:rPr>
                <w:sz w:val="13"/>
              </w:rPr>
              <w:t>Escalate rebuttable-denial-presumption risk; do not auto-deny or auto-close.</w:t>
            </w:r>
          </w:p>
        </w:tc>
        <w:tc>
          <w:tcPr>
            <w:tcW w:type="dxa" w:w="2114"/>
            <w:tcMar>
              <w:top w:w="55" w:type="dxa"/>
              <w:start w:w="65" w:type="dxa"/>
              <w:bottom w:w="55" w:type="dxa"/>
              <w:end w:w="65" w:type="dxa"/>
            </w:tcMar>
            <w:vAlign w:val="center"/>
            <w:shd w:fill="F8FAFC"/>
          </w:tcPr>
          <w:p>
            <w:r>
              <w:rPr>
                <w:sz w:val="13"/>
              </w:rPr>
              <w:t>30/60 standard; 180/270 time-intensive, subject to exceptions.</w:t>
            </w:r>
          </w:p>
        </w:tc>
        <w:tc>
          <w:tcPr>
            <w:tcW w:type="dxa" w:w="2114"/>
            <w:tcMar>
              <w:top w:w="55" w:type="dxa"/>
              <w:start w:w="65" w:type="dxa"/>
              <w:bottom w:w="55" w:type="dxa"/>
              <w:end w:w="65" w:type="dxa"/>
            </w:tcMar>
            <w:vAlign w:val="center"/>
            <w:shd w:fill="F8FAFC"/>
          </w:tcPr>
          <w:p>
            <w:r>
              <w:rPr>
                <w:sz w:val="13"/>
              </w:rPr>
              <w:t>Compliance timer; § 36-12-44.</w:t>
            </w:r>
          </w:p>
        </w:tc>
      </w:tr>
    </w:tbl>
    <w:p>
      <w:pPr>
        <w:pStyle w:val="Heading1"/>
      </w:pPr>
      <w:r>
        <w:t>11. Jurisdiction-Configuration Fields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Configuration field</w:t>
            </w:r>
          </w:p>
        </w:tc>
        <w:tc>
          <w:tcPr>
            <w:tcW w:type="dxa" w:w="2642"/>
            <w:shd w:fill="17365D"/>
            <w:tcMar>
              <w:top w:w="55" w:type="dxa"/>
              <w:start w:w="65" w:type="dxa"/>
              <w:bottom w:w="55" w:type="dxa"/>
              <w:end w:w="65" w:type="dxa"/>
            </w:tcMar>
          </w:tcPr>
          <w:p>
            <w:pPr>
              <w:jc w:val="center"/>
            </w:pPr>
            <w:r>
              <w:rPr>
                <w:b/>
                <w:color w:val="FFFFFF"/>
                <w:sz w:val="14"/>
              </w:rPr>
              <w:t>Source type</w:t>
            </w:r>
          </w:p>
        </w:tc>
        <w:tc>
          <w:tcPr>
            <w:tcW w:type="dxa" w:w="2642"/>
            <w:shd w:fill="17365D"/>
            <w:tcMar>
              <w:top w:w="55" w:type="dxa"/>
              <w:start w:w="65" w:type="dxa"/>
              <w:bottom w:w="55" w:type="dxa"/>
              <w:end w:w="65" w:type="dxa"/>
            </w:tcMar>
          </w:tcPr>
          <w:p>
            <w:pPr>
              <w:jc w:val="center"/>
            </w:pPr>
            <w:r>
              <w:rPr>
                <w:b/>
                <w:color w:val="FFFFFF"/>
                <w:sz w:val="14"/>
              </w:rPr>
              <w:t>Value / permitted setting</w:t>
            </w:r>
          </w:p>
        </w:tc>
        <w:tc>
          <w:tcPr>
            <w:tcW w:type="dxa" w:w="2642"/>
            <w:shd w:fill="17365D"/>
            <w:tcMar>
              <w:top w:w="55" w:type="dxa"/>
              <w:start w:w="65" w:type="dxa"/>
              <w:bottom w:w="55" w:type="dxa"/>
              <w:end w:w="65" w:type="dxa"/>
            </w:tcMar>
          </w:tcPr>
          <w:p>
            <w:pPr>
              <w:jc w:val="center"/>
            </w:pPr>
            <w:r>
              <w:rPr>
                <w:b/>
                <w:color w:val="FFFFFF"/>
                <w:sz w:val="14"/>
              </w:rPr>
              <w:t>Implementation note</w:t>
            </w:r>
          </w:p>
        </w:tc>
      </w:tr>
      <w:tr>
        <w:trPr>
          <w:cantSplit/>
        </w:trPr>
        <w:tc>
          <w:tcPr>
            <w:tcW w:type="dxa" w:w="2642"/>
            <w:tcMar>
              <w:top w:w="55" w:type="dxa"/>
              <w:start w:w="65" w:type="dxa"/>
              <w:bottom w:w="55" w:type="dxa"/>
              <w:end w:w="65" w:type="dxa"/>
            </w:tcMar>
            <w:vAlign w:val="center"/>
          </w:tcPr>
          <w:p>
            <w:r>
              <w:rPr>
                <w:sz w:val="14"/>
              </w:rPr>
              <w:t>Accepted request form and delivery channels</w:t>
            </w:r>
          </w:p>
        </w:tc>
        <w:tc>
          <w:tcPr>
            <w:tcW w:type="dxa" w:w="2642"/>
            <w:tcMar>
              <w:top w:w="55" w:type="dxa"/>
              <w:start w:w="65" w:type="dxa"/>
              <w:bottom w:w="55" w:type="dxa"/>
              <w:end w:w="65" w:type="dxa"/>
            </w:tcMar>
            <w:vAlign w:val="center"/>
          </w:tcPr>
          <w:p>
            <w:r>
              <w:rPr>
                <w:sz w:val="14"/>
              </w:rPr>
              <w:t>Local policy</w:t>
            </w:r>
          </w:p>
        </w:tc>
        <w:tc>
          <w:tcPr>
            <w:tcW w:type="dxa" w:w="2642"/>
            <w:tcMar>
              <w:top w:w="55" w:type="dxa"/>
              <w:start w:w="65" w:type="dxa"/>
              <w:bottom w:w="55" w:type="dxa"/>
              <w:end w:w="65" w:type="dxa"/>
            </w:tcMar>
            <w:vAlign w:val="center"/>
          </w:tcPr>
          <w:p>
            <w:r>
              <w:rPr>
                <w:sz w:val="14"/>
              </w:rPr>
              <w:t>Required/optional form; designated recipient; after-hours rule.</w:t>
            </w:r>
          </w:p>
        </w:tc>
        <w:tc>
          <w:tcPr>
            <w:tcW w:type="dxa" w:w="2642"/>
            <w:tcMar>
              <w:top w:w="55" w:type="dxa"/>
              <w:start w:w="65" w:type="dxa"/>
              <w:bottom w:w="55" w:type="dxa"/>
              <w:end w:w="65" w:type="dxa"/>
            </w:tcMar>
            <w:vAlign w:val="center"/>
          </w:tcPr>
          <w:p>
            <w:r>
              <w:rPr>
                <w:sz w:val="14"/>
              </w:rPr>
              <w:t>Must remain consistent with statute.</w:t>
            </w:r>
          </w:p>
        </w:tc>
      </w:tr>
      <w:tr>
        <w:trPr>
          <w:cantSplit/>
        </w:trPr>
        <w:tc>
          <w:tcPr>
            <w:tcW w:type="dxa" w:w="2642"/>
            <w:tcMar>
              <w:top w:w="55" w:type="dxa"/>
              <w:start w:w="65" w:type="dxa"/>
              <w:bottom w:w="55" w:type="dxa"/>
              <w:end w:w="65" w:type="dxa"/>
            </w:tcMar>
            <w:vAlign w:val="center"/>
            <w:shd w:fill="F8FAFC"/>
          </w:tcPr>
          <w:p>
            <w:r>
              <w:rPr>
                <w:sz w:val="14"/>
              </w:rPr>
              <w:t>Residency proof</w:t>
            </w:r>
          </w:p>
        </w:tc>
        <w:tc>
          <w:tcPr>
            <w:tcW w:type="dxa" w:w="2642"/>
            <w:tcMar>
              <w:top w:w="55" w:type="dxa"/>
              <w:start w:w="65" w:type="dxa"/>
              <w:bottom w:w="55" w:type="dxa"/>
              <w:end w:w="65" w:type="dxa"/>
            </w:tcMar>
            <w:vAlign w:val="center"/>
            <w:shd w:fill="F8FAFC"/>
          </w:tcPr>
          <w:p>
            <w:r>
              <w:rPr>
                <w:sz w:val="14"/>
              </w:rPr>
              <w:t>Local policy + state definition</w:t>
            </w:r>
          </w:p>
        </w:tc>
        <w:tc>
          <w:tcPr>
            <w:tcW w:type="dxa" w:w="2642"/>
            <w:tcMar>
              <w:top w:w="55" w:type="dxa"/>
              <w:start w:w="65" w:type="dxa"/>
              <w:bottom w:w="55" w:type="dxa"/>
              <w:end w:w="65" w:type="dxa"/>
            </w:tcMar>
            <w:vAlign w:val="center"/>
            <w:shd w:fill="F8FAFC"/>
          </w:tcPr>
          <w:p>
            <w:r>
              <w:rPr>
                <w:sz w:val="14"/>
              </w:rPr>
              <w:t>Accepted evidence and exception handling.</w:t>
            </w:r>
          </w:p>
        </w:tc>
        <w:tc>
          <w:tcPr>
            <w:tcW w:type="dxa" w:w="2642"/>
            <w:tcMar>
              <w:top w:w="55" w:type="dxa"/>
              <w:start w:w="65" w:type="dxa"/>
              <w:bottom w:w="55" w:type="dxa"/>
              <w:end w:w="65" w:type="dxa"/>
            </w:tcMar>
            <w:vAlign w:val="center"/>
            <w:shd w:fill="F8FAFC"/>
          </w:tcPr>
          <w:p>
            <w:r>
              <w:rPr>
                <w:sz w:val="14"/>
              </w:rPr>
              <w:t>Keep proof separate from requester identity data.</w:t>
            </w:r>
          </w:p>
        </w:tc>
      </w:tr>
      <w:tr>
        <w:trPr>
          <w:cantSplit/>
        </w:trPr>
        <w:tc>
          <w:tcPr>
            <w:tcW w:type="dxa" w:w="2642"/>
            <w:tcMar>
              <w:top w:w="55" w:type="dxa"/>
              <w:start w:w="65" w:type="dxa"/>
              <w:bottom w:w="55" w:type="dxa"/>
              <w:end w:w="65" w:type="dxa"/>
            </w:tcMar>
            <w:vAlign w:val="center"/>
          </w:tcPr>
          <w:p>
            <w:r>
              <w:rPr>
                <w:sz w:val="14"/>
              </w:rPr>
              <w:t>Eight-hour workload model</w:t>
            </w:r>
          </w:p>
        </w:tc>
        <w:tc>
          <w:tcPr>
            <w:tcW w:type="dxa" w:w="2642"/>
            <w:tcMar>
              <w:top w:w="55" w:type="dxa"/>
              <w:start w:w="65" w:type="dxa"/>
              <w:bottom w:w="55" w:type="dxa"/>
              <w:end w:w="65" w:type="dxa"/>
            </w:tcMar>
            <w:vAlign w:val="center"/>
          </w:tcPr>
          <w:p>
            <w:r>
              <w:rPr>
                <w:sz w:val="14"/>
              </w:rPr>
              <w:t>State law + operational model</w:t>
            </w:r>
          </w:p>
        </w:tc>
        <w:tc>
          <w:tcPr>
            <w:tcW w:type="dxa" w:w="2642"/>
            <w:tcMar>
              <w:top w:w="55" w:type="dxa"/>
              <w:start w:w="65" w:type="dxa"/>
              <w:bottom w:w="55" w:type="dxa"/>
              <w:end w:w="65" w:type="dxa"/>
            </w:tcMar>
            <w:vAlign w:val="center"/>
          </w:tcPr>
          <w:p>
            <w:r>
              <w:rPr>
                <w:sz w:val="14"/>
              </w:rPr>
              <w:t>Activities counted; staff roles; template/AI estimate method.</w:t>
            </w:r>
          </w:p>
        </w:tc>
        <w:tc>
          <w:tcPr>
            <w:tcW w:type="dxa" w:w="2642"/>
            <w:tcMar>
              <w:top w:w="55" w:type="dxa"/>
              <w:start w:w="65" w:type="dxa"/>
              <w:bottom w:w="55" w:type="dxa"/>
              <w:end w:w="65" w:type="dxa"/>
            </w:tcMar>
            <w:vAlign w:val="center"/>
          </w:tcPr>
          <w:p>
            <w:r>
              <w:rPr>
                <w:sz w:val="14"/>
              </w:rPr>
              <w:t>Store estimated hours and basis.</w:t>
            </w:r>
          </w:p>
        </w:tc>
      </w:tr>
      <w:tr>
        <w:trPr>
          <w:cantSplit/>
        </w:trPr>
        <w:tc>
          <w:tcPr>
            <w:tcW w:type="dxa" w:w="2642"/>
            <w:tcMar>
              <w:top w:w="55" w:type="dxa"/>
              <w:start w:w="65" w:type="dxa"/>
              <w:bottom w:w="55" w:type="dxa"/>
              <w:end w:w="65" w:type="dxa"/>
            </w:tcMar>
            <w:vAlign w:val="center"/>
            <w:shd w:fill="F8FAFC"/>
          </w:tcPr>
          <w:p>
            <w:r>
              <w:rPr>
                <w:sz w:val="14"/>
              </w:rPr>
              <w:t>Reasonable fee schedule</w:t>
            </w:r>
          </w:p>
        </w:tc>
        <w:tc>
          <w:tcPr>
            <w:tcW w:type="dxa" w:w="2642"/>
            <w:tcMar>
              <w:top w:w="55" w:type="dxa"/>
              <w:start w:w="65" w:type="dxa"/>
              <w:bottom w:w="55" w:type="dxa"/>
              <w:end w:w="65" w:type="dxa"/>
            </w:tcMar>
            <w:vAlign w:val="center"/>
            <w:shd w:fill="F8FAFC"/>
          </w:tcPr>
          <w:p>
            <w:r>
              <w:rPr>
                <w:sz w:val="14"/>
              </w:rPr>
              <w:t>Local policy</w:t>
            </w:r>
          </w:p>
        </w:tc>
        <w:tc>
          <w:tcPr>
            <w:tcW w:type="dxa" w:w="2642"/>
            <w:tcMar>
              <w:top w:w="55" w:type="dxa"/>
              <w:start w:w="65" w:type="dxa"/>
              <w:bottom w:w="55" w:type="dxa"/>
              <w:end w:w="65" w:type="dxa"/>
            </w:tcMar>
            <w:vAlign w:val="center"/>
            <w:shd w:fill="F8FAFC"/>
          </w:tcPr>
          <w:p>
            <w:r>
              <w:rPr>
                <w:sz w:val="14"/>
              </w:rPr>
              <w:t>Rates, free allowances, copy/media/postage charges.</w:t>
            </w:r>
          </w:p>
        </w:tc>
        <w:tc>
          <w:tcPr>
            <w:tcW w:type="dxa" w:w="2642"/>
            <w:tcMar>
              <w:top w:w="55" w:type="dxa"/>
              <w:start w:w="65" w:type="dxa"/>
              <w:bottom w:w="55" w:type="dxa"/>
              <w:end w:w="65" w:type="dxa"/>
            </w:tcMar>
            <w:vAlign w:val="center"/>
            <w:shd w:fill="F8FAFC"/>
          </w:tcPr>
          <w:p>
            <w:r>
              <w:rPr>
                <w:sz w:val="14"/>
              </w:rPr>
              <w:t>No statewide city rates supplied.</w:t>
            </w:r>
          </w:p>
        </w:tc>
      </w:tr>
      <w:tr>
        <w:trPr>
          <w:cantSplit/>
        </w:trPr>
        <w:tc>
          <w:tcPr>
            <w:tcW w:type="dxa" w:w="2642"/>
            <w:tcMar>
              <w:top w:w="55" w:type="dxa"/>
              <w:start w:w="65" w:type="dxa"/>
              <w:bottom w:w="55" w:type="dxa"/>
              <w:end w:w="65" w:type="dxa"/>
            </w:tcMar>
            <w:vAlign w:val="center"/>
          </w:tcPr>
          <w:p>
            <w:r>
              <w:rPr>
                <w:sz w:val="14"/>
              </w:rPr>
              <w:t>Pre-search payment rule</w:t>
            </w:r>
          </w:p>
        </w:tc>
        <w:tc>
          <w:tcPr>
            <w:tcW w:type="dxa" w:w="2642"/>
            <w:tcMar>
              <w:top w:w="55" w:type="dxa"/>
              <w:start w:w="65" w:type="dxa"/>
              <w:bottom w:w="55" w:type="dxa"/>
              <w:end w:w="65" w:type="dxa"/>
            </w:tcMar>
            <w:vAlign w:val="center"/>
          </w:tcPr>
          <w:p>
            <w:r>
              <w:rPr>
                <w:sz w:val="14"/>
              </w:rPr>
              <w:t>Local policy</w:t>
            </w:r>
          </w:p>
        </w:tc>
        <w:tc>
          <w:tcPr>
            <w:tcW w:type="dxa" w:w="2642"/>
            <w:tcMar>
              <w:top w:w="55" w:type="dxa"/>
              <w:start w:w="65" w:type="dxa"/>
              <w:bottom w:w="55" w:type="dxa"/>
              <w:end w:w="65" w:type="dxa"/>
            </w:tcMar>
            <w:vAlign w:val="center"/>
          </w:tcPr>
          <w:p>
            <w:r>
              <w:rPr>
                <w:sz w:val="14"/>
              </w:rPr>
              <w:t>None / partial / full estimated fee.</w:t>
            </w:r>
          </w:p>
        </w:tc>
        <w:tc>
          <w:tcPr>
            <w:tcW w:type="dxa" w:w="2642"/>
            <w:tcMar>
              <w:top w:w="55" w:type="dxa"/>
              <w:start w:w="65" w:type="dxa"/>
              <w:bottom w:w="55" w:type="dxa"/>
              <w:end w:w="65" w:type="dxa"/>
            </w:tcMar>
            <w:vAlign w:val="center"/>
          </w:tcPr>
          <w:p>
            <w:r>
              <w:rPr>
                <w:sz w:val="14"/>
              </w:rPr>
              <w:t>Create explicit payment gate.</w:t>
            </w:r>
          </w:p>
        </w:tc>
      </w:tr>
      <w:tr>
        <w:trPr>
          <w:cantSplit/>
        </w:trPr>
        <w:tc>
          <w:tcPr>
            <w:tcW w:type="dxa" w:w="2642"/>
            <w:tcMar>
              <w:top w:w="55" w:type="dxa"/>
              <w:start w:w="65" w:type="dxa"/>
              <w:bottom w:w="55" w:type="dxa"/>
              <w:end w:w="65" w:type="dxa"/>
            </w:tcMar>
            <w:vAlign w:val="center"/>
            <w:shd w:fill="F8FAFC"/>
          </w:tcPr>
          <w:p>
            <w:r>
              <w:rPr>
                <w:sz w:val="14"/>
              </w:rPr>
              <w:t>Extension approval and notices</w:t>
            </w:r>
          </w:p>
        </w:tc>
        <w:tc>
          <w:tcPr>
            <w:tcW w:type="dxa" w:w="2642"/>
            <w:tcMar>
              <w:top w:w="55" w:type="dxa"/>
              <w:start w:w="65" w:type="dxa"/>
              <w:bottom w:w="55" w:type="dxa"/>
              <w:end w:w="65" w:type="dxa"/>
            </w:tcMar>
            <w:vAlign w:val="center"/>
            <w:shd w:fill="F8FAFC"/>
          </w:tcPr>
          <w:p>
            <w:r>
              <w:rPr>
                <w:sz w:val="14"/>
              </w:rPr>
              <w:t>State law + local roles</w:t>
            </w:r>
          </w:p>
        </w:tc>
        <w:tc>
          <w:tcPr>
            <w:tcW w:type="dxa" w:w="2642"/>
            <w:tcMar>
              <w:top w:w="55" w:type="dxa"/>
              <w:start w:w="65" w:type="dxa"/>
              <w:bottom w:w="55" w:type="dxa"/>
              <w:end w:w="65" w:type="dxa"/>
            </w:tcMar>
            <w:vAlign w:val="center"/>
            <w:shd w:fill="F8FAFC"/>
          </w:tcPr>
          <w:p>
            <w:r>
              <w:rPr>
                <w:sz w:val="14"/>
              </w:rPr>
              <w:t>15-day and 45-day templates; approver.</w:t>
            </w:r>
          </w:p>
        </w:tc>
        <w:tc>
          <w:tcPr>
            <w:tcW w:type="dxa" w:w="2642"/>
            <w:tcMar>
              <w:top w:w="55" w:type="dxa"/>
              <w:start w:w="65" w:type="dxa"/>
              <w:bottom w:w="55" w:type="dxa"/>
              <w:end w:w="65" w:type="dxa"/>
            </w:tcMar>
            <w:vAlign w:val="center"/>
            <w:shd w:fill="F8FAFC"/>
          </w:tcPr>
          <w:p>
            <w:r>
              <w:rPr>
                <w:sz w:val="14"/>
              </w:rPr>
              <w:t>Preserve issued date and next due date.</w:t>
            </w:r>
          </w:p>
        </w:tc>
      </w:tr>
      <w:tr>
        <w:trPr>
          <w:cantSplit/>
        </w:trPr>
        <w:tc>
          <w:tcPr>
            <w:tcW w:type="dxa" w:w="2642"/>
            <w:tcMar>
              <w:top w:w="55" w:type="dxa"/>
              <w:start w:w="65" w:type="dxa"/>
              <w:bottom w:w="55" w:type="dxa"/>
              <w:end w:w="65" w:type="dxa"/>
            </w:tcMar>
            <w:vAlign w:val="center"/>
          </w:tcPr>
          <w:p>
            <w:r>
              <w:rPr>
                <w:sz w:val="14"/>
              </w:rPr>
              <w:t>Clarification re-anchor behavior</w:t>
            </w:r>
          </w:p>
        </w:tc>
        <w:tc>
          <w:tcPr>
            <w:tcW w:type="dxa" w:w="2642"/>
            <w:tcMar>
              <w:top w:w="55" w:type="dxa"/>
              <w:start w:w="65" w:type="dxa"/>
              <w:bottom w:w="55" w:type="dxa"/>
              <w:end w:w="65" w:type="dxa"/>
            </w:tcMar>
            <w:vAlign w:val="center"/>
          </w:tcPr>
          <w:p>
            <w:r>
              <w:rPr>
                <w:sz w:val="14"/>
              </w:rPr>
              <w:t>State law + workflow</w:t>
            </w:r>
          </w:p>
        </w:tc>
        <w:tc>
          <w:tcPr>
            <w:tcW w:type="dxa" w:w="2642"/>
            <w:tcMar>
              <w:top w:w="55" w:type="dxa"/>
              <w:start w:w="65" w:type="dxa"/>
              <w:bottom w:w="55" w:type="dxa"/>
              <w:end w:w="65" w:type="dxa"/>
            </w:tcMar>
            <w:vAlign w:val="center"/>
          </w:tcPr>
          <w:p>
            <w:r>
              <w:rPr>
                <w:sz w:val="14"/>
              </w:rPr>
              <w:t>Create revised-scope version and new receipt timestamp.</w:t>
            </w:r>
          </w:p>
        </w:tc>
        <w:tc>
          <w:tcPr>
            <w:tcW w:type="dxa" w:w="2642"/>
            <w:tcMar>
              <w:top w:w="55" w:type="dxa"/>
              <w:start w:w="65" w:type="dxa"/>
              <w:bottom w:w="55" w:type="dxa"/>
              <w:end w:w="65" w:type="dxa"/>
            </w:tcMar>
            <w:vAlign w:val="center"/>
          </w:tcPr>
          <w:p>
            <w:r>
              <w:rPr>
                <w:sz w:val="14"/>
              </w:rPr>
              <w:t>Do not overwrite original request.</w:t>
            </w:r>
          </w:p>
        </w:tc>
      </w:tr>
      <w:tr>
        <w:trPr>
          <w:cantSplit/>
        </w:trPr>
        <w:tc>
          <w:tcPr>
            <w:tcW w:type="dxa" w:w="2642"/>
            <w:tcMar>
              <w:top w:w="55" w:type="dxa"/>
              <w:start w:w="65" w:type="dxa"/>
              <w:bottom w:w="55" w:type="dxa"/>
              <w:end w:w="65" w:type="dxa"/>
            </w:tcMar>
            <w:vAlign w:val="center"/>
            <w:shd w:fill="F8FAFC"/>
          </w:tcPr>
          <w:p>
            <w:r>
              <w:rPr>
                <w:sz w:val="14"/>
              </w:rPr>
              <w:t>Nonresponse closure policy</w:t>
            </w:r>
          </w:p>
        </w:tc>
        <w:tc>
          <w:tcPr>
            <w:tcW w:type="dxa" w:w="2642"/>
            <w:tcMar>
              <w:top w:w="55" w:type="dxa"/>
              <w:start w:w="65" w:type="dxa"/>
              <w:bottom w:w="55" w:type="dxa"/>
              <w:end w:w="65" w:type="dxa"/>
            </w:tcMar>
            <w:vAlign w:val="center"/>
            <w:shd w:fill="F8FAFC"/>
          </w:tcPr>
          <w:p>
            <w:r>
              <w:rPr>
                <w:sz w:val="14"/>
              </w:rPr>
              <w:t>Operational</w:t>
            </w:r>
          </w:p>
        </w:tc>
        <w:tc>
          <w:tcPr>
            <w:tcW w:type="dxa" w:w="2642"/>
            <w:tcMar>
              <w:top w:w="55" w:type="dxa"/>
              <w:start w:w="65" w:type="dxa"/>
              <w:bottom w:w="55" w:type="dxa"/>
              <w:end w:w="65" w:type="dxa"/>
            </w:tcMar>
            <w:vAlign w:val="center"/>
            <w:shd w:fill="F8FAFC"/>
          </w:tcPr>
          <w:p>
            <w:r>
              <w:rPr>
                <w:sz w:val="14"/>
              </w:rPr>
              <w:t>Reminder cadence and administrative closure interval.</w:t>
            </w:r>
          </w:p>
        </w:tc>
        <w:tc>
          <w:tcPr>
            <w:tcW w:type="dxa" w:w="2642"/>
            <w:tcMar>
              <w:top w:w="55" w:type="dxa"/>
              <w:start w:w="65" w:type="dxa"/>
              <w:bottom w:w="55" w:type="dxa"/>
              <w:end w:w="65" w:type="dxa"/>
            </w:tcMar>
            <w:vAlign w:val="center"/>
            <w:shd w:fill="F8FAFC"/>
          </w:tcPr>
          <w:p>
            <w:r>
              <w:rPr>
                <w:sz w:val="14"/>
              </w:rPr>
              <w:t>Label as local, not statutory abandonment.</w:t>
            </w:r>
          </w:p>
        </w:tc>
      </w:tr>
    </w:tbl>
    <w:p>
      <w:pPr>
        <w:pStyle w:val="Heading1"/>
      </w:pPr>
      <w:r>
        <w:t>12. Recommended Workflow States and Transitions</w:t>
      </w:r>
    </w:p>
    <w:p>
      <w:r>
        <w:rPr>
          <w:b/>
        </w:rPr>
        <w:t xml:space="preserve">Recommended state sequence: </w:t>
      </w:r>
      <w:r>
        <w:t>Received -&gt; Residency/Procedure Validation -&gt; Specificity Review -&gt; Workload Classification -&gt; Standard Track or Time-Intensive Notice -&gt; Awaiting Requester Election/Payment (when applicable) -&gt; Search/Review/Redaction -&gt; Substantive Response -&gt; Production/Denial -&gt; Closed; parallel compliance-risk timers remain visible.</w:t>
      </w:r>
    </w:p>
    <w:p>
      <w:pPr>
        <w:pStyle w:val="Heading1"/>
      </w:pPr>
      <w:r>
        <w:t>13. Unresolved Questions and Local-Policy Decisions</w:t>
      </w:r>
    </w:p>
    <w:p>
      <w:pPr>
        <w:pStyle w:val="ListBullet"/>
        <w:spacing w:after="30"/>
      </w:pPr>
      <w:r>
        <w:t>What evidence will the city accept as reasonable proof of Alabama residency?</w:t>
      </w:r>
    </w:p>
    <w:p>
      <w:pPr>
        <w:pStyle w:val="ListBullet"/>
        <w:spacing w:after="30"/>
      </w:pPr>
      <w:r>
        <w:t>How will automated discovery and redaction estimates be converted into the statutory eight-hour workload determination?</w:t>
      </w:r>
    </w:p>
    <w:p>
      <w:pPr>
        <w:pStyle w:val="ListBullet"/>
        <w:spacing w:after="30"/>
      </w:pPr>
      <w:r>
        <w:t>Which authorized costs will the city charge, and what portion may be required before search?</w:t>
      </w:r>
    </w:p>
    <w:p>
      <w:pPr>
        <w:pStyle w:val="ListBullet"/>
        <w:spacing w:after="30"/>
      </w:pPr>
      <w:r>
        <w:t>What local reminder and closure policy will apply to clarification or time-intensive election nonresponse?</w:t>
      </w:r>
    </w:p>
    <w:p>
      <w:pPr>
        <w:pStyle w:val="Heading1"/>
      </w:pPr>
      <w:r>
        <w:t>14. Suggestion Added During This Review</w:t>
      </w:r>
    </w:p>
    <w:p>
      <w:r>
        <w:rPr>
          <w:b/>
        </w:rPr>
        <w:t>S-021: Model a statutory workload classification that uses an hours threshold expressly counting identification, retrieval, and redaction, while maintaining separate outer rebuttable-denial-presumption timers.</w:t>
      </w:r>
    </w:p>
    <w:p>
      <w:pPr>
        <w:pStyle w:val="IntenseQuote"/>
      </w:pPr>
      <w:r>
        <w:t>This suggestion is recorded for later universal-engine review and does not alter the fixed methodology.</w:t>
      </w:r>
    </w:p>
    <w:p>
      <w:pPr>
        <w:pStyle w:val="Heading1"/>
      </w:pPr>
      <w:r>
        <w:t>15. Primary Sources</w:t>
      </w:r>
    </w:p>
    <w:p>
      <w:pPr>
        <w:pStyle w:val="ListBullet"/>
        <w:spacing w:after="30"/>
      </w:pPr>
      <w:r>
        <w:t>Alabama Code § 36-12-43 — definitions and request classifications: https://alison.legislature.state.al.us/code-of-alabama?section=36-12-43</w:t>
      </w:r>
    </w:p>
    <w:p>
      <w:pPr>
        <w:pStyle w:val="ListBullet"/>
        <w:spacing w:after="30"/>
      </w:pPr>
      <w:r>
        <w:t>Alabama Code § 36-12-44 — processing, deadlines, fees, and presumptions: https://alison.legislature.state.al.us/code-of-alabama?section=36-12-44</w:t>
      </w:r>
    </w:p>
    <w:p>
      <w:pPr>
        <w:pStyle w:val="ListBullet"/>
        <w:spacing w:after="30"/>
      </w:pPr>
      <w:r>
        <w:t>Alabama Code § 36-12-45 — enforcement: https://alison.legislature.state.al.us/code-of-alabama?section=36-12-45</w:t>
      </w:r>
    </w:p>
    <w:p>
      <w:pPr>
        <w:pStyle w:val="ListBullet"/>
        <w:spacing w:after="30"/>
      </w:pPr>
      <w:r>
        <w:t>Alabama Legislature, Do’s and Don’ts publication: https://alison.legislature.state.al.us/files/pdf/eopa/publications/Dos_and_Donts.pdf</w:t>
      </w:r>
    </w:p>
    <w:p>
      <w:r>
        <w:rPr>
          <w:b/>
        </w:rPr>
        <w:t xml:space="preserve">Implementation note: </w:t>
      </w:r>
      <w:r>
        <w:t>This document is a requirements-engineering research artifact, not legal advice. Verify statutes, regulations, cases, and local policy at customer implementation and whenever authority changes.</w:t>
      </w: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4"/>
      </w:rPr>
      <w:t>National Open Records Workflow Schema — requirements-engineering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Alabama | Public Records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2F5597"/>
      <w:sz w:val="17"/>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