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40"/>
        </w:rPr>
        <w:t>Connecticut Public Records Workflow</w:t>
      </w:r>
    </w:p>
    <w:p>
      <w:pPr>
        <w:spacing w:after="140"/>
        <w:jc w:val="center"/>
      </w:pPr>
      <w:r>
        <w:rPr>
          <w:rFonts w:ascii="Aptos Display" w:hAnsi="Aptos Display"/>
          <w:b/>
          <w:color w:val="2F5597"/>
          <w:sz w:val="23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law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Connecticut Freedom of Information Act, Conn. Gen. Stat. §§ 1-200 et seq.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Research date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2026-07-22</w:t>
            </w:r>
          </w:p>
        </w:tc>
      </w:tr>
    </w:tbl>
    <w:p>
      <w:pPr>
        <w:pStyle w:val="Heading1"/>
      </w:pPr>
      <w:r>
        <w:t>1. Executive Summary and Applicability</w:t>
      </w:r>
    </w:p>
    <w:p>
      <w:r>
        <w:t>Connecticut requires public records to be provided “promptly,” a qualitative production standard evaluated from the circumstances. The frequently cited four-business-day period is primarily a written-denial and deemed-denial/appeal trigger; it is not a universal deadline to finish producing every request.</w:t>
      </w:r>
    </w:p>
    <w:p>
      <w:r>
        <w:t>This distinction is important for software: the engine needs a prompt-production obligation plus a separate four-business-day response-risk timer. An agency can remain compliant beyond four business days when it is actively and promptly fulfilling a request, but silence creates a deemed denial that may trigger an appeal.</w:t>
      </w:r>
    </w:p>
    <w:p>
      <w:r>
        <w:t>Cities are public agencies under the Act. Municipal copy fees differ from state-agency fees, and prepayment may be required when estimated fees reach the statutory threshold.</w:t>
      </w:r>
    </w:p>
    <w:p>
      <w:r>
        <w:rPr>
          <w:b/>
        </w:rPr>
        <w:t xml:space="preserve">Core engine pattern: </w:t>
      </w:r>
      <w:r>
        <w:t>Qualitative prompt-production standard + four-business-day written-denial/deemed-denial timer + municipal fee schedule and $10 prepayment threshold.</w:t>
      </w:r>
    </w:p>
    <w:p>
      <w:r>
        <w:rPr>
          <w:b/>
        </w:rPr>
        <w:t xml:space="preserve">Scope caution: </w:t>
      </w:r>
      <w:r>
        <w:t>No general statutory clarification pause, restart, or abandonment period was identified. Those workflow values must be configured as local policy while preserving the statewide “promptly” standard.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  <w:cantSplit/>
        </w:trPr>
        <w:tc>
          <w:tcPr>
            <w:tcW w:type="dxa" w:w="352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352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352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Conn. Gen. Stat. § 1-210</w:t>
            </w:r>
          </w:p>
        </w:tc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Right of access and exemptions.</w:t>
            </w:r>
          </w:p>
        </w:tc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municipal public agencies.</w:t>
            </w:r>
          </w:p>
        </w:tc>
      </w:tr>
      <w:tr>
        <w:trPr>
          <w:cantSplit/>
        </w:trPr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5"/>
              </w:rPr>
              <w:t>Conn. Gen. Stat. § 1-206</w:t>
            </w:r>
          </w:p>
        </w:tc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5"/>
              </w:rPr>
              <w:t>Written denial, deemed denial, and appeal timing.</w:t>
            </w:r>
          </w:p>
        </w:tc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5"/>
              </w:rPr>
              <w:t>Core city response-risk rule.</w:t>
            </w:r>
          </w:p>
        </w:tc>
      </w:tr>
      <w:tr>
        <w:trPr>
          <w:cantSplit/>
        </w:trPr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Conn. Gen. Stat. § 1-212</w:t>
            </w:r>
          </w:p>
        </w:tc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Copies, media, municipal rates, prepayment, and waiver provisions.</w:t>
            </w:r>
          </w:p>
        </w:tc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Direct city fee configuration.</w:t>
            </w:r>
          </w:p>
        </w:tc>
      </w:tr>
      <w:tr>
        <w:trPr>
          <w:cantSplit/>
        </w:trPr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5"/>
              </w:rPr>
              <w:t>Freedom of Information Commission decisions and guidance</w:t>
            </w:r>
          </w:p>
        </w:tc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5"/>
              </w:rPr>
              <w:t>Clarifies that four business days is not a universal production deadline and that access must be prompt.</w:t>
            </w:r>
          </w:p>
        </w:tc>
        <w:tc>
          <w:tcPr>
            <w:tcW w:type="dxa" w:w="35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5"/>
              </w:rPr>
              <w:t>Authoritative administrative interpretation.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30"/>
      </w:pPr>
      <w:r>
        <w:t>Receive and identify scope: Record receipt and determine whether the requester seeks inspection, copies, or both. A mandatory agency form is not generally required, though an agency may ask for a written copy request.</w:t>
      </w:r>
    </w:p>
    <w:p>
      <w:pPr>
        <w:pStyle w:val="ListNumber"/>
        <w:spacing w:after="30"/>
      </w:pPr>
      <w:r>
        <w:t>Validate identifiable records and custody: Determine whether the city maintains responsive existing records and whether clarification would improve identification. Do not convert a clarification effort into an invented statutory clock rule.</w:t>
      </w:r>
    </w:p>
    <w:p>
      <w:pPr>
        <w:pStyle w:val="ListNumber"/>
        <w:spacing w:after="30"/>
      </w:pPr>
      <w:r>
        <w:t>Begin prompt fulfillment: Search, review, segregate, redact, and provide access as quickly as circumstances reasonably permit. Track active work and reasons for delay.</w:t>
      </w:r>
    </w:p>
    <w:p>
      <w:pPr>
        <w:pStyle w:val="ListNumber"/>
        <w:spacing w:after="30"/>
      </w:pPr>
      <w:r>
        <w:t>Communicate before deemed-denial risk: If the request will not be completed immediately, send a meaningful acknowledgment/status communication. A denial must be in writing within four business days, except the special personnel/medical procedure can use ten business days.</w:t>
      </w:r>
    </w:p>
    <w:p>
      <w:pPr>
        <w:pStyle w:val="ListNumber"/>
        <w:spacing w:after="30"/>
      </w:pPr>
      <w:r>
        <w:t>Estimate and collect fees: Apply the municipal per-page cap and other authorized actual costs. If estimated fees are $10 or more, the agency may require prepayment before providing copies.</w:t>
      </w:r>
    </w:p>
    <w:p>
      <w:pPr>
        <w:pStyle w:val="ListNumber"/>
        <w:spacing w:after="30"/>
      </w:pPr>
      <w:r>
        <w:t>Complete, partially deny, or deny: Provide nonexempt material promptly and issue a written denial for withheld access. Preserve the actual/deemed denial date because it controls the administrative appeal period.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  <w:cantSplit/>
        </w:trPr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 for public records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Promptly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Provide inspection/copies without undue delay; active fulfillment should be documented.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Qualitative production obligation begins on receipt.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§§ 1-210, 1-212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Full or partial denial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4 business days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Written denial by the official with custody/control.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Denial notice satisfies response; appeal period runs from denial.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§ 1-206(a)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 subject to specified personnel/medical privacy procedure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10 business days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Written denial under the special statutory procedure.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Special track replaces four-day denial period.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§§ 1-206(a), 1-214(b)-(c)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Failure to comply within applicable response period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4 business days generally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Failure may be deemed a denial for appeal purposes.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Creates appeal trigger; does not prove substantive production delay was unreasonable.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§ 1-206(a)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Appeal to FOI Commission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Generally 30 days from denial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Requester may appeal actual or deemed denial.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Appeal clock anchored to denial event.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§ 1-206(b)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Estimated copy fees reach threshold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$10 or more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Agency may require prepayment.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Payment gate may delay delivery of copies.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§ 1-212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30"/>
      </w:pPr>
      <w:r>
        <w:t>The Act does not provide a comprehensive statutory clarification workflow, tolling formula, or requester-abandonment deadline.</w:t>
      </w:r>
    </w:p>
    <w:p>
      <w:pPr>
        <w:pStyle w:val="ListBullet"/>
        <w:spacing w:after="30"/>
      </w:pPr>
      <w:r>
        <w:t>The city should explain what information is needed to identify records and document that assistance, while continuing to act promptly on any separable portion that is clear.</w:t>
      </w:r>
    </w:p>
    <w:p>
      <w:pPr>
        <w:pStyle w:val="ListBullet"/>
        <w:spacing w:after="30"/>
      </w:pPr>
      <w:r>
        <w:t>Local configuration may define reminder and closure practices, but those practices cannot silently replace the statewide prompt-access obligation or create barriers inconsistent with the Act.</w:t>
      </w:r>
    </w:p>
    <w:p>
      <w:pPr>
        <w:pStyle w:val="ListBullet"/>
        <w:spacing w:after="30"/>
      </w:pPr>
      <w:r>
        <w:t>A clarification request should be modeled as a communication and scope-version event; whether operational timers pause should be explicitly labeled as local policy rather than state law.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30"/>
      </w:pPr>
      <w:r>
        <w:t>A denial of inspection or copying must be made in writing within the applicable four- or ten-business-day period.</w:t>
      </w:r>
    </w:p>
    <w:p>
      <w:pPr>
        <w:pStyle w:val="ListBullet"/>
        <w:spacing w:after="30"/>
      </w:pPr>
      <w:r>
        <w:t>Failure to comply can be treated as a denial, allowing an administrative appeal even though the Act does not impose a four-day deadline for full production of every large request.</w:t>
      </w:r>
    </w:p>
    <w:p>
      <w:pPr>
        <w:pStyle w:val="ListBullet"/>
        <w:spacing w:after="30"/>
      </w:pPr>
      <w:r>
        <w:t>Nonexempt portions should be released when exempt information can be segregated.</w:t>
      </w:r>
    </w:p>
    <w:p>
      <w:pPr>
        <w:pStyle w:val="ListBullet"/>
        <w:spacing w:after="30"/>
      </w:pPr>
      <w:r>
        <w:t>The engine should store the actual denial date, deemed-denial date, appeal deadline, authority, withheld scope, and any continued voluntary production.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General public-record request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Prompt processing and general four-business-day response-risk rule.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fixed universal completion deadline.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§ 1-214 personnel/medical privacy procedure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Legal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Special notice/objection review before disclosure.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Ten-business-day denial period may apply.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 vs. copies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Legal/fee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 and copy delivery have different charge consequences.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Copy/payment branch; prompt standard remains.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Simple / complex / voluminous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Operational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Optional staffing and service-target labels.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Cannot change statutory promptness or denial rules.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30"/>
      </w:pPr>
      <w:r>
        <w:t>Volume, redaction burden, archived storage, and competing duties affect what “promptly” requires, but do not create a statutory simple/complex extension track.</w:t>
      </w:r>
    </w:p>
    <w:p>
      <w:pPr>
        <w:pStyle w:val="ListBullet"/>
        <w:spacing w:after="30"/>
      </w:pPr>
      <w:r>
        <w:t>The city should record search sources, staff availability, redaction work, rolling production, and communications as evidence of prompt action.</w:t>
      </w:r>
    </w:p>
    <w:p>
      <w:pPr>
        <w:pStyle w:val="ListBullet"/>
        <w:spacing w:after="30"/>
      </w:pPr>
      <w:r>
        <w:t>Electronic records may be provided on media or as printouts at authorized cost; the system should support medium-specific actual costs.</w:t>
      </w:r>
    </w:p>
    <w:p>
      <w:pPr>
        <w:pStyle w:val="ListBullet"/>
        <w:spacing w:after="30"/>
      </w:pPr>
      <w:r>
        <w:t>Programming or data extraction should be separately authorized and priced under applicable law or local schedule rather than assumed billable merely because it is technically difficult.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Municipal paper copies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Maximum $0.50 per page unless another statute applies.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Charge at delivery or require authorized prepayment.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cap; city may set a lower amount.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State-agency paper copies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Maximum $0.25 per page.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Not the city default.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Keep agency-type applicability in template.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Electronic media, printouts, transcripts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Authorized actual costs under § 1-212.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when useful; prepayment threshold applies.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Configure medium and actual-cost components.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Prepayment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$10 or more estimated fees.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May require before furnishing copies.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State threshold; payment-state tracking.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Waiver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Available for indigence and when records benefit general welfare, subject to statute.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Decision before collection.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Human determination and documented basis.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  <w:cantSplit/>
        </w:trPr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11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CT-ACC-01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Public record request received.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Begin prompt search/review/production and document activity.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Promptly; no fixed statewide completion number.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 qualitative standard; cities.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CT-DEN-01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Access denied in whole or part.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Send written denial.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Within 4 business days, or 10 under § 1-214 procedure.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Mandatory; § 1-206.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CT-RISK-01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compliant action within applicable business-day period.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Flag deemed-denial/appeal risk and escalate.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At end of 4th business day generally.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Do not auto-label as missed production deadline.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CT-SEG-01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Record contains exempt and nonexempt information.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Segregate and release nonexempt portions.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Prompt standard.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Mandatory disclosure principle.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CT-FEE-01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Municipal paper copies requested.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Apply local rate not exceeding $0.50 per page.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At estimate/invoice.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 cap + local rate.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CT-PAY-01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Estimated fees are $10 or more.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Permit configured prepayment requirement and notify requester.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Before furnishing copies if invoked.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Discretionary payment gate; § 1-212.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CT-CLR-01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 cannot be reliably identified.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Seek clarification and explain needed information; preserve original and revised scope.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statewide pause/restart rule identified.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Local workflow constrained by promptness.</w:t>
            </w:r>
          </w:p>
        </w:tc>
      </w:tr>
      <w:tr>
        <w:trPr>
          <w:cantSplit/>
        </w:trPr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CT-APL-01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Actual or deemed denial occurs.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Calculate and display administrative appeal period.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Generally 30 days.</w:t>
            </w:r>
          </w:p>
        </w:tc>
        <w:tc>
          <w:tcPr>
            <w:tcW w:type="dxa" w:w="21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3"/>
              </w:rPr>
              <w:t>Compliance support; § 1-206(b).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264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Prompt-service operational target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Numeric internal goal or manager-determined target.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Must be labeled operational, not statutory.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Four-day risk communication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Local policy/template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Acknowledgment/status/denial routing.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Avoid describing as universal production deadline.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Municipal copy rate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cap + local policy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$0.00–$0.50 per page.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Different from state-agency cap.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Prepayment policy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State law + local choice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Invoke at $10 threshold or waive.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Track estimate and payment.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Electronic/media costs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schedule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Actual-cost components and media types.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Cite § 1-212 authority.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Clarification reminders/closure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Operational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Intervals and approver.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No statewide abandonment rule.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Personnel/medical special routing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law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Record types and § 1-214 workflow.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Activates ten-day track.</w:t>
            </w:r>
          </w:p>
        </w:tc>
      </w:tr>
      <w:tr>
        <w:trPr>
          <w:cantSplit/>
        </w:trPr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Appeal notice and escalation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State law + local template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FOI Commission information and owner.</w:t>
            </w:r>
          </w:p>
        </w:tc>
        <w:tc>
          <w:tcPr>
            <w:tcW w:type="dxa" w:w="26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8FAFC"/>
          </w:tcPr>
          <w:p>
            <w:r>
              <w:rPr>
                <w:sz w:val="14"/>
              </w:rPr>
              <w:t>Preserve actual/deemed denial timestamp.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r>
        <w:rPr>
          <w:b/>
        </w:rPr>
        <w:t xml:space="preserve">Recommended state sequence: </w:t>
      </w:r>
      <w:r>
        <w:t>Received -&gt; Custody/Scope Review -&gt; Prompt Fulfillment Active -&gt; Acknowledgment/Status (operational) -&gt; Fee/Prepayment if copies -&gt; Review/Segregation -&gt; Production or Written Denial -&gt; Actual/Deemed-Denial Appeal Risk -&gt; Closed.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What operational response targets will the city use to implement “promptly” for routine and voluminous requests?</w:t>
      </w:r>
    </w:p>
    <w:p>
      <w:pPr>
        <w:pStyle w:val="ListBullet"/>
        <w:spacing w:after="30"/>
      </w:pPr>
      <w:r>
        <w:t>What clarification-reminder and closure practice will be adopted without creating a false statutory toll?</w:t>
      </w:r>
    </w:p>
    <w:p>
      <w:pPr>
        <w:pStyle w:val="ListBullet"/>
        <w:spacing w:after="30"/>
      </w:pPr>
      <w:r>
        <w:t>What municipal copy rate and electronic-media actual-cost schedule will be approved?</w:t>
      </w:r>
    </w:p>
    <w:p>
      <w:pPr>
        <w:pStyle w:val="ListBullet"/>
        <w:spacing w:after="30"/>
      </w:pPr>
      <w:r>
        <w:t>Which records trigger the § 1-214 ten-business-day privacy procedure?</w:t>
      </w:r>
    </w:p>
    <w:p>
      <w:pPr>
        <w:pStyle w:val="Heading1"/>
      </w:pPr>
      <w:r>
        <w:t>14. Suggestion Added During This Review</w:t>
      </w:r>
    </w:p>
    <w:p>
      <w:r>
        <w:rPr>
          <w:b/>
        </w:rPr>
        <w:t>S-022: Separate a nonresponse/deemed-denial appeal trigger from the substantive qualitative production standard; never mislabel Connecticut’s four-business-day rule as a universal production deadline.</w:t>
      </w:r>
    </w:p>
    <w:p>
      <w:pPr>
        <w:pStyle w:val="IntenseQuote"/>
      </w:pPr>
      <w:r>
        <w:t>This suggestion is recorded for later universal-engine review and does not alter the fixed methodology.</w:t>
      </w:r>
    </w:p>
    <w:p>
      <w:pPr>
        <w:pStyle w:val="Heading1"/>
      </w:pPr>
      <w:r>
        <w:t>15. Primary Sources</w:t>
      </w:r>
    </w:p>
    <w:p>
      <w:pPr>
        <w:pStyle w:val="ListBullet"/>
        <w:spacing w:after="30"/>
      </w:pPr>
      <w:r>
        <w:t>Connecticut FOI Act (official 2024 compilation): https://portal.ct.gov/foi/regulations/the-foi-act/2024-foi-act</w:t>
      </w:r>
    </w:p>
    <w:p>
      <w:pPr>
        <w:pStyle w:val="ListBullet"/>
        <w:spacing w:after="30"/>
      </w:pPr>
      <w:r>
        <w:t>Conn. Gen. Stat. § 1-206 (official FOIC page): https://portal.ct.gov/foi/regulations/the-foi-act/section-1206-formerly-sec-121i--denial-of-access-to-public-records-or-meetings--appeals--notice--ord</w:t>
      </w:r>
    </w:p>
    <w:p>
      <w:pPr>
        <w:pStyle w:val="ListBullet"/>
        <w:spacing w:after="30"/>
      </w:pPr>
      <w:r>
        <w:t>Conn. Gen. Stat. § 1-212 (official FOIC page): https://portal.ct.gov/FOI/Regulations/The-FOI-Act/Sec-1212--Formerly-Sec-115--Copies-and-scanning-of-public-records--Fees</w:t>
      </w:r>
    </w:p>
    <w:p>
      <w:pPr>
        <w:pStyle w:val="ListBullet"/>
        <w:spacing w:after="30"/>
      </w:pPr>
      <w:r>
        <w:t>Connecticut FOI Commission Highlights: https://portal.ct.gov/FOI/Quick-Links/Highlights</w:t>
      </w:r>
    </w:p>
    <w:p>
      <w:r>
        <w:rPr>
          <w:b/>
        </w:rPr>
        <w:t xml:space="preserve">Implementation note: </w:t>
      </w:r>
      <w:r>
        <w:t>This document is a requirements-engineering research artifact, not legal advice. Verify statutes, regulations, cases, and local policy at customer implementation and whenever authority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4"/>
      </w:rPr>
      <w:t>National Open Records Workflow Schema — requirements-engineering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Connecticut | Public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2F5597"/>
      <w:sz w:val="1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