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Idaho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Idaho Public Records Act, Idaho Code §§ 74-101 et seq.</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Idaho has requester-residency tracks that materially change both response periods and fee allowances. A resident request generally has a three-working-day grant/deny milestone and a ten-working-day outer production period when more time is needed; a qualifying nonresident request uses 21- and 35-day periods.</w:t>
      </w:r>
    </w:p>
    <w:p>
      <w:r>
        <w:t>The request may be required in writing and must be directed to the designated custodian, clearly indicate that it is a public-records request, and identify subject matter, records, and a specific date range with enough detail for a reasonable effort.</w:t>
      </w:r>
    </w:p>
    <w:p>
      <w:r>
        <w:t>The system must therefore validate effective receipt, requester-residency status, and request sufficiency before selecting timers. Written denial content is unusually structured, including legal review/opportunity for review, statutory authority, and appeal information.</w:t>
      </w:r>
    </w:p>
    <w:p>
      <w:r>
        <w:rPr>
          <w:b/>
        </w:rPr>
        <w:t xml:space="preserve">Core engine pattern: </w:t>
      </w:r>
      <w:r>
        <w:t>Designated-custodian receipt + resident/nonresident timer and fee tracks + written denial certification + advance-payment branch.</w:t>
      </w:r>
    </w:p>
    <w:p>
      <w:r>
        <w:rPr>
          <w:b/>
        </w:rPr>
        <w:t xml:space="preserve">Scope caution: </w:t>
      </w:r>
      <w:r>
        <w:t>Cities are public agencies. The statewide law supplies core timers and resident allowances, while each city must configure designated custodians, proof of residency, reasonable fees, hourly rates, waiver review, and electronic conversion procedures.</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Idaho Code § 74-103</w:t>
            </w:r>
          </w:p>
        </w:tc>
        <w:tc>
          <w:tcPr>
            <w:tcW w:type="dxa" w:w="3523"/>
            <w:tcMar>
              <w:top w:w="55" w:type="dxa"/>
              <w:start w:w="65" w:type="dxa"/>
              <w:bottom w:w="55" w:type="dxa"/>
              <w:end w:w="65" w:type="dxa"/>
            </w:tcMar>
            <w:vAlign w:val="center"/>
          </w:tcPr>
          <w:p>
            <w:r>
              <w:rPr>
                <w:sz w:val="15"/>
              </w:rPr>
              <w:t>Request form/content, designated custodian, resident/nonresident response periods, conversion extension, and denial notice.</w:t>
            </w:r>
          </w:p>
        </w:tc>
        <w:tc>
          <w:tcPr>
            <w:tcW w:type="dxa" w:w="3523"/>
            <w:tcMar>
              <w:top w:w="55" w:type="dxa"/>
              <w:start w:w="65" w:type="dxa"/>
              <w:bottom w:w="55" w:type="dxa"/>
              <w:end w:w="65" w:type="dxa"/>
            </w:tcMar>
            <w:vAlign w:val="center"/>
          </w:tcPr>
          <w:p>
            <w:r>
              <w:rPr>
                <w:sz w:val="15"/>
              </w:rPr>
              <w:t>Core city workflow.</w:t>
            </w:r>
          </w:p>
        </w:tc>
      </w:tr>
      <w:tr>
        <w:trPr>
          <w:cantSplit/>
        </w:trPr>
        <w:tc>
          <w:tcPr>
            <w:tcW w:type="dxa" w:w="3523"/>
            <w:tcMar>
              <w:top w:w="55" w:type="dxa"/>
              <w:start w:w="65" w:type="dxa"/>
              <w:bottom w:w="55" w:type="dxa"/>
              <w:end w:w="65" w:type="dxa"/>
            </w:tcMar>
            <w:vAlign w:val="center"/>
            <w:shd w:fill="F8FAFC"/>
          </w:tcPr>
          <w:p>
            <w:r>
              <w:rPr>
                <w:sz w:val="15"/>
              </w:rPr>
              <w:t>Idaho Code § 74-102</w:t>
            </w:r>
          </w:p>
        </w:tc>
        <w:tc>
          <w:tcPr>
            <w:tcW w:type="dxa" w:w="3523"/>
            <w:tcMar>
              <w:top w:w="55" w:type="dxa"/>
              <w:start w:w="65" w:type="dxa"/>
              <w:bottom w:w="55" w:type="dxa"/>
              <w:end w:w="65" w:type="dxa"/>
            </w:tcMar>
            <w:vAlign w:val="center"/>
            <w:shd w:fill="F8FAFC"/>
          </w:tcPr>
          <w:p>
            <w:r>
              <w:rPr>
                <w:sz w:val="15"/>
              </w:rPr>
              <w:t>Inspection/copy duties, fees, resident free allowances, advance payment, and waiver.</w:t>
            </w:r>
          </w:p>
        </w:tc>
        <w:tc>
          <w:tcPr>
            <w:tcW w:type="dxa" w:w="3523"/>
            <w:tcMar>
              <w:top w:w="55" w:type="dxa"/>
              <w:start w:w="65" w:type="dxa"/>
              <w:bottom w:w="55" w:type="dxa"/>
              <w:end w:w="65" w:type="dxa"/>
            </w:tcMar>
            <w:vAlign w:val="center"/>
            <w:shd w:fill="F8FAFC"/>
          </w:tcPr>
          <w:p>
            <w:r>
              <w:rPr>
                <w:sz w:val="15"/>
              </w:rPr>
              <w:t>Direct city fee rules.</w:t>
            </w:r>
          </w:p>
        </w:tc>
      </w:tr>
      <w:tr>
        <w:trPr>
          <w:cantSplit/>
        </w:trPr>
        <w:tc>
          <w:tcPr>
            <w:tcW w:type="dxa" w:w="3523"/>
            <w:tcMar>
              <w:top w:w="55" w:type="dxa"/>
              <w:start w:w="65" w:type="dxa"/>
              <w:bottom w:w="55" w:type="dxa"/>
              <w:end w:w="65" w:type="dxa"/>
            </w:tcMar>
            <w:vAlign w:val="center"/>
          </w:tcPr>
          <w:p>
            <w:r>
              <w:rPr>
                <w:sz w:val="15"/>
              </w:rPr>
              <w:t>Idaho Code § 74-112</w:t>
            </w:r>
          </w:p>
        </w:tc>
        <w:tc>
          <w:tcPr>
            <w:tcW w:type="dxa" w:w="3523"/>
            <w:tcMar>
              <w:top w:w="55" w:type="dxa"/>
              <w:start w:w="65" w:type="dxa"/>
              <w:bottom w:w="55" w:type="dxa"/>
              <w:end w:w="65" w:type="dxa"/>
            </w:tcMar>
            <w:vAlign w:val="center"/>
          </w:tcPr>
          <w:p>
            <w:r>
              <w:rPr>
                <w:sz w:val="15"/>
              </w:rPr>
              <w:t>Segregation of exempt and nonexempt material.</w:t>
            </w:r>
          </w:p>
        </w:tc>
        <w:tc>
          <w:tcPr>
            <w:tcW w:type="dxa" w:w="3523"/>
            <w:tcMar>
              <w:top w:w="55" w:type="dxa"/>
              <w:start w:w="65" w:type="dxa"/>
              <w:bottom w:w="55" w:type="dxa"/>
              <w:end w:w="65" w:type="dxa"/>
            </w:tcMar>
            <w:vAlign w:val="center"/>
          </w:tcPr>
          <w:p>
            <w:r>
              <w:rPr>
                <w:sz w:val="15"/>
              </w:rPr>
              <w:t>Partial-release rule for cities.</w:t>
            </w:r>
          </w:p>
        </w:tc>
      </w:tr>
      <w:tr>
        <w:trPr>
          <w:cantSplit/>
        </w:trPr>
        <w:tc>
          <w:tcPr>
            <w:tcW w:type="dxa" w:w="3523"/>
            <w:tcMar>
              <w:top w:w="55" w:type="dxa"/>
              <w:start w:w="65" w:type="dxa"/>
              <w:bottom w:w="55" w:type="dxa"/>
              <w:end w:w="65" w:type="dxa"/>
            </w:tcMar>
            <w:vAlign w:val="center"/>
            <w:shd w:fill="F8FAFC"/>
          </w:tcPr>
          <w:p>
            <w:r>
              <w:rPr>
                <w:sz w:val="15"/>
              </w:rPr>
              <w:t>Idaho Attorney General Public Records Law Manual</w:t>
            </w:r>
          </w:p>
        </w:tc>
        <w:tc>
          <w:tcPr>
            <w:tcW w:type="dxa" w:w="3523"/>
            <w:tcMar>
              <w:top w:w="55" w:type="dxa"/>
              <w:start w:w="65" w:type="dxa"/>
              <w:bottom w:w="55" w:type="dxa"/>
              <w:end w:w="65" w:type="dxa"/>
            </w:tcMar>
            <w:vAlign w:val="center"/>
            <w:shd w:fill="F8FAFC"/>
          </w:tcPr>
          <w:p>
            <w:r>
              <w:rPr>
                <w:sz w:val="15"/>
              </w:rPr>
              <w:t>Official interpretive guidance and examples.</w:t>
            </w:r>
          </w:p>
        </w:tc>
        <w:tc>
          <w:tcPr>
            <w:tcW w:type="dxa" w:w="3523"/>
            <w:tcMar>
              <w:top w:w="55" w:type="dxa"/>
              <w:start w:w="65" w:type="dxa"/>
              <w:bottom w:w="55" w:type="dxa"/>
              <w:end w:w="65" w:type="dxa"/>
            </w:tcMar>
            <w:vAlign w:val="center"/>
            <w:shd w:fill="F8FAFC"/>
          </w:tcPr>
          <w:p>
            <w:r>
              <w:rPr>
                <w:sz w:val="15"/>
              </w:rPr>
              <w:t>Guidance; verify current statute at setup.</w:t>
            </w:r>
          </w:p>
        </w:tc>
      </w:tr>
    </w:tbl>
    <w:p>
      <w:pPr>
        <w:pStyle w:val="Heading1"/>
      </w:pPr>
      <w:r>
        <w:t>3. Human-Readable Initial Processing Workflow</w:t>
      </w:r>
    </w:p>
    <w:p>
      <w:pPr>
        <w:pStyle w:val="ListNumber"/>
        <w:spacing w:after="30"/>
      </w:pPr>
      <w:r>
        <w:t>Receive at the designated custodian: Confirm the request was directed to the official custodian/designee and clearly invokes public-records access. If local policy requires writing, capture the written request and delivery timestamp.</w:t>
      </w:r>
    </w:p>
    <w:p>
      <w:pPr>
        <w:pStyle w:val="ListNumber"/>
        <w:spacing w:after="30"/>
      </w:pPr>
      <w:r>
        <w:t>Validate details and residency: Confirm subject matter, identifiable records, specific date range, and sufficient detail. Determine whether the requester is an Idaho resident or a nonresident not employed by an Idaho resident.</w:t>
      </w:r>
    </w:p>
    <w:p>
      <w:pPr>
        <w:pStyle w:val="ListNumber"/>
        <w:spacing w:after="30"/>
      </w:pPr>
      <w:r>
        <w:t>Open the correct timer track: For residents, grant or deny within three working days or send written notice that additional time is needed and complete no later than ten working days. For the qualifying nonresident track, use 21 and 35 days.</w:t>
      </w:r>
    </w:p>
    <w:p>
      <w:pPr>
        <w:pStyle w:val="ListNumber"/>
        <w:spacing w:after="30"/>
      </w:pPr>
      <w:r>
        <w:t>Handle electronic conversion: If conversion cannot be completed within the normal outer period, give written notice and reach a mutually agreed completion time that considers conversion and third-party services.</w:t>
      </w:r>
    </w:p>
    <w:p>
      <w:pPr>
        <w:pStyle w:val="ListNumber"/>
        <w:spacing w:after="30"/>
      </w:pPr>
      <w:r>
        <w:t>Estimate fees and payment: Apply resident free allowances, qualifying fee triggers, lowest-paid qualified staff, and any necessary attorney-redaction rate. The city may require advance payment.</w:t>
      </w:r>
    </w:p>
    <w:p>
      <w:pPr>
        <w:pStyle w:val="ListNumber"/>
        <w:spacing w:after="30"/>
      </w:pPr>
      <w:r>
        <w:t>Produce or deny: Segregate nonexempt material. A denial or partial denial must be written, cite authority, state legal-review status, and explain the appeal route and time.</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Resident request effectively received</w:t>
            </w:r>
          </w:p>
        </w:tc>
        <w:tc>
          <w:tcPr>
            <w:tcW w:type="dxa" w:w="2114"/>
            <w:tcMar>
              <w:top w:w="55" w:type="dxa"/>
              <w:start w:w="65" w:type="dxa"/>
              <w:bottom w:w="55" w:type="dxa"/>
              <w:end w:w="65" w:type="dxa"/>
            </w:tcMar>
            <w:vAlign w:val="center"/>
          </w:tcPr>
          <w:p>
            <w:r>
              <w:rPr>
                <w:sz w:val="14"/>
              </w:rPr>
              <w:t>3 working days</w:t>
            </w:r>
          </w:p>
        </w:tc>
        <w:tc>
          <w:tcPr>
            <w:tcW w:type="dxa" w:w="2114"/>
            <w:tcMar>
              <w:top w:w="55" w:type="dxa"/>
              <w:start w:w="65" w:type="dxa"/>
              <w:bottom w:w="55" w:type="dxa"/>
              <w:end w:w="65" w:type="dxa"/>
            </w:tcMar>
            <w:vAlign w:val="center"/>
          </w:tcPr>
          <w:p>
            <w:r>
              <w:rPr>
                <w:sz w:val="14"/>
              </w:rPr>
              <w:t>Grant or deny; if more time is needed, written extension notice.</w:t>
            </w:r>
          </w:p>
        </w:tc>
        <w:tc>
          <w:tcPr>
            <w:tcW w:type="dxa" w:w="2114"/>
            <w:tcMar>
              <w:top w:w="55" w:type="dxa"/>
              <w:start w:w="65" w:type="dxa"/>
              <w:bottom w:w="55" w:type="dxa"/>
              <w:end w:w="65" w:type="dxa"/>
            </w:tcMar>
            <w:vAlign w:val="center"/>
          </w:tcPr>
          <w:p>
            <w:r>
              <w:rPr>
                <w:sz w:val="14"/>
              </w:rPr>
              <w:t>Resident timer starts only upon effective receipt by designated custodian.</w:t>
            </w:r>
          </w:p>
        </w:tc>
        <w:tc>
          <w:tcPr>
            <w:tcW w:type="dxa" w:w="2114"/>
            <w:tcMar>
              <w:top w:w="55" w:type="dxa"/>
              <w:start w:w="65" w:type="dxa"/>
              <w:bottom w:w="55" w:type="dxa"/>
              <w:end w:w="65" w:type="dxa"/>
            </w:tcMar>
            <w:vAlign w:val="center"/>
          </w:tcPr>
          <w:p>
            <w:r>
              <w:rPr>
                <w:sz w:val="14"/>
              </w:rPr>
              <w:t>§ 74-103</w:t>
            </w:r>
          </w:p>
        </w:tc>
      </w:tr>
      <w:tr>
        <w:trPr>
          <w:cantSplit/>
        </w:trPr>
        <w:tc>
          <w:tcPr>
            <w:tcW w:type="dxa" w:w="2114"/>
            <w:tcMar>
              <w:top w:w="55" w:type="dxa"/>
              <w:start w:w="65" w:type="dxa"/>
              <w:bottom w:w="55" w:type="dxa"/>
              <w:end w:w="65" w:type="dxa"/>
            </w:tcMar>
            <w:vAlign w:val="center"/>
            <w:shd w:fill="F8FAFC"/>
          </w:tcPr>
          <w:p>
            <w:r>
              <w:rPr>
                <w:sz w:val="14"/>
              </w:rPr>
              <w:t>Resident extension invoked</w:t>
            </w:r>
          </w:p>
        </w:tc>
        <w:tc>
          <w:tcPr>
            <w:tcW w:type="dxa" w:w="2114"/>
            <w:tcMar>
              <w:top w:w="55" w:type="dxa"/>
              <w:start w:w="65" w:type="dxa"/>
              <w:bottom w:w="55" w:type="dxa"/>
              <w:end w:w="65" w:type="dxa"/>
            </w:tcMar>
            <w:vAlign w:val="center"/>
            <w:shd w:fill="F8FAFC"/>
          </w:tcPr>
          <w:p>
            <w:r>
              <w:rPr>
                <w:sz w:val="14"/>
              </w:rPr>
              <w:t>No later than 10 working days from request</w:t>
            </w:r>
          </w:p>
        </w:tc>
        <w:tc>
          <w:tcPr>
            <w:tcW w:type="dxa" w:w="2114"/>
            <w:tcMar>
              <w:top w:w="55" w:type="dxa"/>
              <w:start w:w="65" w:type="dxa"/>
              <w:bottom w:w="55" w:type="dxa"/>
              <w:end w:w="65" w:type="dxa"/>
            </w:tcMar>
            <w:vAlign w:val="center"/>
            <w:shd w:fill="F8FAFC"/>
          </w:tcPr>
          <w:p>
            <w:r>
              <w:rPr>
                <w:sz w:val="14"/>
              </w:rPr>
              <w:t>Provide records or final denial.</w:t>
            </w:r>
          </w:p>
        </w:tc>
        <w:tc>
          <w:tcPr>
            <w:tcW w:type="dxa" w:w="2114"/>
            <w:tcMar>
              <w:top w:w="55" w:type="dxa"/>
              <w:start w:w="65" w:type="dxa"/>
              <w:bottom w:w="55" w:type="dxa"/>
              <w:end w:w="65" w:type="dxa"/>
            </w:tcMar>
            <w:vAlign w:val="center"/>
            <w:shd w:fill="F8FAFC"/>
          </w:tcPr>
          <w:p>
            <w:r>
              <w:rPr>
                <w:sz w:val="14"/>
              </w:rPr>
              <w:t>Outer resident completion timer.</w:t>
            </w:r>
          </w:p>
        </w:tc>
        <w:tc>
          <w:tcPr>
            <w:tcW w:type="dxa" w:w="2114"/>
            <w:tcMar>
              <w:top w:w="55" w:type="dxa"/>
              <w:start w:w="65" w:type="dxa"/>
              <w:bottom w:w="55" w:type="dxa"/>
              <w:end w:w="65" w:type="dxa"/>
            </w:tcMar>
            <w:vAlign w:val="center"/>
            <w:shd w:fill="F8FAFC"/>
          </w:tcPr>
          <w:p>
            <w:r>
              <w:rPr>
                <w:sz w:val="14"/>
              </w:rPr>
              <w:t>§ 74-103</w:t>
            </w:r>
          </w:p>
        </w:tc>
      </w:tr>
      <w:tr>
        <w:trPr>
          <w:cantSplit/>
        </w:trPr>
        <w:tc>
          <w:tcPr>
            <w:tcW w:type="dxa" w:w="2114"/>
            <w:tcMar>
              <w:top w:w="55" w:type="dxa"/>
              <w:start w:w="65" w:type="dxa"/>
              <w:bottom w:w="55" w:type="dxa"/>
              <w:end w:w="65" w:type="dxa"/>
            </w:tcMar>
            <w:vAlign w:val="center"/>
          </w:tcPr>
          <w:p>
            <w:r>
              <w:rPr>
                <w:sz w:val="14"/>
              </w:rPr>
              <w:t>Qualifying nonresident request</w:t>
            </w:r>
          </w:p>
        </w:tc>
        <w:tc>
          <w:tcPr>
            <w:tcW w:type="dxa" w:w="2114"/>
            <w:tcMar>
              <w:top w:w="55" w:type="dxa"/>
              <w:start w:w="65" w:type="dxa"/>
              <w:bottom w:w="55" w:type="dxa"/>
              <w:end w:w="65" w:type="dxa"/>
            </w:tcMar>
            <w:vAlign w:val="center"/>
          </w:tcPr>
          <w:p>
            <w:r>
              <w:rPr>
                <w:sz w:val="14"/>
              </w:rPr>
              <w:t>21 days</w:t>
            </w:r>
          </w:p>
        </w:tc>
        <w:tc>
          <w:tcPr>
            <w:tcW w:type="dxa" w:w="2114"/>
            <w:tcMar>
              <w:top w:w="55" w:type="dxa"/>
              <w:start w:w="65" w:type="dxa"/>
              <w:bottom w:w="55" w:type="dxa"/>
              <w:end w:w="65" w:type="dxa"/>
            </w:tcMar>
            <w:vAlign w:val="center"/>
          </w:tcPr>
          <w:p>
            <w:r>
              <w:rPr>
                <w:sz w:val="14"/>
              </w:rPr>
              <w:t>Grant or deny; written notice if additional time is needed.</w:t>
            </w:r>
          </w:p>
        </w:tc>
        <w:tc>
          <w:tcPr>
            <w:tcW w:type="dxa" w:w="2114"/>
            <w:tcMar>
              <w:top w:w="55" w:type="dxa"/>
              <w:start w:w="65" w:type="dxa"/>
              <w:bottom w:w="55" w:type="dxa"/>
              <w:end w:w="65" w:type="dxa"/>
            </w:tcMar>
            <w:vAlign w:val="center"/>
          </w:tcPr>
          <w:p>
            <w:r>
              <w:rPr>
                <w:sz w:val="14"/>
              </w:rPr>
              <w:t>Nonresident track.</w:t>
            </w:r>
          </w:p>
        </w:tc>
        <w:tc>
          <w:tcPr>
            <w:tcW w:type="dxa" w:w="2114"/>
            <w:tcMar>
              <w:top w:w="55" w:type="dxa"/>
              <w:start w:w="65" w:type="dxa"/>
              <w:bottom w:w="55" w:type="dxa"/>
              <w:end w:w="65" w:type="dxa"/>
            </w:tcMar>
            <w:vAlign w:val="center"/>
          </w:tcPr>
          <w:p>
            <w:r>
              <w:rPr>
                <w:sz w:val="14"/>
              </w:rPr>
              <w:t>§ 74-103</w:t>
            </w:r>
          </w:p>
        </w:tc>
      </w:tr>
      <w:tr>
        <w:trPr>
          <w:cantSplit/>
        </w:trPr>
        <w:tc>
          <w:tcPr>
            <w:tcW w:type="dxa" w:w="2114"/>
            <w:tcMar>
              <w:top w:w="55" w:type="dxa"/>
              <w:start w:w="65" w:type="dxa"/>
              <w:bottom w:w="55" w:type="dxa"/>
              <w:end w:w="65" w:type="dxa"/>
            </w:tcMar>
            <w:vAlign w:val="center"/>
            <w:shd w:fill="F8FAFC"/>
          </w:tcPr>
          <w:p>
            <w:r>
              <w:rPr>
                <w:sz w:val="14"/>
              </w:rPr>
              <w:t>Nonresident extension invoked</w:t>
            </w:r>
          </w:p>
        </w:tc>
        <w:tc>
          <w:tcPr>
            <w:tcW w:type="dxa" w:w="2114"/>
            <w:tcMar>
              <w:top w:w="55" w:type="dxa"/>
              <w:start w:w="65" w:type="dxa"/>
              <w:bottom w:w="55" w:type="dxa"/>
              <w:end w:w="65" w:type="dxa"/>
            </w:tcMar>
            <w:vAlign w:val="center"/>
            <w:shd w:fill="F8FAFC"/>
          </w:tcPr>
          <w:p>
            <w:r>
              <w:rPr>
                <w:sz w:val="14"/>
              </w:rPr>
              <w:t>No later than 35 days from request</w:t>
            </w:r>
          </w:p>
        </w:tc>
        <w:tc>
          <w:tcPr>
            <w:tcW w:type="dxa" w:w="2114"/>
            <w:tcMar>
              <w:top w:w="55" w:type="dxa"/>
              <w:start w:w="65" w:type="dxa"/>
              <w:bottom w:w="55" w:type="dxa"/>
              <w:end w:w="65" w:type="dxa"/>
            </w:tcMar>
            <w:vAlign w:val="center"/>
            <w:shd w:fill="F8FAFC"/>
          </w:tcPr>
          <w:p>
            <w:r>
              <w:rPr>
                <w:sz w:val="14"/>
              </w:rPr>
              <w:t>Provide records or final denial.</w:t>
            </w:r>
          </w:p>
        </w:tc>
        <w:tc>
          <w:tcPr>
            <w:tcW w:type="dxa" w:w="2114"/>
            <w:tcMar>
              <w:top w:w="55" w:type="dxa"/>
              <w:start w:w="65" w:type="dxa"/>
              <w:bottom w:w="55" w:type="dxa"/>
              <w:end w:w="65" w:type="dxa"/>
            </w:tcMar>
            <w:vAlign w:val="center"/>
            <w:shd w:fill="F8FAFC"/>
          </w:tcPr>
          <w:p>
            <w:r>
              <w:rPr>
                <w:sz w:val="14"/>
              </w:rPr>
              <w:t>Outer nonresident completion timer.</w:t>
            </w:r>
          </w:p>
        </w:tc>
        <w:tc>
          <w:tcPr>
            <w:tcW w:type="dxa" w:w="2114"/>
            <w:tcMar>
              <w:top w:w="55" w:type="dxa"/>
              <w:start w:w="65" w:type="dxa"/>
              <w:bottom w:w="55" w:type="dxa"/>
              <w:end w:w="65" w:type="dxa"/>
            </w:tcMar>
            <w:vAlign w:val="center"/>
            <w:shd w:fill="F8FAFC"/>
          </w:tcPr>
          <w:p>
            <w:r>
              <w:rPr>
                <w:sz w:val="14"/>
              </w:rPr>
              <w:t>§ 74-103</w:t>
            </w:r>
          </w:p>
        </w:tc>
      </w:tr>
      <w:tr>
        <w:trPr>
          <w:cantSplit/>
        </w:trPr>
        <w:tc>
          <w:tcPr>
            <w:tcW w:type="dxa" w:w="2114"/>
            <w:tcMar>
              <w:top w:w="55" w:type="dxa"/>
              <w:start w:w="65" w:type="dxa"/>
              <w:bottom w:w="55" w:type="dxa"/>
              <w:end w:w="65" w:type="dxa"/>
            </w:tcMar>
            <w:vAlign w:val="center"/>
          </w:tcPr>
          <w:p>
            <w:r>
              <w:rPr>
                <w:sz w:val="14"/>
              </w:rPr>
              <w:t>Electronic conversion cannot be completed in outer period</w:t>
            </w:r>
          </w:p>
        </w:tc>
        <w:tc>
          <w:tcPr>
            <w:tcW w:type="dxa" w:w="2114"/>
            <w:tcMar>
              <w:top w:w="55" w:type="dxa"/>
              <w:start w:w="65" w:type="dxa"/>
              <w:bottom w:w="55" w:type="dxa"/>
              <w:end w:w="65" w:type="dxa"/>
            </w:tcMar>
            <w:vAlign w:val="center"/>
          </w:tcPr>
          <w:p>
            <w:r>
              <w:rPr>
                <w:sz w:val="14"/>
              </w:rPr>
              <w:t>Written notice before period expires</w:t>
            </w:r>
          </w:p>
        </w:tc>
        <w:tc>
          <w:tcPr>
            <w:tcW w:type="dxa" w:w="2114"/>
            <w:tcMar>
              <w:top w:w="55" w:type="dxa"/>
              <w:start w:w="65" w:type="dxa"/>
              <w:bottom w:w="55" w:type="dxa"/>
              <w:end w:w="65" w:type="dxa"/>
            </w:tcMar>
            <w:vAlign w:val="center"/>
          </w:tcPr>
          <w:p>
            <w:r>
              <w:rPr>
                <w:sz w:val="14"/>
              </w:rPr>
              <w:t>State conversion problem and establish mutually agreed time.</w:t>
            </w:r>
          </w:p>
        </w:tc>
        <w:tc>
          <w:tcPr>
            <w:tcW w:type="dxa" w:w="2114"/>
            <w:tcMar>
              <w:top w:w="55" w:type="dxa"/>
              <w:start w:w="65" w:type="dxa"/>
              <w:bottom w:w="55" w:type="dxa"/>
              <w:end w:w="65" w:type="dxa"/>
            </w:tcMar>
            <w:vAlign w:val="center"/>
          </w:tcPr>
          <w:p>
            <w:r>
              <w:rPr>
                <w:sz w:val="14"/>
              </w:rPr>
              <w:t>Replaces fixed outer date with agreed date.</w:t>
            </w:r>
          </w:p>
        </w:tc>
        <w:tc>
          <w:tcPr>
            <w:tcW w:type="dxa" w:w="2114"/>
            <w:tcMar>
              <w:top w:w="55" w:type="dxa"/>
              <w:start w:w="65" w:type="dxa"/>
              <w:bottom w:w="55" w:type="dxa"/>
              <w:end w:w="65" w:type="dxa"/>
            </w:tcMar>
            <w:vAlign w:val="center"/>
          </w:tcPr>
          <w:p>
            <w:r>
              <w:rPr>
                <w:sz w:val="14"/>
              </w:rPr>
              <w:t>§ 74-103</w:t>
            </w:r>
          </w:p>
        </w:tc>
      </w:tr>
      <w:tr>
        <w:trPr>
          <w:cantSplit/>
        </w:trPr>
        <w:tc>
          <w:tcPr>
            <w:tcW w:type="dxa" w:w="2114"/>
            <w:tcMar>
              <w:top w:w="55" w:type="dxa"/>
              <w:start w:w="65" w:type="dxa"/>
              <w:bottom w:w="55" w:type="dxa"/>
              <w:end w:w="65" w:type="dxa"/>
            </w:tcMar>
            <w:vAlign w:val="center"/>
            <w:shd w:fill="F8FAFC"/>
          </w:tcPr>
          <w:p>
            <w:r>
              <w:rPr>
                <w:sz w:val="14"/>
              </w:rPr>
              <w:t>Failure to respond within allotted period</w:t>
            </w:r>
          </w:p>
        </w:tc>
        <w:tc>
          <w:tcPr>
            <w:tcW w:type="dxa" w:w="2114"/>
            <w:tcMar>
              <w:top w:w="55" w:type="dxa"/>
              <w:start w:w="65" w:type="dxa"/>
              <w:bottom w:w="55" w:type="dxa"/>
              <w:end w:w="65" w:type="dxa"/>
            </w:tcMar>
            <w:vAlign w:val="center"/>
            <w:shd w:fill="F8FAFC"/>
          </w:tcPr>
          <w:p>
            <w:r>
              <w:rPr>
                <w:sz w:val="14"/>
              </w:rPr>
              <w:t>At expiration</w:t>
            </w:r>
          </w:p>
        </w:tc>
        <w:tc>
          <w:tcPr>
            <w:tcW w:type="dxa" w:w="2114"/>
            <w:tcMar>
              <w:top w:w="55" w:type="dxa"/>
              <w:start w:w="65" w:type="dxa"/>
              <w:bottom w:w="55" w:type="dxa"/>
              <w:end w:w="65" w:type="dxa"/>
            </w:tcMar>
            <w:vAlign w:val="center"/>
            <w:shd w:fill="F8FAFC"/>
          </w:tcPr>
          <w:p>
            <w:r>
              <w:rPr>
                <w:sz w:val="14"/>
              </w:rPr>
              <w:t>Request is deemed denied.</w:t>
            </w:r>
          </w:p>
        </w:tc>
        <w:tc>
          <w:tcPr>
            <w:tcW w:type="dxa" w:w="2114"/>
            <w:tcMar>
              <w:top w:w="55" w:type="dxa"/>
              <w:start w:w="65" w:type="dxa"/>
              <w:bottom w:w="55" w:type="dxa"/>
              <w:end w:w="65" w:type="dxa"/>
            </w:tcMar>
            <w:vAlign w:val="center"/>
            <w:shd w:fill="F8FAFC"/>
          </w:tcPr>
          <w:p>
            <w:r>
              <w:rPr>
                <w:sz w:val="14"/>
              </w:rPr>
              <w:t>Creates appeal/enforcement trigger.</w:t>
            </w:r>
          </w:p>
        </w:tc>
        <w:tc>
          <w:tcPr>
            <w:tcW w:type="dxa" w:w="2114"/>
            <w:tcMar>
              <w:top w:w="55" w:type="dxa"/>
              <w:start w:w="65" w:type="dxa"/>
              <w:bottom w:w="55" w:type="dxa"/>
              <w:end w:w="65" w:type="dxa"/>
            </w:tcMar>
            <w:vAlign w:val="center"/>
            <w:shd w:fill="F8FAFC"/>
          </w:tcPr>
          <w:p>
            <w:r>
              <w:rPr>
                <w:sz w:val="14"/>
              </w:rPr>
              <w:t>§ 74-103</w:t>
            </w:r>
          </w:p>
        </w:tc>
      </w:tr>
      <w:tr>
        <w:trPr>
          <w:cantSplit/>
        </w:trPr>
        <w:tc>
          <w:tcPr>
            <w:tcW w:type="dxa" w:w="2114"/>
            <w:tcMar>
              <w:top w:w="55" w:type="dxa"/>
              <w:start w:w="65" w:type="dxa"/>
              <w:bottom w:w="55" w:type="dxa"/>
              <w:end w:w="65" w:type="dxa"/>
            </w:tcMar>
            <w:vAlign w:val="center"/>
          </w:tcPr>
          <w:p>
            <w:r>
              <w:rPr>
                <w:sz w:val="14"/>
              </w:rPr>
              <w:t>Denial or partial denial</w:t>
            </w:r>
          </w:p>
        </w:tc>
        <w:tc>
          <w:tcPr>
            <w:tcW w:type="dxa" w:w="2114"/>
            <w:tcMar>
              <w:top w:w="55" w:type="dxa"/>
              <w:start w:w="65" w:type="dxa"/>
              <w:bottom w:w="55" w:type="dxa"/>
              <w:end w:w="65" w:type="dxa"/>
            </w:tcMar>
            <w:vAlign w:val="center"/>
          </w:tcPr>
          <w:p>
            <w:r>
              <w:rPr>
                <w:sz w:val="14"/>
              </w:rPr>
              <w:t>With final decision</w:t>
            </w:r>
          </w:p>
        </w:tc>
        <w:tc>
          <w:tcPr>
            <w:tcW w:type="dxa" w:w="2114"/>
            <w:tcMar>
              <w:top w:w="55" w:type="dxa"/>
              <w:start w:w="65" w:type="dxa"/>
              <w:bottom w:w="55" w:type="dxa"/>
              <w:end w:w="65" w:type="dxa"/>
            </w:tcMar>
            <w:vAlign w:val="center"/>
          </w:tcPr>
          <w:p>
            <w:r>
              <w:rPr>
                <w:sz w:val="14"/>
              </w:rPr>
              <w:t>Written notice with legal authority, attorney-review statement, and appeal information.</w:t>
            </w:r>
          </w:p>
        </w:tc>
        <w:tc>
          <w:tcPr>
            <w:tcW w:type="dxa" w:w="2114"/>
            <w:tcMar>
              <w:top w:w="55" w:type="dxa"/>
              <w:start w:w="65" w:type="dxa"/>
              <w:bottom w:w="55" w:type="dxa"/>
              <w:end w:w="65" w:type="dxa"/>
            </w:tcMar>
            <w:vAlign w:val="center"/>
          </w:tcPr>
          <w:p>
            <w:r>
              <w:rPr>
                <w:sz w:val="14"/>
              </w:rPr>
              <w:t>Closes access decision while appeal timer begins.</w:t>
            </w:r>
          </w:p>
        </w:tc>
        <w:tc>
          <w:tcPr>
            <w:tcW w:type="dxa" w:w="2114"/>
            <w:tcMar>
              <w:top w:w="55" w:type="dxa"/>
              <w:start w:w="65" w:type="dxa"/>
              <w:bottom w:w="55" w:type="dxa"/>
              <w:end w:w="65" w:type="dxa"/>
            </w:tcMar>
            <w:vAlign w:val="center"/>
          </w:tcPr>
          <w:p>
            <w:r>
              <w:rPr>
                <w:sz w:val="14"/>
              </w:rPr>
              <w:t>§ 74-103</w:t>
            </w:r>
          </w:p>
        </w:tc>
      </w:tr>
    </w:tbl>
    <w:p>
      <w:pPr>
        <w:pStyle w:val="Heading1"/>
      </w:pPr>
      <w:r>
        <w:t>5. Vague, Unclear, or Overly Broad Requests</w:t>
      </w:r>
    </w:p>
    <w:p>
      <w:pPr>
        <w:pStyle w:val="ListBullet"/>
        <w:spacing w:after="30"/>
      </w:pPr>
      <w:r>
        <w:t>A city may require a written request that specifically describes the subject matter, records sought, and a specific date range, with enough detail to enable a reasonable effort.</w:t>
      </w:r>
    </w:p>
    <w:p>
      <w:pPr>
        <w:pStyle w:val="ListBullet"/>
        <w:spacing w:after="30"/>
      </w:pPr>
      <w:r>
        <w:t>A request that does not reach the designated custodian or does not clearly indicate a public-records request may fail to trigger the statutory duty. The intake UI should make correction easy rather than rely on technical rejection.</w:t>
      </w:r>
    </w:p>
    <w:p>
      <w:pPr>
        <w:pStyle w:val="ListBullet"/>
        <w:spacing w:after="30"/>
      </w:pPr>
      <w:r>
        <w:t>No general statewide clarification toll/restart or requester-abandonment period was identified. A clarification event should preserve both versions and the local handling rule.</w:t>
      </w:r>
    </w:p>
    <w:p>
      <w:pPr>
        <w:pStyle w:val="ListBullet"/>
        <w:spacing w:after="30"/>
      </w:pPr>
      <w:r>
        <w:t>Operational assistance should help the requester identify record series, date ranges, departments, and ordinary access methods without silently creating new statutory deadlines.</w:t>
      </w:r>
    </w:p>
    <w:p>
      <w:pPr>
        <w:pStyle w:val="Heading1"/>
      </w:pPr>
      <w:r>
        <w:t>6. Denial and Partial-Denial Process</w:t>
      </w:r>
    </w:p>
    <w:p>
      <w:pPr>
        <w:pStyle w:val="ListBullet"/>
        <w:spacing w:after="30"/>
      </w:pPr>
      <w:r>
        <w:t>A denial or partial denial must be in writing and cite the statutory authority for nondisclosure.</w:t>
      </w:r>
    </w:p>
    <w:p>
      <w:pPr>
        <w:pStyle w:val="ListBullet"/>
        <w:spacing w:after="30"/>
      </w:pPr>
      <w:r>
        <w:t>The notice must state that the public agency attorney reviewed the request/denial or that the agency had an opportunity for review and declined.</w:t>
      </w:r>
    </w:p>
    <w:p>
      <w:pPr>
        <w:pStyle w:val="ListBullet"/>
        <w:spacing w:after="30"/>
      </w:pPr>
      <w:r>
        <w:t>The notice must explain the right and time to appeal. Failure to respond within the allotted period is deemed a denial.</w:t>
      </w:r>
    </w:p>
    <w:p>
      <w:pPr>
        <w:pStyle w:val="ListBullet"/>
        <w:spacing w:after="30"/>
      </w:pPr>
      <w:r>
        <w:t>Exempt material must be separated from nonexempt material when practicable, and the nonexempt portion released.</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Idaho resident request</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Shorter response track and resident fee allowances.</w:t>
            </w:r>
          </w:p>
        </w:tc>
        <w:tc>
          <w:tcPr>
            <w:tcW w:type="dxa" w:w="2642"/>
            <w:tcMar>
              <w:top w:w="55" w:type="dxa"/>
              <w:start w:w="65" w:type="dxa"/>
              <w:bottom w:w="55" w:type="dxa"/>
              <w:end w:w="65" w:type="dxa"/>
            </w:tcMar>
            <w:vAlign w:val="center"/>
          </w:tcPr>
          <w:p>
            <w:r>
              <w:rPr>
                <w:sz w:val="14"/>
              </w:rPr>
              <w:t>3-working-day decision; 10-working-day outer period.</w:t>
            </w:r>
          </w:p>
        </w:tc>
      </w:tr>
      <w:tr>
        <w:trPr>
          <w:cantSplit/>
        </w:trPr>
        <w:tc>
          <w:tcPr>
            <w:tcW w:type="dxa" w:w="2642"/>
            <w:tcMar>
              <w:top w:w="55" w:type="dxa"/>
              <w:start w:w="65" w:type="dxa"/>
              <w:bottom w:w="55" w:type="dxa"/>
              <w:end w:w="65" w:type="dxa"/>
            </w:tcMar>
            <w:vAlign w:val="center"/>
            <w:shd w:fill="F8FAFC"/>
          </w:tcPr>
          <w:p>
            <w:r>
              <w:rPr>
                <w:sz w:val="14"/>
              </w:rPr>
              <w:t>Qualifying nonresident request</w:t>
            </w:r>
          </w:p>
        </w:tc>
        <w:tc>
          <w:tcPr>
            <w:tcW w:type="dxa" w:w="2642"/>
            <w:tcMar>
              <w:top w:w="55" w:type="dxa"/>
              <w:start w:w="65" w:type="dxa"/>
              <w:bottom w:w="55" w:type="dxa"/>
              <w:end w:w="65" w:type="dxa"/>
            </w:tcMar>
            <w:vAlign w:val="center"/>
            <w:shd w:fill="F8FAFC"/>
          </w:tcPr>
          <w:p>
            <w:r>
              <w:rPr>
                <w:sz w:val="14"/>
              </w:rPr>
              <w:t>Legal</w:t>
            </w:r>
          </w:p>
        </w:tc>
        <w:tc>
          <w:tcPr>
            <w:tcW w:type="dxa" w:w="2642"/>
            <w:tcMar>
              <w:top w:w="55" w:type="dxa"/>
              <w:start w:w="65" w:type="dxa"/>
              <w:bottom w:w="55" w:type="dxa"/>
              <w:end w:w="65" w:type="dxa"/>
            </w:tcMar>
            <w:vAlign w:val="center"/>
            <w:shd w:fill="F8FAFC"/>
          </w:tcPr>
          <w:p>
            <w:r>
              <w:rPr>
                <w:sz w:val="14"/>
              </w:rPr>
              <w:t>Longer response track and different fee treatment.</w:t>
            </w:r>
          </w:p>
        </w:tc>
        <w:tc>
          <w:tcPr>
            <w:tcW w:type="dxa" w:w="2642"/>
            <w:tcMar>
              <w:top w:w="55" w:type="dxa"/>
              <w:start w:w="65" w:type="dxa"/>
              <w:bottom w:w="55" w:type="dxa"/>
              <w:end w:w="65" w:type="dxa"/>
            </w:tcMar>
            <w:vAlign w:val="center"/>
            <w:shd w:fill="F8FAFC"/>
          </w:tcPr>
          <w:p>
            <w:r>
              <w:rPr>
                <w:sz w:val="14"/>
              </w:rPr>
              <w:t>21-day decision; 35-day outer period.</w:t>
            </w:r>
          </w:p>
        </w:tc>
      </w:tr>
      <w:tr>
        <w:trPr>
          <w:cantSplit/>
        </w:trPr>
        <w:tc>
          <w:tcPr>
            <w:tcW w:type="dxa" w:w="2642"/>
            <w:tcMar>
              <w:top w:w="55" w:type="dxa"/>
              <w:start w:w="65" w:type="dxa"/>
              <w:bottom w:w="55" w:type="dxa"/>
              <w:end w:w="65" w:type="dxa"/>
            </w:tcMar>
            <w:vAlign w:val="center"/>
          </w:tcPr>
          <w:p>
            <w:r>
              <w:rPr>
                <w:sz w:val="14"/>
              </w:rPr>
              <w:t>Electronic conversion exception</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Mutually agreed completion date when normal period is impossible.</w:t>
            </w:r>
          </w:p>
        </w:tc>
        <w:tc>
          <w:tcPr>
            <w:tcW w:type="dxa" w:w="2642"/>
            <w:tcMar>
              <w:top w:w="55" w:type="dxa"/>
              <w:start w:w="65" w:type="dxa"/>
              <w:bottom w:w="55" w:type="dxa"/>
              <w:end w:w="65" w:type="dxa"/>
            </w:tcMar>
            <w:vAlign w:val="center"/>
          </w:tcPr>
          <w:p>
            <w:r>
              <w:rPr>
                <w:sz w:val="14"/>
              </w:rPr>
              <w:t>Written notice and negotiated timer.</w:t>
            </w:r>
          </w:p>
        </w:tc>
      </w:tr>
      <w:tr>
        <w:trPr>
          <w:cantSplit/>
        </w:trPr>
        <w:tc>
          <w:tcPr>
            <w:tcW w:type="dxa" w:w="2642"/>
            <w:tcMar>
              <w:top w:w="55" w:type="dxa"/>
              <w:start w:w="65" w:type="dxa"/>
              <w:bottom w:w="55" w:type="dxa"/>
              <w:end w:w="65" w:type="dxa"/>
            </w:tcMar>
            <w:vAlign w:val="center"/>
            <w:shd w:fill="F8FAFC"/>
          </w:tcPr>
          <w:p>
            <w:r>
              <w:rPr>
                <w:sz w:val="14"/>
              </w:rPr>
              <w:t>Fee-triggering request</w:t>
            </w:r>
          </w:p>
        </w:tc>
        <w:tc>
          <w:tcPr>
            <w:tcW w:type="dxa" w:w="2642"/>
            <w:tcMar>
              <w:top w:w="55" w:type="dxa"/>
              <w:start w:w="65" w:type="dxa"/>
              <w:bottom w:w="55" w:type="dxa"/>
              <w:end w:w="65" w:type="dxa"/>
            </w:tcMar>
            <w:vAlign w:val="center"/>
            <w:shd w:fill="F8FAFC"/>
          </w:tcPr>
          <w:p>
            <w:r>
              <w:rPr>
                <w:sz w:val="14"/>
              </w:rPr>
              <w:t>Legal/fee</w:t>
            </w:r>
          </w:p>
        </w:tc>
        <w:tc>
          <w:tcPr>
            <w:tcW w:type="dxa" w:w="2642"/>
            <w:tcMar>
              <w:top w:w="55" w:type="dxa"/>
              <w:start w:w="65" w:type="dxa"/>
              <w:bottom w:w="55" w:type="dxa"/>
              <w:end w:w="65" w:type="dxa"/>
            </w:tcMar>
            <w:vAlign w:val="center"/>
            <w:shd w:fill="F8FAFC"/>
          </w:tcPr>
          <w:p>
            <w:r>
              <w:rPr>
                <w:sz w:val="14"/>
              </w:rPr>
              <w:t>More than 100 paper pages, more than two labor hours, or redaction of nonpublic information.</w:t>
            </w:r>
          </w:p>
        </w:tc>
        <w:tc>
          <w:tcPr>
            <w:tcW w:type="dxa" w:w="2642"/>
            <w:tcMar>
              <w:top w:w="55" w:type="dxa"/>
              <w:start w:w="65" w:type="dxa"/>
              <w:bottom w:w="55" w:type="dxa"/>
              <w:end w:w="65" w:type="dxa"/>
            </w:tcMar>
            <w:vAlign w:val="center"/>
            <w:shd w:fill="F8FAFC"/>
          </w:tcPr>
          <w:p>
            <w:r>
              <w:rPr>
                <w:sz w:val="14"/>
              </w:rPr>
              <w:t>Estimate/advance-payment branch.</w:t>
            </w:r>
          </w:p>
        </w:tc>
      </w:tr>
      <w:tr>
        <w:trPr>
          <w:cantSplit/>
        </w:trPr>
        <w:tc>
          <w:tcPr>
            <w:tcW w:type="dxa" w:w="2642"/>
            <w:tcMar>
              <w:top w:w="55" w:type="dxa"/>
              <w:start w:w="65" w:type="dxa"/>
              <w:bottom w:w="55" w:type="dxa"/>
              <w:end w:w="65" w:type="dxa"/>
            </w:tcMar>
            <w:vAlign w:val="center"/>
          </w:tcPr>
          <w:p>
            <w:r>
              <w:rPr>
                <w:sz w:val="14"/>
              </w:rPr>
              <w:t>Simple / complex</w:t>
            </w:r>
          </w:p>
        </w:tc>
        <w:tc>
          <w:tcPr>
            <w:tcW w:type="dxa" w:w="2642"/>
            <w:tcMar>
              <w:top w:w="55" w:type="dxa"/>
              <w:start w:w="65" w:type="dxa"/>
              <w:bottom w:w="55" w:type="dxa"/>
              <w:end w:w="65" w:type="dxa"/>
            </w:tcMar>
            <w:vAlign w:val="center"/>
          </w:tcPr>
          <w:p>
            <w:r>
              <w:rPr>
                <w:sz w:val="14"/>
              </w:rPr>
              <w:t>Operational</w:t>
            </w:r>
          </w:p>
        </w:tc>
        <w:tc>
          <w:tcPr>
            <w:tcW w:type="dxa" w:w="2642"/>
            <w:tcMar>
              <w:top w:w="55" w:type="dxa"/>
              <w:start w:w="65" w:type="dxa"/>
              <w:bottom w:w="55" w:type="dxa"/>
              <w:end w:w="65" w:type="dxa"/>
            </w:tcMar>
            <w:vAlign w:val="center"/>
          </w:tcPr>
          <w:p>
            <w:r>
              <w:rPr>
                <w:sz w:val="14"/>
              </w:rPr>
              <w:t>Assignment, QA, and service goals.</w:t>
            </w:r>
          </w:p>
        </w:tc>
        <w:tc>
          <w:tcPr>
            <w:tcW w:type="dxa" w:w="2642"/>
            <w:tcMar>
              <w:top w:w="55" w:type="dxa"/>
              <w:start w:w="65" w:type="dxa"/>
              <w:bottom w:w="55" w:type="dxa"/>
              <w:end w:w="65" w:type="dxa"/>
            </w:tcMar>
            <w:vAlign w:val="center"/>
          </w:tcPr>
          <w:p>
            <w:r>
              <w:rPr>
                <w:sz w:val="14"/>
              </w:rPr>
              <w:t>Does not replace residency tracks.</w:t>
            </w:r>
          </w:p>
        </w:tc>
      </w:tr>
    </w:tbl>
    <w:p>
      <w:pPr>
        <w:pStyle w:val="Heading1"/>
      </w:pPr>
      <w:r>
        <w:t>8. Large Volume, Redaction, Programming, and Electronic Records</w:t>
      </w:r>
    </w:p>
    <w:p>
      <w:pPr>
        <w:pStyle w:val="ListBullet"/>
        <w:spacing w:after="30"/>
      </w:pPr>
      <w:r>
        <w:t>Large volume may trigger fees after resident free allowances and may require the resident/nonresident extension notice, but it is not a separate “complex request” class.</w:t>
      </w:r>
    </w:p>
    <w:p>
      <w:pPr>
        <w:pStyle w:val="ListBullet"/>
        <w:spacing w:after="30"/>
      </w:pPr>
      <w:r>
        <w:t>Electronic conversion can create a mutually agreed completion track when the work cannot be done within the normal outer period.</w:t>
      </w:r>
    </w:p>
    <w:p>
      <w:pPr>
        <w:pStyle w:val="ListBullet"/>
        <w:spacing w:after="30"/>
      </w:pPr>
      <w:r>
        <w:t>Redaction labor may be charged when necessary; attorney time should use the rate permitted for necessary attorney redaction and be separated from nonbillable legal policy advice.</w:t>
      </w:r>
    </w:p>
    <w:p>
      <w:pPr>
        <w:pStyle w:val="ListBullet"/>
        <w:spacing w:after="30"/>
      </w:pPr>
      <w:r>
        <w:t>The system should record the lowest-paid qualified employee used for labor charges and maintain segregability decisions.</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Resident first 100 paper pages</w:t>
            </w:r>
          </w:p>
        </w:tc>
        <w:tc>
          <w:tcPr>
            <w:tcW w:type="dxa" w:w="2642"/>
            <w:tcMar>
              <w:top w:w="55" w:type="dxa"/>
              <w:start w:w="65" w:type="dxa"/>
              <w:bottom w:w="55" w:type="dxa"/>
              <w:end w:w="65" w:type="dxa"/>
            </w:tcMar>
            <w:vAlign w:val="center"/>
          </w:tcPr>
          <w:p>
            <w:r>
              <w:rPr>
                <w:sz w:val="14"/>
              </w:rPr>
              <w:t>No charge under general rule.</w:t>
            </w:r>
          </w:p>
        </w:tc>
        <w:tc>
          <w:tcPr>
            <w:tcW w:type="dxa" w:w="2642"/>
            <w:tcMar>
              <w:top w:w="55" w:type="dxa"/>
              <w:start w:w="65" w:type="dxa"/>
              <w:bottom w:w="55" w:type="dxa"/>
              <w:end w:w="65" w:type="dxa"/>
            </w:tcMar>
            <w:vAlign w:val="center"/>
          </w:tcPr>
          <w:p>
            <w:r>
              <w:rPr>
                <w:sz w:val="14"/>
              </w:rPr>
              <w:t>Apply before invoice.</w:t>
            </w:r>
          </w:p>
        </w:tc>
        <w:tc>
          <w:tcPr>
            <w:tcW w:type="dxa" w:w="2642"/>
            <w:tcMar>
              <w:top w:w="55" w:type="dxa"/>
              <w:start w:w="65" w:type="dxa"/>
              <w:bottom w:w="55" w:type="dxa"/>
              <w:end w:w="65" w:type="dxa"/>
            </w:tcMar>
            <w:vAlign w:val="center"/>
          </w:tcPr>
          <w:p>
            <w:r>
              <w:rPr>
                <w:sz w:val="14"/>
              </w:rPr>
              <w:t>State allowance; track consumed quantity.</w:t>
            </w:r>
          </w:p>
        </w:tc>
      </w:tr>
      <w:tr>
        <w:trPr>
          <w:cantSplit/>
        </w:trPr>
        <w:tc>
          <w:tcPr>
            <w:tcW w:type="dxa" w:w="2642"/>
            <w:tcMar>
              <w:top w:w="55" w:type="dxa"/>
              <w:start w:w="65" w:type="dxa"/>
              <w:bottom w:w="55" w:type="dxa"/>
              <w:end w:w="65" w:type="dxa"/>
            </w:tcMar>
            <w:vAlign w:val="center"/>
            <w:shd w:fill="F8FAFC"/>
          </w:tcPr>
          <w:p>
            <w:r>
              <w:rPr>
                <w:sz w:val="14"/>
              </w:rPr>
              <w:t>Resident first two labor hours</w:t>
            </w:r>
          </w:p>
        </w:tc>
        <w:tc>
          <w:tcPr>
            <w:tcW w:type="dxa" w:w="2642"/>
            <w:tcMar>
              <w:top w:w="55" w:type="dxa"/>
              <w:start w:w="65" w:type="dxa"/>
              <w:bottom w:w="55" w:type="dxa"/>
              <w:end w:w="65" w:type="dxa"/>
            </w:tcMar>
            <w:vAlign w:val="center"/>
            <w:shd w:fill="F8FAFC"/>
          </w:tcPr>
          <w:p>
            <w:r>
              <w:rPr>
                <w:sz w:val="14"/>
              </w:rPr>
              <w:t>No charge under general rule.</w:t>
            </w:r>
          </w:p>
        </w:tc>
        <w:tc>
          <w:tcPr>
            <w:tcW w:type="dxa" w:w="2642"/>
            <w:tcMar>
              <w:top w:w="55" w:type="dxa"/>
              <w:start w:w="65" w:type="dxa"/>
              <w:bottom w:w="55" w:type="dxa"/>
              <w:end w:w="65" w:type="dxa"/>
            </w:tcMar>
            <w:vAlign w:val="center"/>
            <w:shd w:fill="F8FAFC"/>
          </w:tcPr>
          <w:p>
            <w:r>
              <w:rPr>
                <w:sz w:val="14"/>
              </w:rPr>
              <w:t>Apply before labor billing.</w:t>
            </w:r>
          </w:p>
        </w:tc>
        <w:tc>
          <w:tcPr>
            <w:tcW w:type="dxa" w:w="2642"/>
            <w:tcMar>
              <w:top w:w="55" w:type="dxa"/>
              <w:start w:w="65" w:type="dxa"/>
              <w:bottom w:w="55" w:type="dxa"/>
              <w:end w:w="65" w:type="dxa"/>
            </w:tcMar>
            <w:vAlign w:val="center"/>
            <w:shd w:fill="F8FAFC"/>
          </w:tcPr>
          <w:p>
            <w:r>
              <w:rPr>
                <w:sz w:val="14"/>
              </w:rPr>
              <w:t>State allowance; activity ledger required.</w:t>
            </w:r>
          </w:p>
        </w:tc>
      </w:tr>
      <w:tr>
        <w:trPr>
          <w:cantSplit/>
        </w:trPr>
        <w:tc>
          <w:tcPr>
            <w:tcW w:type="dxa" w:w="2642"/>
            <w:tcMar>
              <w:top w:w="55" w:type="dxa"/>
              <w:start w:w="65" w:type="dxa"/>
              <w:bottom w:w="55" w:type="dxa"/>
              <w:end w:w="65" w:type="dxa"/>
            </w:tcMar>
            <w:vAlign w:val="center"/>
          </w:tcPr>
          <w:p>
            <w:r>
              <w:rPr>
                <w:sz w:val="14"/>
              </w:rPr>
              <w:t>More than 100 pages / two hours / redaction required</w:t>
            </w:r>
          </w:p>
        </w:tc>
        <w:tc>
          <w:tcPr>
            <w:tcW w:type="dxa" w:w="2642"/>
            <w:tcMar>
              <w:top w:w="55" w:type="dxa"/>
              <w:start w:w="65" w:type="dxa"/>
              <w:bottom w:w="55" w:type="dxa"/>
              <w:end w:w="65" w:type="dxa"/>
            </w:tcMar>
            <w:vAlign w:val="center"/>
          </w:tcPr>
          <w:p>
            <w:r>
              <w:rPr>
                <w:sz w:val="14"/>
              </w:rPr>
              <w:t>Actual labor and copying costs may be charged.</w:t>
            </w:r>
          </w:p>
        </w:tc>
        <w:tc>
          <w:tcPr>
            <w:tcW w:type="dxa" w:w="2642"/>
            <w:tcMar>
              <w:top w:w="55" w:type="dxa"/>
              <w:start w:w="65" w:type="dxa"/>
              <w:bottom w:w="55" w:type="dxa"/>
              <w:end w:w="65" w:type="dxa"/>
            </w:tcMar>
            <w:vAlign w:val="center"/>
          </w:tcPr>
          <w:p>
            <w:r>
              <w:rPr>
                <w:sz w:val="14"/>
              </w:rPr>
              <w:t>Estimate and advance payment may be required.</w:t>
            </w:r>
          </w:p>
        </w:tc>
        <w:tc>
          <w:tcPr>
            <w:tcW w:type="dxa" w:w="2642"/>
            <w:tcMar>
              <w:top w:w="55" w:type="dxa"/>
              <w:start w:w="65" w:type="dxa"/>
              <w:bottom w:w="55" w:type="dxa"/>
              <w:end w:w="65" w:type="dxa"/>
            </w:tcMar>
            <w:vAlign w:val="center"/>
          </w:tcPr>
          <w:p>
            <w:r>
              <w:rPr>
                <w:sz w:val="14"/>
              </w:rPr>
              <w:t>State trigger + local rate.</w:t>
            </w:r>
          </w:p>
        </w:tc>
      </w:tr>
      <w:tr>
        <w:trPr>
          <w:cantSplit/>
        </w:trPr>
        <w:tc>
          <w:tcPr>
            <w:tcW w:type="dxa" w:w="2642"/>
            <w:tcMar>
              <w:top w:w="55" w:type="dxa"/>
              <w:start w:w="65" w:type="dxa"/>
              <w:bottom w:w="55" w:type="dxa"/>
              <w:end w:w="65" w:type="dxa"/>
            </w:tcMar>
            <w:vAlign w:val="center"/>
            <w:shd w:fill="F8FAFC"/>
          </w:tcPr>
          <w:p>
            <w:r>
              <w:rPr>
                <w:sz w:val="14"/>
              </w:rPr>
              <w:t>Labor rate</w:t>
            </w:r>
          </w:p>
        </w:tc>
        <w:tc>
          <w:tcPr>
            <w:tcW w:type="dxa" w:w="2642"/>
            <w:tcMar>
              <w:top w:w="55" w:type="dxa"/>
              <w:start w:w="65" w:type="dxa"/>
              <w:bottom w:w="55" w:type="dxa"/>
              <w:end w:w="65" w:type="dxa"/>
            </w:tcMar>
            <w:vAlign w:val="center"/>
            <w:shd w:fill="F8FAFC"/>
          </w:tcPr>
          <w:p>
            <w:r>
              <w:rPr>
                <w:sz w:val="14"/>
              </w:rPr>
              <w:t>Lowest-paid employee qualified to perform work; necessary attorney redaction may use attorney rate.</w:t>
            </w:r>
          </w:p>
        </w:tc>
        <w:tc>
          <w:tcPr>
            <w:tcW w:type="dxa" w:w="2642"/>
            <w:tcMar>
              <w:top w:w="55" w:type="dxa"/>
              <w:start w:w="65" w:type="dxa"/>
              <w:bottom w:w="55" w:type="dxa"/>
              <w:end w:w="65" w:type="dxa"/>
            </w:tcMar>
            <w:vAlign w:val="center"/>
            <w:shd w:fill="F8FAFC"/>
          </w:tcPr>
          <w:p>
            <w:r>
              <w:rPr>
                <w:sz w:val="14"/>
              </w:rPr>
              <w:t>At estimate and reconciliation.</w:t>
            </w:r>
          </w:p>
        </w:tc>
        <w:tc>
          <w:tcPr>
            <w:tcW w:type="dxa" w:w="2642"/>
            <w:tcMar>
              <w:top w:w="55" w:type="dxa"/>
              <w:start w:w="65" w:type="dxa"/>
              <w:bottom w:w="55" w:type="dxa"/>
              <w:end w:w="65" w:type="dxa"/>
            </w:tcMar>
            <w:vAlign w:val="center"/>
            <w:shd w:fill="F8FAFC"/>
          </w:tcPr>
          <w:p>
            <w:r>
              <w:rPr>
                <w:sz w:val="14"/>
              </w:rPr>
              <w:t>Store role, rate basis, actual time.</w:t>
            </w:r>
          </w:p>
        </w:tc>
      </w:tr>
      <w:tr>
        <w:trPr>
          <w:cantSplit/>
        </w:trPr>
        <w:tc>
          <w:tcPr>
            <w:tcW w:type="dxa" w:w="2642"/>
            <w:tcMar>
              <w:top w:w="55" w:type="dxa"/>
              <w:start w:w="65" w:type="dxa"/>
              <w:bottom w:w="55" w:type="dxa"/>
              <w:end w:w="65" w:type="dxa"/>
            </w:tcMar>
            <w:vAlign w:val="center"/>
          </w:tcPr>
          <w:p>
            <w:r>
              <w:rPr>
                <w:sz w:val="14"/>
              </w:rPr>
              <w:t>Advance payment</w:t>
            </w:r>
          </w:p>
        </w:tc>
        <w:tc>
          <w:tcPr>
            <w:tcW w:type="dxa" w:w="2642"/>
            <w:tcMar>
              <w:top w:w="55" w:type="dxa"/>
              <w:start w:w="65" w:type="dxa"/>
              <w:bottom w:w="55" w:type="dxa"/>
              <w:end w:w="65" w:type="dxa"/>
            </w:tcMar>
            <w:vAlign w:val="center"/>
          </w:tcPr>
          <w:p>
            <w:r>
              <w:rPr>
                <w:sz w:val="14"/>
              </w:rPr>
              <w:t>Permitted.</w:t>
            </w:r>
          </w:p>
        </w:tc>
        <w:tc>
          <w:tcPr>
            <w:tcW w:type="dxa" w:w="2642"/>
            <w:tcMar>
              <w:top w:w="55" w:type="dxa"/>
              <w:start w:w="65" w:type="dxa"/>
              <w:bottom w:w="55" w:type="dxa"/>
              <w:end w:w="65" w:type="dxa"/>
            </w:tcMar>
            <w:vAlign w:val="center"/>
          </w:tcPr>
          <w:p>
            <w:r>
              <w:rPr>
                <w:sz w:val="14"/>
              </w:rPr>
              <w:t>Before processing when invoked.</w:t>
            </w:r>
          </w:p>
        </w:tc>
        <w:tc>
          <w:tcPr>
            <w:tcW w:type="dxa" w:w="2642"/>
            <w:tcMar>
              <w:top w:w="55" w:type="dxa"/>
              <w:start w:w="65" w:type="dxa"/>
              <w:bottom w:w="55" w:type="dxa"/>
              <w:end w:w="65" w:type="dxa"/>
            </w:tcMar>
            <w:vAlign w:val="center"/>
          </w:tcPr>
          <w:p>
            <w:r>
              <w:rPr>
                <w:sz w:val="14"/>
              </w:rPr>
              <w:t>Local policy and communication.</w:t>
            </w:r>
          </w:p>
        </w:tc>
      </w:tr>
      <w:tr>
        <w:trPr>
          <w:cantSplit/>
        </w:trPr>
        <w:tc>
          <w:tcPr>
            <w:tcW w:type="dxa" w:w="2642"/>
            <w:tcMar>
              <w:top w:w="55" w:type="dxa"/>
              <w:start w:w="65" w:type="dxa"/>
              <w:bottom w:w="55" w:type="dxa"/>
              <w:end w:w="65" w:type="dxa"/>
            </w:tcMar>
            <w:vAlign w:val="center"/>
            <w:shd w:fill="F8FAFC"/>
          </w:tcPr>
          <w:p>
            <w:r>
              <w:rPr>
                <w:sz w:val="14"/>
              </w:rPr>
              <w:t>Waiver</w:t>
            </w:r>
          </w:p>
        </w:tc>
        <w:tc>
          <w:tcPr>
            <w:tcW w:type="dxa" w:w="2642"/>
            <w:tcMar>
              <w:top w:w="55" w:type="dxa"/>
              <w:start w:w="65" w:type="dxa"/>
              <w:bottom w:w="55" w:type="dxa"/>
              <w:end w:w="65" w:type="dxa"/>
            </w:tcMar>
            <w:vAlign w:val="center"/>
            <w:shd w:fill="F8FAFC"/>
          </w:tcPr>
          <w:p>
            <w:r>
              <w:rPr>
                <w:sz w:val="14"/>
              </w:rPr>
              <w:t>Available to qualifying Idaho residents under statutory criteria.</w:t>
            </w:r>
          </w:p>
        </w:tc>
        <w:tc>
          <w:tcPr>
            <w:tcW w:type="dxa" w:w="2642"/>
            <w:tcMar>
              <w:top w:w="55" w:type="dxa"/>
              <w:start w:w="65" w:type="dxa"/>
              <w:bottom w:w="55" w:type="dxa"/>
              <w:end w:w="65" w:type="dxa"/>
            </w:tcMar>
            <w:vAlign w:val="center"/>
            <w:shd w:fill="F8FAFC"/>
          </w:tcPr>
          <w:p>
            <w:r>
              <w:rPr>
                <w:sz w:val="14"/>
              </w:rPr>
              <w:t>Decide before collection.</w:t>
            </w:r>
          </w:p>
        </w:tc>
        <w:tc>
          <w:tcPr>
            <w:tcW w:type="dxa" w:w="2642"/>
            <w:tcMar>
              <w:top w:w="55" w:type="dxa"/>
              <w:start w:w="65" w:type="dxa"/>
              <w:bottom w:w="55" w:type="dxa"/>
              <w:end w:w="65" w:type="dxa"/>
            </w:tcMar>
            <w:vAlign w:val="center"/>
            <w:shd w:fill="F8FAFC"/>
          </w:tcPr>
          <w:p>
            <w:r>
              <w:rPr>
                <w:sz w:val="14"/>
              </w:rPr>
              <w:t>Human review and documented basis.</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ID-INT-01</w:t>
            </w:r>
          </w:p>
        </w:tc>
        <w:tc>
          <w:tcPr>
            <w:tcW w:type="dxa" w:w="2114"/>
            <w:tcMar>
              <w:top w:w="55" w:type="dxa"/>
              <w:start w:w="65" w:type="dxa"/>
              <w:bottom w:w="55" w:type="dxa"/>
              <w:end w:w="65" w:type="dxa"/>
            </w:tcMar>
            <w:vAlign w:val="center"/>
          </w:tcPr>
          <w:p>
            <w:r>
              <w:rPr>
                <w:sz w:val="13"/>
              </w:rPr>
              <w:t>Request arrives.</w:t>
            </w:r>
          </w:p>
        </w:tc>
        <w:tc>
          <w:tcPr>
            <w:tcW w:type="dxa" w:w="2114"/>
            <w:tcMar>
              <w:top w:w="55" w:type="dxa"/>
              <w:start w:w="65" w:type="dxa"/>
              <w:bottom w:w="55" w:type="dxa"/>
              <w:end w:w="65" w:type="dxa"/>
            </w:tcMar>
            <w:vAlign w:val="center"/>
          </w:tcPr>
          <w:p>
            <w:r>
              <w:rPr>
                <w:sz w:val="13"/>
              </w:rPr>
              <w:t>Validate designated custodian, clear public-records indication, writing requirements, subject matter, records, and date range.</w:t>
            </w:r>
          </w:p>
        </w:tc>
        <w:tc>
          <w:tcPr>
            <w:tcW w:type="dxa" w:w="2114"/>
            <w:tcMar>
              <w:top w:w="55" w:type="dxa"/>
              <w:start w:w="65" w:type="dxa"/>
              <w:bottom w:w="55" w:type="dxa"/>
              <w:end w:w="65" w:type="dxa"/>
            </w:tcMar>
            <w:vAlign w:val="center"/>
          </w:tcPr>
          <w:p>
            <w:r>
              <w:rPr>
                <w:sz w:val="13"/>
              </w:rPr>
              <w:t>Before timer selection.</w:t>
            </w:r>
          </w:p>
        </w:tc>
        <w:tc>
          <w:tcPr>
            <w:tcW w:type="dxa" w:w="2114"/>
            <w:tcMar>
              <w:top w:w="55" w:type="dxa"/>
              <w:start w:w="65" w:type="dxa"/>
              <w:bottom w:w="55" w:type="dxa"/>
              <w:end w:w="65" w:type="dxa"/>
            </w:tcMar>
            <w:vAlign w:val="center"/>
          </w:tcPr>
          <w:p>
            <w:r>
              <w:rPr>
                <w:sz w:val="13"/>
              </w:rPr>
              <w:t>State law + local custodian configuration.</w:t>
            </w:r>
          </w:p>
        </w:tc>
      </w:tr>
      <w:tr>
        <w:trPr>
          <w:cantSplit/>
        </w:trPr>
        <w:tc>
          <w:tcPr>
            <w:tcW w:type="dxa" w:w="2114"/>
            <w:tcMar>
              <w:top w:w="55" w:type="dxa"/>
              <w:start w:w="65" w:type="dxa"/>
              <w:bottom w:w="55" w:type="dxa"/>
              <w:end w:w="65" w:type="dxa"/>
            </w:tcMar>
            <w:vAlign w:val="center"/>
            <w:shd w:fill="F8FAFC"/>
          </w:tcPr>
          <w:p>
            <w:r>
              <w:rPr>
                <w:sz w:val="13"/>
              </w:rPr>
              <w:t>ID-RES-01</w:t>
            </w:r>
          </w:p>
        </w:tc>
        <w:tc>
          <w:tcPr>
            <w:tcW w:type="dxa" w:w="2114"/>
            <w:tcMar>
              <w:top w:w="55" w:type="dxa"/>
              <w:start w:w="65" w:type="dxa"/>
              <w:bottom w:w="55" w:type="dxa"/>
              <w:end w:w="65" w:type="dxa"/>
            </w:tcMar>
            <w:vAlign w:val="center"/>
            <w:shd w:fill="F8FAFC"/>
          </w:tcPr>
          <w:p>
            <w:r>
              <w:rPr>
                <w:sz w:val="13"/>
              </w:rPr>
              <w:t>Requester is Idaho resident.</w:t>
            </w:r>
          </w:p>
        </w:tc>
        <w:tc>
          <w:tcPr>
            <w:tcW w:type="dxa" w:w="2114"/>
            <w:tcMar>
              <w:top w:w="55" w:type="dxa"/>
              <w:start w:w="65" w:type="dxa"/>
              <w:bottom w:w="55" w:type="dxa"/>
              <w:end w:w="65" w:type="dxa"/>
            </w:tcMar>
            <w:vAlign w:val="center"/>
            <w:shd w:fill="F8FAFC"/>
          </w:tcPr>
          <w:p>
            <w:r>
              <w:rPr>
                <w:sz w:val="13"/>
              </w:rPr>
              <w:t>Open resident response track and resident fee allowances.</w:t>
            </w:r>
          </w:p>
        </w:tc>
        <w:tc>
          <w:tcPr>
            <w:tcW w:type="dxa" w:w="2114"/>
            <w:tcMar>
              <w:top w:w="55" w:type="dxa"/>
              <w:start w:w="65" w:type="dxa"/>
              <w:bottom w:w="55" w:type="dxa"/>
              <w:end w:w="65" w:type="dxa"/>
            </w:tcMar>
            <w:vAlign w:val="center"/>
            <w:shd w:fill="F8FAFC"/>
          </w:tcPr>
          <w:p>
            <w:r>
              <w:rPr>
                <w:sz w:val="13"/>
              </w:rPr>
              <w:t>3 working days; outer 10 working days if noticed.</w:t>
            </w:r>
          </w:p>
        </w:tc>
        <w:tc>
          <w:tcPr>
            <w:tcW w:type="dxa" w:w="2114"/>
            <w:tcMar>
              <w:top w:w="55" w:type="dxa"/>
              <w:start w:w="65" w:type="dxa"/>
              <w:bottom w:w="55" w:type="dxa"/>
              <w:end w:w="65" w:type="dxa"/>
            </w:tcMar>
            <w:vAlign w:val="center"/>
            <w:shd w:fill="F8FAFC"/>
          </w:tcPr>
          <w:p>
            <w:r>
              <w:rPr>
                <w:sz w:val="13"/>
              </w:rPr>
              <w:t>Mandatory; §§ 74-102, 74-103.</w:t>
            </w:r>
          </w:p>
        </w:tc>
      </w:tr>
      <w:tr>
        <w:trPr>
          <w:cantSplit/>
        </w:trPr>
        <w:tc>
          <w:tcPr>
            <w:tcW w:type="dxa" w:w="2114"/>
            <w:tcMar>
              <w:top w:w="55" w:type="dxa"/>
              <w:start w:w="65" w:type="dxa"/>
              <w:bottom w:w="55" w:type="dxa"/>
              <w:end w:w="65" w:type="dxa"/>
            </w:tcMar>
            <w:vAlign w:val="center"/>
          </w:tcPr>
          <w:p>
            <w:r>
              <w:rPr>
                <w:sz w:val="13"/>
              </w:rPr>
              <w:t>ID-NR-01</w:t>
            </w:r>
          </w:p>
        </w:tc>
        <w:tc>
          <w:tcPr>
            <w:tcW w:type="dxa" w:w="2114"/>
            <w:tcMar>
              <w:top w:w="55" w:type="dxa"/>
              <w:start w:w="65" w:type="dxa"/>
              <w:bottom w:w="55" w:type="dxa"/>
              <w:end w:w="65" w:type="dxa"/>
            </w:tcMar>
            <w:vAlign w:val="center"/>
          </w:tcPr>
          <w:p>
            <w:r>
              <w:rPr>
                <w:sz w:val="13"/>
              </w:rPr>
              <w:t>Requester is qualifying nonresident.</w:t>
            </w:r>
          </w:p>
        </w:tc>
        <w:tc>
          <w:tcPr>
            <w:tcW w:type="dxa" w:w="2114"/>
            <w:tcMar>
              <w:top w:w="55" w:type="dxa"/>
              <w:start w:w="65" w:type="dxa"/>
              <w:bottom w:w="55" w:type="dxa"/>
              <w:end w:w="65" w:type="dxa"/>
            </w:tcMar>
            <w:vAlign w:val="center"/>
          </w:tcPr>
          <w:p>
            <w:r>
              <w:rPr>
                <w:sz w:val="13"/>
              </w:rPr>
              <w:t>Open nonresident response track.</w:t>
            </w:r>
          </w:p>
        </w:tc>
        <w:tc>
          <w:tcPr>
            <w:tcW w:type="dxa" w:w="2114"/>
            <w:tcMar>
              <w:top w:w="55" w:type="dxa"/>
              <w:start w:w="65" w:type="dxa"/>
              <w:bottom w:w="55" w:type="dxa"/>
              <w:end w:w="65" w:type="dxa"/>
            </w:tcMar>
            <w:vAlign w:val="center"/>
          </w:tcPr>
          <w:p>
            <w:r>
              <w:rPr>
                <w:sz w:val="13"/>
              </w:rPr>
              <w:t>21 days; outer 35 days if noticed.</w:t>
            </w:r>
          </w:p>
        </w:tc>
        <w:tc>
          <w:tcPr>
            <w:tcW w:type="dxa" w:w="2114"/>
            <w:tcMar>
              <w:top w:w="55" w:type="dxa"/>
              <w:start w:w="65" w:type="dxa"/>
              <w:bottom w:w="55" w:type="dxa"/>
              <w:end w:w="65" w:type="dxa"/>
            </w:tcMar>
            <w:vAlign w:val="center"/>
          </w:tcPr>
          <w:p>
            <w:r>
              <w:rPr>
                <w:sz w:val="13"/>
              </w:rPr>
              <w:t>Mandatory; § 74-103.</w:t>
            </w:r>
          </w:p>
        </w:tc>
      </w:tr>
      <w:tr>
        <w:trPr>
          <w:cantSplit/>
        </w:trPr>
        <w:tc>
          <w:tcPr>
            <w:tcW w:type="dxa" w:w="2114"/>
            <w:tcMar>
              <w:top w:w="55" w:type="dxa"/>
              <w:start w:w="65" w:type="dxa"/>
              <w:bottom w:w="55" w:type="dxa"/>
              <w:end w:w="65" w:type="dxa"/>
            </w:tcMar>
            <w:vAlign w:val="center"/>
            <w:shd w:fill="F8FAFC"/>
          </w:tcPr>
          <w:p>
            <w:r>
              <w:rPr>
                <w:sz w:val="13"/>
              </w:rPr>
              <w:t>ID-EXT-01</w:t>
            </w:r>
          </w:p>
        </w:tc>
        <w:tc>
          <w:tcPr>
            <w:tcW w:type="dxa" w:w="2114"/>
            <w:tcMar>
              <w:top w:w="55" w:type="dxa"/>
              <w:start w:w="65" w:type="dxa"/>
              <w:bottom w:w="55" w:type="dxa"/>
              <w:end w:w="65" w:type="dxa"/>
            </w:tcMar>
            <w:vAlign w:val="center"/>
            <w:shd w:fill="F8FAFC"/>
          </w:tcPr>
          <w:p>
            <w:r>
              <w:rPr>
                <w:sz w:val="13"/>
              </w:rPr>
              <w:t>Records cannot be located/retrieved within initial period.</w:t>
            </w:r>
          </w:p>
        </w:tc>
        <w:tc>
          <w:tcPr>
            <w:tcW w:type="dxa" w:w="2114"/>
            <w:tcMar>
              <w:top w:w="55" w:type="dxa"/>
              <w:start w:w="65" w:type="dxa"/>
              <w:bottom w:w="55" w:type="dxa"/>
              <w:end w:w="65" w:type="dxa"/>
            </w:tcMar>
            <w:vAlign w:val="center"/>
            <w:shd w:fill="F8FAFC"/>
          </w:tcPr>
          <w:p>
            <w:r>
              <w:rPr>
                <w:sz w:val="13"/>
              </w:rPr>
              <w:t>Send written extension notice and continue to outer date.</w:t>
            </w:r>
          </w:p>
        </w:tc>
        <w:tc>
          <w:tcPr>
            <w:tcW w:type="dxa" w:w="2114"/>
            <w:tcMar>
              <w:top w:w="55" w:type="dxa"/>
              <w:start w:w="65" w:type="dxa"/>
              <w:bottom w:w="55" w:type="dxa"/>
              <w:end w:w="65" w:type="dxa"/>
            </w:tcMar>
            <w:vAlign w:val="center"/>
            <w:shd w:fill="F8FAFC"/>
          </w:tcPr>
          <w:p>
            <w:r>
              <w:rPr>
                <w:sz w:val="13"/>
              </w:rPr>
              <w:t>Before initial period expires.</w:t>
            </w:r>
          </w:p>
        </w:tc>
        <w:tc>
          <w:tcPr>
            <w:tcW w:type="dxa" w:w="2114"/>
            <w:tcMar>
              <w:top w:w="55" w:type="dxa"/>
              <w:start w:w="65" w:type="dxa"/>
              <w:bottom w:w="55" w:type="dxa"/>
              <w:end w:w="65" w:type="dxa"/>
            </w:tcMar>
            <w:vAlign w:val="center"/>
            <w:shd w:fill="F8FAFC"/>
          </w:tcPr>
          <w:p>
            <w:r>
              <w:rPr>
                <w:sz w:val="13"/>
              </w:rPr>
              <w:t>Mandatory communication.</w:t>
            </w:r>
          </w:p>
        </w:tc>
      </w:tr>
      <w:tr>
        <w:trPr>
          <w:cantSplit/>
        </w:trPr>
        <w:tc>
          <w:tcPr>
            <w:tcW w:type="dxa" w:w="2114"/>
            <w:tcMar>
              <w:top w:w="55" w:type="dxa"/>
              <w:start w:w="65" w:type="dxa"/>
              <w:bottom w:w="55" w:type="dxa"/>
              <w:end w:w="65" w:type="dxa"/>
            </w:tcMar>
            <w:vAlign w:val="center"/>
          </w:tcPr>
          <w:p>
            <w:r>
              <w:rPr>
                <w:sz w:val="13"/>
              </w:rPr>
              <w:t>ID-CONV-01</w:t>
            </w:r>
          </w:p>
        </w:tc>
        <w:tc>
          <w:tcPr>
            <w:tcW w:type="dxa" w:w="2114"/>
            <w:tcMar>
              <w:top w:w="55" w:type="dxa"/>
              <w:start w:w="65" w:type="dxa"/>
              <w:bottom w:w="55" w:type="dxa"/>
              <w:end w:w="65" w:type="dxa"/>
            </w:tcMar>
            <w:vAlign w:val="center"/>
          </w:tcPr>
          <w:p>
            <w:r>
              <w:rPr>
                <w:sz w:val="13"/>
              </w:rPr>
              <w:t>Electronic conversion impossible within outer period.</w:t>
            </w:r>
          </w:p>
        </w:tc>
        <w:tc>
          <w:tcPr>
            <w:tcW w:type="dxa" w:w="2114"/>
            <w:tcMar>
              <w:top w:w="55" w:type="dxa"/>
              <w:start w:w="65" w:type="dxa"/>
              <w:bottom w:w="55" w:type="dxa"/>
              <w:end w:w="65" w:type="dxa"/>
            </w:tcMar>
            <w:vAlign w:val="center"/>
          </w:tcPr>
          <w:p>
            <w:r>
              <w:rPr>
                <w:sz w:val="13"/>
              </w:rPr>
              <w:t>Send written notice and establish mutually agreed date.</w:t>
            </w:r>
          </w:p>
        </w:tc>
        <w:tc>
          <w:tcPr>
            <w:tcW w:type="dxa" w:w="2114"/>
            <w:tcMar>
              <w:top w:w="55" w:type="dxa"/>
              <w:start w:w="65" w:type="dxa"/>
              <w:bottom w:w="55" w:type="dxa"/>
              <w:end w:w="65" w:type="dxa"/>
            </w:tcMar>
            <w:vAlign w:val="center"/>
          </w:tcPr>
          <w:p>
            <w:r>
              <w:rPr>
                <w:sz w:val="13"/>
              </w:rPr>
              <w:t>Agreed-time track.</w:t>
            </w:r>
          </w:p>
        </w:tc>
        <w:tc>
          <w:tcPr>
            <w:tcW w:type="dxa" w:w="2114"/>
            <w:tcMar>
              <w:top w:w="55" w:type="dxa"/>
              <w:start w:w="65" w:type="dxa"/>
              <w:bottom w:w="55" w:type="dxa"/>
              <w:end w:w="65" w:type="dxa"/>
            </w:tcMar>
            <w:vAlign w:val="center"/>
          </w:tcPr>
          <w:p>
            <w:r>
              <w:rPr>
                <w:sz w:val="13"/>
              </w:rPr>
              <w:t>State exception.</w:t>
            </w:r>
          </w:p>
        </w:tc>
      </w:tr>
      <w:tr>
        <w:trPr>
          <w:cantSplit/>
        </w:trPr>
        <w:tc>
          <w:tcPr>
            <w:tcW w:type="dxa" w:w="2114"/>
            <w:tcMar>
              <w:top w:w="55" w:type="dxa"/>
              <w:start w:w="65" w:type="dxa"/>
              <w:bottom w:w="55" w:type="dxa"/>
              <w:end w:w="65" w:type="dxa"/>
            </w:tcMar>
            <w:vAlign w:val="center"/>
            <w:shd w:fill="F8FAFC"/>
          </w:tcPr>
          <w:p>
            <w:r>
              <w:rPr>
                <w:sz w:val="13"/>
              </w:rPr>
              <w:t>ID-DEN-01</w:t>
            </w:r>
          </w:p>
        </w:tc>
        <w:tc>
          <w:tcPr>
            <w:tcW w:type="dxa" w:w="2114"/>
            <w:tcMar>
              <w:top w:w="55" w:type="dxa"/>
              <w:start w:w="65" w:type="dxa"/>
              <w:bottom w:w="55" w:type="dxa"/>
              <w:end w:w="65" w:type="dxa"/>
            </w:tcMar>
            <w:vAlign w:val="center"/>
            <w:shd w:fill="F8FAFC"/>
          </w:tcPr>
          <w:p>
            <w:r>
              <w:rPr>
                <w:sz w:val="13"/>
              </w:rPr>
              <w:t>Full/partial denial.</w:t>
            </w:r>
          </w:p>
        </w:tc>
        <w:tc>
          <w:tcPr>
            <w:tcW w:type="dxa" w:w="2114"/>
            <w:tcMar>
              <w:top w:w="55" w:type="dxa"/>
              <w:start w:w="65" w:type="dxa"/>
              <w:bottom w:w="55" w:type="dxa"/>
              <w:end w:w="65" w:type="dxa"/>
            </w:tcMar>
            <w:vAlign w:val="center"/>
            <w:shd w:fill="F8FAFC"/>
          </w:tcPr>
          <w:p>
            <w:r>
              <w:rPr>
                <w:sz w:val="13"/>
              </w:rPr>
              <w:t>Written authority, attorney-review statement, and appeal information.</w:t>
            </w:r>
          </w:p>
        </w:tc>
        <w:tc>
          <w:tcPr>
            <w:tcW w:type="dxa" w:w="2114"/>
            <w:tcMar>
              <w:top w:w="55" w:type="dxa"/>
              <w:start w:w="65" w:type="dxa"/>
              <w:bottom w:w="55" w:type="dxa"/>
              <w:end w:w="65" w:type="dxa"/>
            </w:tcMar>
            <w:vAlign w:val="center"/>
            <w:shd w:fill="F8FAFC"/>
          </w:tcPr>
          <w:p>
            <w:r>
              <w:rPr>
                <w:sz w:val="13"/>
              </w:rPr>
              <w:t>With denial; failure to timely respond is deemed denial.</w:t>
            </w:r>
          </w:p>
        </w:tc>
        <w:tc>
          <w:tcPr>
            <w:tcW w:type="dxa" w:w="2114"/>
            <w:tcMar>
              <w:top w:w="55" w:type="dxa"/>
              <w:start w:w="65" w:type="dxa"/>
              <w:bottom w:w="55" w:type="dxa"/>
              <w:end w:w="65" w:type="dxa"/>
            </w:tcMar>
            <w:vAlign w:val="center"/>
            <w:shd w:fill="F8FAFC"/>
          </w:tcPr>
          <w:p>
            <w:r>
              <w:rPr>
                <w:sz w:val="13"/>
              </w:rPr>
              <w:t>Mandatory.</w:t>
            </w:r>
          </w:p>
        </w:tc>
      </w:tr>
      <w:tr>
        <w:trPr>
          <w:cantSplit/>
        </w:trPr>
        <w:tc>
          <w:tcPr>
            <w:tcW w:type="dxa" w:w="2114"/>
            <w:tcMar>
              <w:top w:w="55" w:type="dxa"/>
              <w:start w:w="65" w:type="dxa"/>
              <w:bottom w:w="55" w:type="dxa"/>
              <w:end w:w="65" w:type="dxa"/>
            </w:tcMar>
            <w:vAlign w:val="center"/>
          </w:tcPr>
          <w:p>
            <w:r>
              <w:rPr>
                <w:sz w:val="13"/>
              </w:rPr>
              <w:t>ID-FEE-01</w:t>
            </w:r>
          </w:p>
        </w:tc>
        <w:tc>
          <w:tcPr>
            <w:tcW w:type="dxa" w:w="2114"/>
            <w:tcMar>
              <w:top w:w="55" w:type="dxa"/>
              <w:start w:w="65" w:type="dxa"/>
              <w:bottom w:w="55" w:type="dxa"/>
              <w:end w:w="65" w:type="dxa"/>
            </w:tcMar>
            <w:vAlign w:val="center"/>
          </w:tcPr>
          <w:p>
            <w:r>
              <w:rPr>
                <w:sz w:val="13"/>
              </w:rPr>
              <w:t>Resident allowance exceeded or redaction required.</w:t>
            </w:r>
          </w:p>
        </w:tc>
        <w:tc>
          <w:tcPr>
            <w:tcW w:type="dxa" w:w="2114"/>
            <w:tcMar>
              <w:top w:w="55" w:type="dxa"/>
              <w:start w:w="65" w:type="dxa"/>
              <w:bottom w:w="55" w:type="dxa"/>
              <w:end w:w="65" w:type="dxa"/>
            </w:tcMar>
            <w:vAlign w:val="center"/>
          </w:tcPr>
          <w:p>
            <w:r>
              <w:rPr>
                <w:sz w:val="13"/>
              </w:rPr>
              <w:t>Calculate actual cost using qualified staff and apply advance-payment policy.</w:t>
            </w:r>
          </w:p>
        </w:tc>
        <w:tc>
          <w:tcPr>
            <w:tcW w:type="dxa" w:w="2114"/>
            <w:tcMar>
              <w:top w:w="55" w:type="dxa"/>
              <w:start w:w="65" w:type="dxa"/>
              <w:bottom w:w="55" w:type="dxa"/>
              <w:end w:w="65" w:type="dxa"/>
            </w:tcMar>
            <w:vAlign w:val="center"/>
          </w:tcPr>
          <w:p>
            <w:r>
              <w:rPr>
                <w:sz w:val="13"/>
              </w:rPr>
              <w:t>Before affected work if prepayment invoked.</w:t>
            </w:r>
          </w:p>
        </w:tc>
        <w:tc>
          <w:tcPr>
            <w:tcW w:type="dxa" w:w="2114"/>
            <w:tcMar>
              <w:top w:w="55" w:type="dxa"/>
              <w:start w:w="65" w:type="dxa"/>
              <w:bottom w:w="55" w:type="dxa"/>
              <w:end w:w="65" w:type="dxa"/>
            </w:tcMar>
            <w:vAlign w:val="center"/>
          </w:tcPr>
          <w:p>
            <w:r>
              <w:rPr>
                <w:sz w:val="13"/>
              </w:rPr>
              <w:t>State trigger + local rate.</w:t>
            </w:r>
          </w:p>
        </w:tc>
      </w:tr>
      <w:tr>
        <w:trPr>
          <w:cantSplit/>
        </w:trPr>
        <w:tc>
          <w:tcPr>
            <w:tcW w:type="dxa" w:w="2114"/>
            <w:tcMar>
              <w:top w:w="55" w:type="dxa"/>
              <w:start w:w="65" w:type="dxa"/>
              <w:bottom w:w="55" w:type="dxa"/>
              <w:end w:w="65" w:type="dxa"/>
            </w:tcMar>
            <w:vAlign w:val="center"/>
            <w:shd w:fill="F8FAFC"/>
          </w:tcPr>
          <w:p>
            <w:r>
              <w:rPr>
                <w:sz w:val="13"/>
              </w:rPr>
              <w:t>ID-SEG-01</w:t>
            </w:r>
          </w:p>
        </w:tc>
        <w:tc>
          <w:tcPr>
            <w:tcW w:type="dxa" w:w="2114"/>
            <w:tcMar>
              <w:top w:w="55" w:type="dxa"/>
              <w:start w:w="65" w:type="dxa"/>
              <w:bottom w:w="55" w:type="dxa"/>
              <w:end w:w="65" w:type="dxa"/>
            </w:tcMar>
            <w:vAlign w:val="center"/>
            <w:shd w:fill="F8FAFC"/>
          </w:tcPr>
          <w:p>
            <w:r>
              <w:rPr>
                <w:sz w:val="13"/>
              </w:rPr>
              <w:t>Record contains exempt and nonexempt material.</w:t>
            </w:r>
          </w:p>
        </w:tc>
        <w:tc>
          <w:tcPr>
            <w:tcW w:type="dxa" w:w="2114"/>
            <w:tcMar>
              <w:top w:w="55" w:type="dxa"/>
              <w:start w:w="65" w:type="dxa"/>
              <w:bottom w:w="55" w:type="dxa"/>
              <w:end w:w="65" w:type="dxa"/>
            </w:tcMar>
            <w:vAlign w:val="center"/>
            <w:shd w:fill="F8FAFC"/>
          </w:tcPr>
          <w:p>
            <w:r>
              <w:rPr>
                <w:sz w:val="13"/>
              </w:rPr>
              <w:t>Separate and release nonexempt portion.</w:t>
            </w:r>
          </w:p>
        </w:tc>
        <w:tc>
          <w:tcPr>
            <w:tcW w:type="dxa" w:w="2114"/>
            <w:tcMar>
              <w:top w:w="55" w:type="dxa"/>
              <w:start w:w="65" w:type="dxa"/>
              <w:bottom w:w="55" w:type="dxa"/>
              <w:end w:w="65" w:type="dxa"/>
            </w:tcMar>
            <w:vAlign w:val="center"/>
            <w:shd w:fill="F8FAFC"/>
          </w:tcPr>
          <w:p>
            <w:r>
              <w:rPr>
                <w:sz w:val="13"/>
              </w:rPr>
              <w:t>Within applicable track.</w:t>
            </w:r>
          </w:p>
        </w:tc>
        <w:tc>
          <w:tcPr>
            <w:tcW w:type="dxa" w:w="2114"/>
            <w:tcMar>
              <w:top w:w="55" w:type="dxa"/>
              <w:start w:w="65" w:type="dxa"/>
              <w:bottom w:w="55" w:type="dxa"/>
              <w:end w:w="65" w:type="dxa"/>
            </w:tcMar>
            <w:vAlign w:val="center"/>
            <w:shd w:fill="F8FAFC"/>
          </w:tcPr>
          <w:p>
            <w:r>
              <w:rPr>
                <w:sz w:val="13"/>
              </w:rPr>
              <w:t>§ 74-112.</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Designated custodian and channels</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Names, addresses, portal/email, after-hours receipt.</w:t>
            </w:r>
          </w:p>
        </w:tc>
        <w:tc>
          <w:tcPr>
            <w:tcW w:type="dxa" w:w="2642"/>
            <w:tcMar>
              <w:top w:w="55" w:type="dxa"/>
              <w:start w:w="65" w:type="dxa"/>
              <w:bottom w:w="55" w:type="dxa"/>
              <w:end w:w="65" w:type="dxa"/>
            </w:tcMar>
            <w:vAlign w:val="center"/>
          </w:tcPr>
          <w:p>
            <w:r>
              <w:rPr>
                <w:sz w:val="14"/>
              </w:rPr>
              <w:t>Controls effective receipt.</w:t>
            </w:r>
          </w:p>
        </w:tc>
      </w:tr>
      <w:tr>
        <w:trPr>
          <w:cantSplit/>
        </w:trPr>
        <w:tc>
          <w:tcPr>
            <w:tcW w:type="dxa" w:w="2642"/>
            <w:tcMar>
              <w:top w:w="55" w:type="dxa"/>
              <w:start w:w="65" w:type="dxa"/>
              <w:bottom w:w="55" w:type="dxa"/>
              <w:end w:w="65" w:type="dxa"/>
            </w:tcMar>
            <w:vAlign w:val="center"/>
            <w:shd w:fill="F8FAFC"/>
          </w:tcPr>
          <w:p>
            <w:r>
              <w:rPr>
                <w:sz w:val="14"/>
              </w:rPr>
              <w:t>Residency validation</w:t>
            </w:r>
          </w:p>
        </w:tc>
        <w:tc>
          <w:tcPr>
            <w:tcW w:type="dxa" w:w="2642"/>
            <w:tcMar>
              <w:top w:w="55" w:type="dxa"/>
              <w:start w:w="65" w:type="dxa"/>
              <w:bottom w:w="55" w:type="dxa"/>
              <w:end w:w="65" w:type="dxa"/>
            </w:tcMar>
            <w:vAlign w:val="center"/>
            <w:shd w:fill="F8FAFC"/>
          </w:tcPr>
          <w:p>
            <w:r>
              <w:rPr>
                <w:sz w:val="14"/>
              </w:rPr>
              <w:t>State definition + local procedure</w:t>
            </w:r>
          </w:p>
        </w:tc>
        <w:tc>
          <w:tcPr>
            <w:tcW w:type="dxa" w:w="2642"/>
            <w:tcMar>
              <w:top w:w="55" w:type="dxa"/>
              <w:start w:w="65" w:type="dxa"/>
              <w:bottom w:w="55" w:type="dxa"/>
              <w:end w:w="65" w:type="dxa"/>
            </w:tcMar>
            <w:vAlign w:val="center"/>
            <w:shd w:fill="F8FAFC"/>
          </w:tcPr>
          <w:p>
            <w:r>
              <w:rPr>
                <w:sz w:val="14"/>
              </w:rPr>
              <w:t>Accepted proof and nonresident-employment exception.</w:t>
            </w:r>
          </w:p>
        </w:tc>
        <w:tc>
          <w:tcPr>
            <w:tcW w:type="dxa" w:w="2642"/>
            <w:tcMar>
              <w:top w:w="55" w:type="dxa"/>
              <w:start w:w="65" w:type="dxa"/>
              <w:bottom w:w="55" w:type="dxa"/>
              <w:end w:w="65" w:type="dxa"/>
            </w:tcMar>
            <w:vAlign w:val="center"/>
            <w:shd w:fill="F8FAFC"/>
          </w:tcPr>
          <w:p>
            <w:r>
              <w:rPr>
                <w:sz w:val="14"/>
              </w:rPr>
              <w:t>Selects timers and fee allowances.</w:t>
            </w:r>
          </w:p>
        </w:tc>
      </w:tr>
      <w:tr>
        <w:trPr>
          <w:cantSplit/>
        </w:trPr>
        <w:tc>
          <w:tcPr>
            <w:tcW w:type="dxa" w:w="2642"/>
            <w:tcMar>
              <w:top w:w="55" w:type="dxa"/>
              <w:start w:w="65" w:type="dxa"/>
              <w:bottom w:w="55" w:type="dxa"/>
              <w:end w:w="65" w:type="dxa"/>
            </w:tcMar>
            <w:vAlign w:val="center"/>
          </w:tcPr>
          <w:p>
            <w:r>
              <w:rPr>
                <w:sz w:val="14"/>
              </w:rPr>
              <w:t>Working-day calendar</w:t>
            </w:r>
          </w:p>
        </w:tc>
        <w:tc>
          <w:tcPr>
            <w:tcW w:type="dxa" w:w="2642"/>
            <w:tcMar>
              <w:top w:w="55" w:type="dxa"/>
              <w:start w:w="65" w:type="dxa"/>
              <w:bottom w:w="55" w:type="dxa"/>
              <w:end w:w="65" w:type="dxa"/>
            </w:tcMar>
            <w:vAlign w:val="center"/>
          </w:tcPr>
          <w:p>
            <w:r>
              <w:rPr>
                <w:sz w:val="14"/>
              </w:rPr>
              <w:t>State law + local calendar</w:t>
            </w:r>
          </w:p>
        </w:tc>
        <w:tc>
          <w:tcPr>
            <w:tcW w:type="dxa" w:w="2642"/>
            <w:tcMar>
              <w:top w:w="55" w:type="dxa"/>
              <w:start w:w="65" w:type="dxa"/>
              <w:bottom w:w="55" w:type="dxa"/>
              <w:end w:w="65" w:type="dxa"/>
            </w:tcMar>
            <w:vAlign w:val="center"/>
          </w:tcPr>
          <w:p>
            <w:r>
              <w:rPr>
                <w:sz w:val="14"/>
              </w:rPr>
              <w:t>Weekends/holidays/office closures.</w:t>
            </w:r>
          </w:p>
        </w:tc>
        <w:tc>
          <w:tcPr>
            <w:tcW w:type="dxa" w:w="2642"/>
            <w:tcMar>
              <w:top w:w="55" w:type="dxa"/>
              <w:start w:w="65" w:type="dxa"/>
              <w:bottom w:w="55" w:type="dxa"/>
              <w:end w:w="65" w:type="dxa"/>
            </w:tcMar>
            <w:vAlign w:val="center"/>
          </w:tcPr>
          <w:p>
            <w:r>
              <w:rPr>
                <w:sz w:val="14"/>
              </w:rPr>
              <w:t>Used by resident timer.</w:t>
            </w:r>
          </w:p>
        </w:tc>
      </w:tr>
      <w:tr>
        <w:trPr>
          <w:cantSplit/>
        </w:trPr>
        <w:tc>
          <w:tcPr>
            <w:tcW w:type="dxa" w:w="2642"/>
            <w:tcMar>
              <w:top w:w="55" w:type="dxa"/>
              <w:start w:w="65" w:type="dxa"/>
              <w:bottom w:w="55" w:type="dxa"/>
              <w:end w:w="65" w:type="dxa"/>
            </w:tcMar>
            <w:vAlign w:val="center"/>
            <w:shd w:fill="F8FAFC"/>
          </w:tcPr>
          <w:p>
            <w:r>
              <w:rPr>
                <w:sz w:val="14"/>
              </w:rPr>
              <w:t>Resident free-allowance accounting</w:t>
            </w:r>
          </w:p>
        </w:tc>
        <w:tc>
          <w:tcPr>
            <w:tcW w:type="dxa" w:w="2642"/>
            <w:tcMar>
              <w:top w:w="55" w:type="dxa"/>
              <w:start w:w="65" w:type="dxa"/>
              <w:bottom w:w="55" w:type="dxa"/>
              <w:end w:w="65" w:type="dxa"/>
            </w:tcMar>
            <w:vAlign w:val="center"/>
            <w:shd w:fill="F8FAFC"/>
          </w:tcPr>
          <w:p>
            <w:r>
              <w:rPr>
                <w:sz w:val="14"/>
              </w:rPr>
              <w:t>State law</w:t>
            </w:r>
          </w:p>
        </w:tc>
        <w:tc>
          <w:tcPr>
            <w:tcW w:type="dxa" w:w="2642"/>
            <w:tcMar>
              <w:top w:w="55" w:type="dxa"/>
              <w:start w:w="65" w:type="dxa"/>
              <w:bottom w:w="55" w:type="dxa"/>
              <w:end w:w="65" w:type="dxa"/>
            </w:tcMar>
            <w:vAlign w:val="center"/>
            <w:shd w:fill="F8FAFC"/>
          </w:tcPr>
          <w:p>
            <w:r>
              <w:rPr>
                <w:sz w:val="14"/>
              </w:rPr>
              <w:t>100 pages and two labor hours.</w:t>
            </w:r>
          </w:p>
        </w:tc>
        <w:tc>
          <w:tcPr>
            <w:tcW w:type="dxa" w:w="2642"/>
            <w:tcMar>
              <w:top w:w="55" w:type="dxa"/>
              <w:start w:w="65" w:type="dxa"/>
              <w:bottom w:w="55" w:type="dxa"/>
              <w:end w:w="65" w:type="dxa"/>
            </w:tcMar>
            <w:vAlign w:val="center"/>
            <w:shd w:fill="F8FAFC"/>
          </w:tcPr>
          <w:p>
            <w:r>
              <w:rPr>
                <w:sz w:val="14"/>
              </w:rPr>
              <w:t>Track per request and activity.</w:t>
            </w:r>
          </w:p>
        </w:tc>
      </w:tr>
      <w:tr>
        <w:trPr>
          <w:cantSplit/>
        </w:trPr>
        <w:tc>
          <w:tcPr>
            <w:tcW w:type="dxa" w:w="2642"/>
            <w:tcMar>
              <w:top w:w="55" w:type="dxa"/>
              <w:start w:w="65" w:type="dxa"/>
              <w:bottom w:w="55" w:type="dxa"/>
              <w:end w:w="65" w:type="dxa"/>
            </w:tcMar>
            <w:vAlign w:val="center"/>
          </w:tcPr>
          <w:p>
            <w:r>
              <w:rPr>
                <w:sz w:val="14"/>
              </w:rPr>
              <w:t>Copy and labor rates</w:t>
            </w:r>
          </w:p>
        </w:tc>
        <w:tc>
          <w:tcPr>
            <w:tcW w:type="dxa" w:w="2642"/>
            <w:tcMar>
              <w:top w:w="55" w:type="dxa"/>
              <w:start w:w="65" w:type="dxa"/>
              <w:bottom w:w="55" w:type="dxa"/>
              <w:end w:w="65" w:type="dxa"/>
            </w:tcMar>
            <w:vAlign w:val="center"/>
          </w:tcPr>
          <w:p>
            <w:r>
              <w:rPr>
                <w:sz w:val="14"/>
              </w:rPr>
              <w:t>Local policy within statute</w:t>
            </w:r>
          </w:p>
        </w:tc>
        <w:tc>
          <w:tcPr>
            <w:tcW w:type="dxa" w:w="2642"/>
            <w:tcMar>
              <w:top w:w="55" w:type="dxa"/>
              <w:start w:w="65" w:type="dxa"/>
              <w:bottom w:w="55" w:type="dxa"/>
              <w:end w:w="65" w:type="dxa"/>
            </w:tcMar>
            <w:vAlign w:val="center"/>
          </w:tcPr>
          <w:p>
            <w:r>
              <w:rPr>
                <w:sz w:val="14"/>
              </w:rPr>
              <w:t>Actual costs; lowest-paid qualified role.</w:t>
            </w:r>
          </w:p>
        </w:tc>
        <w:tc>
          <w:tcPr>
            <w:tcW w:type="dxa" w:w="2642"/>
            <w:tcMar>
              <w:top w:w="55" w:type="dxa"/>
              <w:start w:w="65" w:type="dxa"/>
              <w:bottom w:w="55" w:type="dxa"/>
              <w:end w:w="65" w:type="dxa"/>
            </w:tcMar>
            <w:vAlign w:val="center"/>
          </w:tcPr>
          <w:p>
            <w:r>
              <w:rPr>
                <w:sz w:val="14"/>
              </w:rPr>
              <w:t>Version rate schedule.</w:t>
            </w:r>
          </w:p>
        </w:tc>
      </w:tr>
      <w:tr>
        <w:trPr>
          <w:cantSplit/>
        </w:trPr>
        <w:tc>
          <w:tcPr>
            <w:tcW w:type="dxa" w:w="2642"/>
            <w:tcMar>
              <w:top w:w="55" w:type="dxa"/>
              <w:start w:w="65" w:type="dxa"/>
              <w:bottom w:w="55" w:type="dxa"/>
              <w:end w:w="65" w:type="dxa"/>
            </w:tcMar>
            <w:vAlign w:val="center"/>
            <w:shd w:fill="F8FAFC"/>
          </w:tcPr>
          <w:p>
            <w:r>
              <w:rPr>
                <w:sz w:val="14"/>
              </w:rPr>
              <w:t>Advance-payment policy</w:t>
            </w:r>
          </w:p>
        </w:tc>
        <w:tc>
          <w:tcPr>
            <w:tcW w:type="dxa" w:w="2642"/>
            <w:tcMar>
              <w:top w:w="55" w:type="dxa"/>
              <w:start w:w="65" w:type="dxa"/>
              <w:bottom w:w="55" w:type="dxa"/>
              <w:end w:w="65" w:type="dxa"/>
            </w:tcMar>
            <w:vAlign w:val="center"/>
            <w:shd w:fill="F8FAFC"/>
          </w:tcPr>
          <w:p>
            <w:r>
              <w:rPr>
                <w:sz w:val="14"/>
              </w:rPr>
              <w:t>Local policy</w:t>
            </w:r>
          </w:p>
        </w:tc>
        <w:tc>
          <w:tcPr>
            <w:tcW w:type="dxa" w:w="2642"/>
            <w:tcMar>
              <w:top w:w="55" w:type="dxa"/>
              <w:start w:w="65" w:type="dxa"/>
              <w:bottom w:w="55" w:type="dxa"/>
              <w:end w:w="65" w:type="dxa"/>
            </w:tcMar>
            <w:vAlign w:val="center"/>
            <w:shd w:fill="F8FAFC"/>
          </w:tcPr>
          <w:p>
            <w:r>
              <w:rPr>
                <w:sz w:val="14"/>
              </w:rPr>
              <w:t>Threshold/percentage/full estimate.</w:t>
            </w:r>
          </w:p>
        </w:tc>
        <w:tc>
          <w:tcPr>
            <w:tcW w:type="dxa" w:w="2642"/>
            <w:tcMar>
              <w:top w:w="55" w:type="dxa"/>
              <w:start w:w="65" w:type="dxa"/>
              <w:bottom w:w="55" w:type="dxa"/>
              <w:end w:w="65" w:type="dxa"/>
            </w:tcMar>
            <w:vAlign w:val="center"/>
            <w:shd w:fill="F8FAFC"/>
          </w:tcPr>
          <w:p>
            <w:r>
              <w:rPr>
                <w:sz w:val="14"/>
              </w:rPr>
              <w:t>Create payment gate.</w:t>
            </w:r>
          </w:p>
        </w:tc>
      </w:tr>
      <w:tr>
        <w:trPr>
          <w:cantSplit/>
        </w:trPr>
        <w:tc>
          <w:tcPr>
            <w:tcW w:type="dxa" w:w="2642"/>
            <w:tcMar>
              <w:top w:w="55" w:type="dxa"/>
              <w:start w:w="65" w:type="dxa"/>
              <w:bottom w:w="55" w:type="dxa"/>
              <w:end w:w="65" w:type="dxa"/>
            </w:tcMar>
            <w:vAlign w:val="center"/>
          </w:tcPr>
          <w:p>
            <w:r>
              <w:rPr>
                <w:sz w:val="14"/>
              </w:rPr>
              <w:t>Electronic conversion agreement</w:t>
            </w:r>
          </w:p>
        </w:tc>
        <w:tc>
          <w:tcPr>
            <w:tcW w:type="dxa" w:w="2642"/>
            <w:tcMar>
              <w:top w:w="55" w:type="dxa"/>
              <w:start w:w="65" w:type="dxa"/>
              <w:bottom w:w="55" w:type="dxa"/>
              <w:end w:w="65" w:type="dxa"/>
            </w:tcMar>
            <w:vAlign w:val="center"/>
          </w:tcPr>
          <w:p>
            <w:r>
              <w:rPr>
                <w:sz w:val="14"/>
              </w:rPr>
              <w:t>State law + local template</w:t>
            </w:r>
          </w:p>
        </w:tc>
        <w:tc>
          <w:tcPr>
            <w:tcW w:type="dxa" w:w="2642"/>
            <w:tcMar>
              <w:top w:w="55" w:type="dxa"/>
              <w:start w:w="65" w:type="dxa"/>
              <w:bottom w:w="55" w:type="dxa"/>
              <w:end w:w="65" w:type="dxa"/>
            </w:tcMar>
            <w:vAlign w:val="center"/>
          </w:tcPr>
          <w:p>
            <w:r>
              <w:rPr>
                <w:sz w:val="14"/>
              </w:rPr>
              <w:t>Notice, proposed date, requester agreement.</w:t>
            </w:r>
          </w:p>
        </w:tc>
        <w:tc>
          <w:tcPr>
            <w:tcW w:type="dxa" w:w="2642"/>
            <w:tcMar>
              <w:top w:w="55" w:type="dxa"/>
              <w:start w:w="65" w:type="dxa"/>
              <w:bottom w:w="55" w:type="dxa"/>
              <w:end w:w="65" w:type="dxa"/>
            </w:tcMar>
            <w:vAlign w:val="center"/>
          </w:tcPr>
          <w:p>
            <w:r>
              <w:rPr>
                <w:sz w:val="14"/>
              </w:rPr>
              <w:t>Store agreement evidence.</w:t>
            </w:r>
          </w:p>
        </w:tc>
      </w:tr>
      <w:tr>
        <w:trPr>
          <w:cantSplit/>
        </w:trPr>
        <w:tc>
          <w:tcPr>
            <w:tcW w:type="dxa" w:w="2642"/>
            <w:tcMar>
              <w:top w:w="55" w:type="dxa"/>
              <w:start w:w="65" w:type="dxa"/>
              <w:bottom w:w="55" w:type="dxa"/>
              <w:end w:w="65" w:type="dxa"/>
            </w:tcMar>
            <w:vAlign w:val="center"/>
            <w:shd w:fill="F8FAFC"/>
          </w:tcPr>
          <w:p>
            <w:r>
              <w:rPr>
                <w:sz w:val="14"/>
              </w:rPr>
              <w:t>Clarification/nonresponse handling</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Assistance, reminders, closure.</w:t>
            </w:r>
          </w:p>
        </w:tc>
        <w:tc>
          <w:tcPr>
            <w:tcW w:type="dxa" w:w="2642"/>
            <w:tcMar>
              <w:top w:w="55" w:type="dxa"/>
              <w:start w:w="65" w:type="dxa"/>
              <w:bottom w:w="55" w:type="dxa"/>
              <w:end w:w="65" w:type="dxa"/>
            </w:tcMar>
            <w:vAlign w:val="center"/>
            <w:shd w:fill="F8FAFC"/>
          </w:tcPr>
          <w:p>
            <w:r>
              <w:rPr>
                <w:sz w:val="14"/>
              </w:rPr>
              <w:t>No general statutory toll/abandonment value.</w:t>
            </w:r>
          </w:p>
        </w:tc>
      </w:tr>
    </w:tbl>
    <w:p>
      <w:pPr>
        <w:pStyle w:val="Heading1"/>
      </w:pPr>
      <w:r>
        <w:t>12. Recommended Workflow States and Transitions</w:t>
      </w:r>
    </w:p>
    <w:p>
      <w:r>
        <w:rPr>
          <w:b/>
        </w:rPr>
        <w:t xml:space="preserve">Recommended state sequence: </w:t>
      </w:r>
      <w:r>
        <w:t>Received -&gt; Effective-Receipt Validation -&gt; Residency Classification -&gt; Scope/Sufficiency Review -&gt; Resident 3/10 Track or Nonresident 21/35 Track -&gt; Fee/Advance Payment (when triggered) -&gt; Search/Conversion/Review -&gt; Segregation -&gt; Production or Structured Written Denial -&gt; Closed/Appeal.</w:t>
      </w:r>
    </w:p>
    <w:p>
      <w:pPr>
        <w:pStyle w:val="Heading1"/>
      </w:pPr>
      <w:r>
        <w:t>13. Unresolved Questions and Local-Policy Decisions</w:t>
      </w:r>
    </w:p>
    <w:p>
      <w:pPr>
        <w:pStyle w:val="ListBullet"/>
        <w:spacing w:after="30"/>
      </w:pPr>
      <w:r>
        <w:t>How will the city verify residency and the nonresident-employed-by-resident exception?</w:t>
      </w:r>
    </w:p>
    <w:p>
      <w:pPr>
        <w:pStyle w:val="ListBullet"/>
        <w:spacing w:after="30"/>
      </w:pPr>
      <w:r>
        <w:t>Which local request channels reach the designated custodian and when is after-hours receipt effective?</w:t>
      </w:r>
    </w:p>
    <w:p>
      <w:pPr>
        <w:pStyle w:val="ListBullet"/>
        <w:spacing w:after="30"/>
      </w:pPr>
      <w:r>
        <w:t>What rates and advance-payment thresholds will be adopted?</w:t>
      </w:r>
    </w:p>
    <w:p>
      <w:pPr>
        <w:pStyle w:val="ListBullet"/>
        <w:spacing w:after="30"/>
      </w:pPr>
      <w:r>
        <w:t>How will the city document and obtain agreement for an electronic-conversion completion date?</w:t>
      </w:r>
    </w:p>
    <w:p>
      <w:pPr>
        <w:pStyle w:val="Heading1"/>
      </w:pPr>
      <w:r>
        <w:t>14. Suggestion Added During This Review</w:t>
      </w:r>
    </w:p>
    <w:p>
      <w:r>
        <w:rPr>
          <w:b/>
        </w:rPr>
        <w:t>S-023: Support requester-residency tracks that change both response time and fee allowances, and validate that receipt occurred through the designated custodian before starting timers.</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Idaho Code § 74-103 (official Legislature URL): https://legislature.idaho.gov/statutesrules/idstat/title74/t74ch1/sect74-103/</w:t>
      </w:r>
    </w:p>
    <w:p>
      <w:pPr>
        <w:pStyle w:val="ListBullet"/>
        <w:spacing w:after="30"/>
      </w:pPr>
      <w:r>
        <w:t>Idaho Code § 74-102: https://legislature.idaho.gov/statutesrules/idstat/title74/t74ch1/sect74-102/</w:t>
      </w:r>
    </w:p>
    <w:p>
      <w:pPr>
        <w:pStyle w:val="ListBullet"/>
        <w:spacing w:after="30"/>
      </w:pPr>
      <w:r>
        <w:t>Idaho Code § 74-112: https://legislature.idaho.gov/statutesrules/idstat/title74/t74ch1/sect74-112/</w:t>
      </w:r>
    </w:p>
    <w:p>
      <w:pPr>
        <w:pStyle w:val="ListBullet"/>
        <w:spacing w:after="30"/>
      </w:pPr>
      <w:r>
        <w:t>Idaho Attorney General, Public Records Law Manual and resources: https://www.ag.idaho.gov/office-resources/public-records/</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Idaho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