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7365D"/>
          <w:sz w:val="40"/>
        </w:rPr>
        <w:t>Kansas Public Records Workflow</w:t>
      </w:r>
    </w:p>
    <w:p>
      <w:pPr>
        <w:spacing w:after="140"/>
        <w:jc w:val="center"/>
      </w:pPr>
      <w:r>
        <w:rPr>
          <w:rFonts w:ascii="Aptos Display" w:hAnsi="Aptos Display"/>
          <w:b/>
          <w:color w:val="2F5597"/>
          <w:sz w:val="23"/>
        </w:rPr>
        <w:t>Initial Processing Reverse-Engineered into Software Configuration Requirements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6"/>
              </w:rPr>
              <w:t>Primary law</w:t>
            </w:r>
          </w:p>
        </w:tc>
        <w:tc>
          <w:tcPr>
            <w:tcW w:type="dxa" w:w="2642"/>
            <w:shd w:fill="17365D"/>
            <w:tcMar>
              <w:top w:w="55" w:type="dxa"/>
              <w:start w:w="65" w:type="dxa"/>
              <w:bottom w:w="55" w:type="dxa"/>
              <w:end w:w="65" w:type="dxa"/>
            </w:tcMar>
          </w:tcPr>
          <w:p>
            <w:pPr>
              <w:jc w:val="center"/>
            </w:pPr>
            <w:r>
              <w:rPr>
                <w:b/>
                <w:color w:val="FFFFFF"/>
                <w:sz w:val="16"/>
              </w:rPr>
              <w:t>Kansas Open Records Act, K.S.A. 45-215 through 45-223</w:t>
            </w:r>
          </w:p>
        </w:tc>
        <w:tc>
          <w:tcPr>
            <w:tcW w:type="dxa" w:w="2642"/>
            <w:shd w:fill="17365D"/>
            <w:tcMar>
              <w:top w:w="55" w:type="dxa"/>
              <w:start w:w="65" w:type="dxa"/>
              <w:bottom w:w="55" w:type="dxa"/>
              <w:end w:w="65" w:type="dxa"/>
            </w:tcMar>
          </w:tcPr>
          <w:p>
            <w:pPr>
              <w:jc w:val="center"/>
            </w:pPr>
            <w:r>
              <w:rPr>
                <w:b/>
                <w:color w:val="FFFFFF"/>
                <w:sz w:val="16"/>
              </w:rPr>
              <w:t>Research date</w:t>
            </w:r>
          </w:p>
        </w:tc>
        <w:tc>
          <w:tcPr>
            <w:tcW w:type="dxa" w:w="2642"/>
            <w:shd w:fill="17365D"/>
            <w:tcMar>
              <w:top w:w="55" w:type="dxa"/>
              <w:start w:w="65" w:type="dxa"/>
              <w:bottom w:w="55" w:type="dxa"/>
              <w:end w:w="65" w:type="dxa"/>
            </w:tcMar>
          </w:tcPr>
          <w:p>
            <w:pPr>
              <w:jc w:val="center"/>
            </w:pPr>
            <w:r>
              <w:rPr>
                <w:b/>
                <w:color w:val="FFFFFF"/>
                <w:sz w:val="16"/>
              </w:rPr>
              <w:t>2026-07-22</w:t>
            </w:r>
          </w:p>
        </w:tc>
      </w:tr>
    </w:tbl>
    <w:p>
      <w:pPr>
        <w:pStyle w:val="Heading1"/>
      </w:pPr>
      <w:r>
        <w:t>1. Executive Summary and Applicability</w:t>
      </w:r>
    </w:p>
    <w:p>
      <w:r>
        <w:t>Kansas requires a public agency to “act upon” a request as soon as possible and no later than the end of the third business day. That is not always a production deadline: if immediate access is not granted, the agency must provide a detailed explanation of the cause for delay and the place and earliest time and date the record will be available.</w:t>
      </w:r>
    </w:p>
    <w:p>
      <w:r>
        <w:t>Current Kansas law also creates a high-cost interaction branch. When staff time will exceed five hours or estimated staff cost exceeds $200, the agency must make reasonable efforts to contact the requester and engage about cost mitigation. If the requester does not respond by the end of the third business day after those efforts, the request is deemed withdrawn until later contact.</w:t>
      </w:r>
    </w:p>
    <w:p>
      <w:r>
        <w:t>Cities may charge reasonable actual costs, must use the lowest-cost qualified staff in good faith, exclude employee benefits from staff charges, and provide an itemized cost statement upon request. Advance payment may be required.</w:t>
      </w:r>
    </w:p>
    <w:p>
      <w:r>
        <w:rPr>
          <w:b/>
        </w:rPr>
        <w:t xml:space="preserve">Core engine pattern: </w:t>
      </w:r>
      <w:r>
        <w:t>Three-business-day act-upon milestone + detailed delay/earliest-availability notice + high-cost interactive mitigation/conditional withdrawal + actual-cost fee ledger.</w:t>
      </w:r>
    </w:p>
    <w:p>
      <w:r>
        <w:rPr>
          <w:b/>
        </w:rPr>
        <w:t xml:space="preserve">Scope caution: </w:t>
      </w:r>
      <w:r>
        <w:t>KORA applies to political subdivisions and cities. Local procedures and fee schedules remain necessary, but the 2025 amendments effective July 1, 2025 supply statewide cost-control and requester-contact rules.</w:t>
      </w:r>
    </w:p>
    <w:p>
      <w:pPr>
        <w:pStyle w:val="Heading1"/>
      </w:pPr>
      <w:r>
        <w:t>2. Authority Inventory</w:t>
      </w:r>
    </w:p>
    <w:tbl>
      <w:tblPr>
        <w:tblStyle w:val="TableGrid"/>
        <w:tblW w:type="auto" w:w="0"/>
        <w:jc w:val="center"/>
        <w:tblLayout w:type="autofit"/>
        <w:tblLook w:firstColumn="1" w:firstRow="1" w:lastColumn="0" w:lastRow="0" w:noHBand="0" w:noVBand="1" w:val="04A0"/>
      </w:tblPr>
      <w:tblGrid>
        <w:gridCol w:w="3523"/>
        <w:gridCol w:w="3523"/>
        <w:gridCol w:w="3523"/>
      </w:tblGrid>
      <w:tr>
        <w:trPr>
          <w:tblHeader w:val="true"/>
          <w:cantSplit/>
        </w:trPr>
        <w:tc>
          <w:tcPr>
            <w:tcW w:type="dxa" w:w="3523"/>
            <w:shd w:fill="17365D"/>
            <w:tcMar>
              <w:top w:w="55" w:type="dxa"/>
              <w:start w:w="65" w:type="dxa"/>
              <w:bottom w:w="55" w:type="dxa"/>
              <w:end w:w="65" w:type="dxa"/>
            </w:tcMar>
          </w:tcPr>
          <w:p>
            <w:pPr>
              <w:jc w:val="center"/>
            </w:pPr>
            <w:r>
              <w:rPr>
                <w:b/>
                <w:color w:val="FFFFFF"/>
                <w:sz w:val="15"/>
              </w:rPr>
              <w:t>Authority</w:t>
            </w:r>
          </w:p>
        </w:tc>
        <w:tc>
          <w:tcPr>
            <w:tcW w:type="dxa" w:w="3523"/>
            <w:shd w:fill="17365D"/>
            <w:tcMar>
              <w:top w:w="55" w:type="dxa"/>
              <w:start w:w="65" w:type="dxa"/>
              <w:bottom w:w="55" w:type="dxa"/>
              <w:end w:w="65" w:type="dxa"/>
            </w:tcMar>
          </w:tcPr>
          <w:p>
            <w:pPr>
              <w:jc w:val="center"/>
            </w:pPr>
            <w:r>
              <w:rPr>
                <w:b/>
                <w:color w:val="FFFFFF"/>
                <w:sz w:val="15"/>
              </w:rPr>
              <w:t>Workflow function</w:t>
            </w:r>
          </w:p>
        </w:tc>
        <w:tc>
          <w:tcPr>
            <w:tcW w:type="dxa" w:w="3523"/>
            <w:shd w:fill="17365D"/>
            <w:tcMar>
              <w:top w:w="55" w:type="dxa"/>
              <w:start w:w="65" w:type="dxa"/>
              <w:bottom w:w="55" w:type="dxa"/>
              <w:end w:w="65" w:type="dxa"/>
            </w:tcMar>
          </w:tcPr>
          <w:p>
            <w:pPr>
              <w:jc w:val="center"/>
            </w:pPr>
            <w:r>
              <w:rPr>
                <w:b/>
                <w:color w:val="FFFFFF"/>
                <w:sz w:val="15"/>
              </w:rPr>
              <w:t>City applicability</w:t>
            </w:r>
          </w:p>
        </w:tc>
      </w:tr>
      <w:tr>
        <w:trPr>
          <w:cantSplit/>
        </w:trPr>
        <w:tc>
          <w:tcPr>
            <w:tcW w:type="dxa" w:w="3523"/>
            <w:tcMar>
              <w:top w:w="55" w:type="dxa"/>
              <w:start w:w="65" w:type="dxa"/>
              <w:bottom w:w="55" w:type="dxa"/>
              <w:end w:w="65" w:type="dxa"/>
            </w:tcMar>
            <w:vAlign w:val="center"/>
          </w:tcPr>
          <w:p>
            <w:r>
              <w:rPr>
                <w:sz w:val="15"/>
              </w:rPr>
              <w:t>K.S.A. 45-218</w:t>
            </w:r>
          </w:p>
        </w:tc>
        <w:tc>
          <w:tcPr>
            <w:tcW w:type="dxa" w:w="3523"/>
            <w:tcMar>
              <w:top w:w="55" w:type="dxa"/>
              <w:start w:w="65" w:type="dxa"/>
              <w:bottom w:w="55" w:type="dxa"/>
              <w:end w:w="65" w:type="dxa"/>
            </w:tcMar>
            <w:vAlign w:val="center"/>
          </w:tcPr>
          <w:p>
            <w:r>
              <w:rPr>
                <w:sz w:val="15"/>
              </w:rPr>
              <w:t>Access, third-business-day action, delay notice, denial grounds, unreasonable burden/disruption.</w:t>
            </w:r>
          </w:p>
        </w:tc>
        <w:tc>
          <w:tcPr>
            <w:tcW w:type="dxa" w:w="3523"/>
            <w:tcMar>
              <w:top w:w="55" w:type="dxa"/>
              <w:start w:w="65" w:type="dxa"/>
              <w:bottom w:w="55" w:type="dxa"/>
              <w:end w:w="65" w:type="dxa"/>
            </w:tcMar>
            <w:vAlign w:val="center"/>
          </w:tcPr>
          <w:p>
            <w:r>
              <w:rPr>
                <w:sz w:val="15"/>
              </w:rPr>
              <w:t>Core city workflow.</w:t>
            </w:r>
          </w:p>
        </w:tc>
      </w:tr>
      <w:tr>
        <w:trPr>
          <w:cantSplit/>
        </w:trPr>
        <w:tc>
          <w:tcPr>
            <w:tcW w:type="dxa" w:w="3523"/>
            <w:tcMar>
              <w:top w:w="55" w:type="dxa"/>
              <w:start w:w="65" w:type="dxa"/>
              <w:bottom w:w="55" w:type="dxa"/>
              <w:end w:w="65" w:type="dxa"/>
            </w:tcMar>
            <w:vAlign w:val="center"/>
            <w:shd w:fill="F8FAFC"/>
          </w:tcPr>
          <w:p>
            <w:r>
              <w:rPr>
                <w:sz w:val="15"/>
              </w:rPr>
              <w:t>K.S.A. 45-219, as amended by 2025 HB 2134</w:t>
            </w:r>
          </w:p>
        </w:tc>
        <w:tc>
          <w:tcPr>
            <w:tcW w:type="dxa" w:w="3523"/>
            <w:tcMar>
              <w:top w:w="55" w:type="dxa"/>
              <w:start w:w="65" w:type="dxa"/>
              <w:bottom w:w="55" w:type="dxa"/>
              <w:end w:w="65" w:type="dxa"/>
            </w:tcMar>
            <w:vAlign w:val="center"/>
            <w:shd w:fill="F8FAFC"/>
          </w:tcPr>
          <w:p>
            <w:r>
              <w:rPr>
                <w:sz w:val="15"/>
              </w:rPr>
              <w:t>Actual-cost fee rules, lowest-cost staff, itemization, high-cost engagement, conditional withdrawal, advance payment.</w:t>
            </w:r>
          </w:p>
        </w:tc>
        <w:tc>
          <w:tcPr>
            <w:tcW w:type="dxa" w:w="3523"/>
            <w:tcMar>
              <w:top w:w="55" w:type="dxa"/>
              <w:start w:w="65" w:type="dxa"/>
              <w:bottom w:w="55" w:type="dxa"/>
              <w:end w:w="65" w:type="dxa"/>
            </w:tcMar>
            <w:vAlign w:val="center"/>
            <w:shd w:fill="F8FAFC"/>
          </w:tcPr>
          <w:p>
            <w:r>
              <w:rPr>
                <w:sz w:val="15"/>
              </w:rPr>
              <w:t>Direct city fee and nonresponse workflow.</w:t>
            </w:r>
          </w:p>
        </w:tc>
      </w:tr>
      <w:tr>
        <w:trPr>
          <w:cantSplit/>
        </w:trPr>
        <w:tc>
          <w:tcPr>
            <w:tcW w:type="dxa" w:w="3523"/>
            <w:tcMar>
              <w:top w:w="55" w:type="dxa"/>
              <w:start w:w="65" w:type="dxa"/>
              <w:bottom w:w="55" w:type="dxa"/>
              <w:end w:w="65" w:type="dxa"/>
            </w:tcMar>
            <w:vAlign w:val="center"/>
          </w:tcPr>
          <w:p>
            <w:r>
              <w:rPr>
                <w:sz w:val="15"/>
              </w:rPr>
              <w:t>K.S.A. 45-220</w:t>
            </w:r>
          </w:p>
        </w:tc>
        <w:tc>
          <w:tcPr>
            <w:tcW w:type="dxa" w:w="3523"/>
            <w:tcMar>
              <w:top w:w="55" w:type="dxa"/>
              <w:start w:w="65" w:type="dxa"/>
              <w:bottom w:w="55" w:type="dxa"/>
              <w:end w:w="65" w:type="dxa"/>
            </w:tcMar>
            <w:vAlign w:val="center"/>
          </w:tcPr>
          <w:p>
            <w:r>
              <w:rPr>
                <w:sz w:val="15"/>
              </w:rPr>
              <w:t>Local procedures, assistance, request contents, and no technical denial unless records cannot be determined.</w:t>
            </w:r>
          </w:p>
        </w:tc>
        <w:tc>
          <w:tcPr>
            <w:tcW w:type="dxa" w:w="3523"/>
            <w:tcMar>
              <w:top w:w="55" w:type="dxa"/>
              <w:start w:w="65" w:type="dxa"/>
              <w:bottom w:w="55" w:type="dxa"/>
              <w:end w:w="65" w:type="dxa"/>
            </w:tcMar>
            <w:vAlign w:val="center"/>
          </w:tcPr>
          <w:p>
            <w:r>
              <w:rPr>
                <w:sz w:val="15"/>
              </w:rPr>
              <w:t>City intake configuration.</w:t>
            </w:r>
          </w:p>
        </w:tc>
      </w:tr>
      <w:tr>
        <w:trPr>
          <w:cantSplit/>
        </w:trPr>
        <w:tc>
          <w:tcPr>
            <w:tcW w:type="dxa" w:w="3523"/>
            <w:tcMar>
              <w:top w:w="55" w:type="dxa"/>
              <w:start w:w="65" w:type="dxa"/>
              <w:bottom w:w="55" w:type="dxa"/>
              <w:end w:w="65" w:type="dxa"/>
            </w:tcMar>
            <w:vAlign w:val="center"/>
            <w:shd w:fill="F8FAFC"/>
          </w:tcPr>
          <w:p>
            <w:r>
              <w:rPr>
                <w:sz w:val="15"/>
              </w:rPr>
              <w:t>Kansas Attorney General KORA resources</w:t>
            </w:r>
          </w:p>
        </w:tc>
        <w:tc>
          <w:tcPr>
            <w:tcW w:type="dxa" w:w="3523"/>
            <w:tcMar>
              <w:top w:w="55" w:type="dxa"/>
              <w:start w:w="65" w:type="dxa"/>
              <w:bottom w:w="55" w:type="dxa"/>
              <w:end w:w="65" w:type="dxa"/>
            </w:tcMar>
            <w:vAlign w:val="center"/>
            <w:shd w:fill="F8FAFC"/>
          </w:tcPr>
          <w:p>
            <w:r>
              <w:rPr>
                <w:sz w:val="15"/>
              </w:rPr>
              <w:t>Official interpretation and compliance assistance.</w:t>
            </w:r>
          </w:p>
        </w:tc>
        <w:tc>
          <w:tcPr>
            <w:tcW w:type="dxa" w:w="3523"/>
            <w:tcMar>
              <w:top w:w="55" w:type="dxa"/>
              <w:start w:w="65" w:type="dxa"/>
              <w:bottom w:w="55" w:type="dxa"/>
              <w:end w:w="65" w:type="dxa"/>
            </w:tcMar>
            <w:vAlign w:val="center"/>
            <w:shd w:fill="F8FAFC"/>
          </w:tcPr>
          <w:p>
            <w:r>
              <w:rPr>
                <w:sz w:val="15"/>
              </w:rPr>
              <w:t>Guidance.</w:t>
            </w:r>
          </w:p>
        </w:tc>
      </w:tr>
    </w:tbl>
    <w:p>
      <w:pPr>
        <w:pStyle w:val="Heading1"/>
      </w:pPr>
      <w:r>
        <w:t>3. Human-Readable Initial Processing Workflow</w:t>
      </w:r>
    </w:p>
    <w:p>
      <w:pPr>
        <w:pStyle w:val="ListNumber"/>
        <w:spacing w:after="30"/>
      </w:pPr>
      <w:r>
        <w:t>Receive and route: Timestamp the request and route it to the official custodian under the city’s published procedures. If another custodian is responsible, notify the requester and provide the name/location if known.</w:t>
      </w:r>
    </w:p>
    <w:p>
      <w:pPr>
        <w:pStyle w:val="ListNumber"/>
        <w:spacing w:after="30"/>
      </w:pPr>
      <w:r>
        <w:t>Identify the records: A written request may be required for copies, but the city may not demand unnecessary information or delay/deny for a technicality unless it is impossible to determine the records sought.</w:t>
      </w:r>
    </w:p>
    <w:p>
      <w:pPr>
        <w:pStyle w:val="ListNumber"/>
        <w:spacing w:after="30"/>
      </w:pPr>
      <w:r>
        <w:t>Act by the third business day: Provide access, deny, or send a detailed delay notice stating the cause, place, and earliest time and date the records will be available.</w:t>
      </w:r>
    </w:p>
    <w:p>
      <w:pPr>
        <w:pStyle w:val="ListNumber"/>
        <w:spacing w:after="30"/>
      </w:pPr>
      <w:r>
        <w:t>Assess costs: Estimate actual copying, review, redaction, computer-service, and staff costs. Use the lowest-cost qualified staff and exclude benefits.</w:t>
      </w:r>
    </w:p>
    <w:p>
      <w:pPr>
        <w:pStyle w:val="ListNumber"/>
        <w:spacing w:after="30"/>
      </w:pPr>
      <w:r>
        <w:t>Run high-cost engagement when triggered: If staff work will exceed five hours or estimated staff cost exceeds $200, contact the requester through the provided means and engage about cost mitigation. The requester is not required to narrow.</w:t>
      </w:r>
    </w:p>
    <w:p>
      <w:pPr>
        <w:pStyle w:val="ListNumber"/>
        <w:spacing w:after="30"/>
      </w:pPr>
      <w:r>
        <w:t>Collect advance payment if required, complete search/review/segregation, provide records, refund any excess payment, and provide an itemized cost statement when requested.</w:t>
      </w:r>
    </w:p>
    <w:p>
      <w:pPr>
        <w:pStyle w:val="Heading1"/>
      </w:pPr>
      <w:r>
        <w:t>4. Deadline and Required-Communication Matrix</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4"/>
              </w:rPr>
              <w:t>Trigger / condition</w:t>
            </w:r>
          </w:p>
        </w:tc>
        <w:tc>
          <w:tcPr>
            <w:tcW w:type="dxa" w:w="2114"/>
            <w:shd w:fill="17365D"/>
            <w:tcMar>
              <w:top w:w="55" w:type="dxa"/>
              <w:start w:w="65" w:type="dxa"/>
              <w:bottom w:w="55" w:type="dxa"/>
              <w:end w:w="65" w:type="dxa"/>
            </w:tcMar>
          </w:tcPr>
          <w:p>
            <w:pPr>
              <w:jc w:val="center"/>
            </w:pPr>
            <w:r>
              <w:rPr>
                <w:b/>
                <w:color w:val="FFFFFF"/>
                <w:sz w:val="14"/>
              </w:rPr>
              <w:t>Deadline or standard</w:t>
            </w:r>
          </w:p>
        </w:tc>
        <w:tc>
          <w:tcPr>
            <w:tcW w:type="dxa" w:w="2114"/>
            <w:shd w:fill="17365D"/>
            <w:tcMar>
              <w:top w:w="55" w:type="dxa"/>
              <w:start w:w="65" w:type="dxa"/>
              <w:bottom w:w="55" w:type="dxa"/>
              <w:end w:w="65" w:type="dxa"/>
            </w:tcMar>
          </w:tcPr>
          <w:p>
            <w:pPr>
              <w:jc w:val="center"/>
            </w:pPr>
            <w:r>
              <w:rPr>
                <w:b/>
                <w:color w:val="FFFFFF"/>
                <w:sz w:val="14"/>
              </w:rPr>
              <w:t>Required communication / action</w:t>
            </w:r>
          </w:p>
        </w:tc>
        <w:tc>
          <w:tcPr>
            <w:tcW w:type="dxa" w:w="2114"/>
            <w:shd w:fill="17365D"/>
            <w:tcMar>
              <w:top w:w="55" w:type="dxa"/>
              <w:start w:w="65" w:type="dxa"/>
              <w:bottom w:w="55" w:type="dxa"/>
              <w:end w:w="65" w:type="dxa"/>
            </w:tcMar>
          </w:tcPr>
          <w:p>
            <w:pPr>
              <w:jc w:val="center"/>
            </w:pPr>
            <w:r>
              <w:rPr>
                <w:b/>
                <w:color w:val="FFFFFF"/>
                <w:sz w:val="14"/>
              </w:rPr>
              <w:t>Clock effect</w:t>
            </w:r>
          </w:p>
        </w:tc>
        <w:tc>
          <w:tcPr>
            <w:tcW w:type="dxa" w:w="2114"/>
            <w:shd w:fill="17365D"/>
            <w:tcMar>
              <w:top w:w="55" w:type="dxa"/>
              <w:start w:w="65" w:type="dxa"/>
              <w:bottom w:w="55" w:type="dxa"/>
              <w:end w:w="65" w:type="dxa"/>
            </w:tcMar>
          </w:tcPr>
          <w:p>
            <w:pPr>
              <w:jc w:val="center"/>
            </w:pPr>
            <w:r>
              <w:rPr>
                <w:b/>
                <w:color w:val="FFFFFF"/>
                <w:sz w:val="14"/>
              </w:rPr>
              <w:t>Authority</w:t>
            </w:r>
          </w:p>
        </w:tc>
      </w:tr>
      <w:tr>
        <w:trPr>
          <w:cantSplit/>
        </w:trPr>
        <w:tc>
          <w:tcPr>
            <w:tcW w:type="dxa" w:w="2114"/>
            <w:tcMar>
              <w:top w:w="55" w:type="dxa"/>
              <w:start w:w="65" w:type="dxa"/>
              <w:bottom w:w="55" w:type="dxa"/>
              <w:end w:w="65" w:type="dxa"/>
            </w:tcMar>
            <w:vAlign w:val="center"/>
          </w:tcPr>
          <w:p>
            <w:r>
              <w:rPr>
                <w:sz w:val="14"/>
              </w:rPr>
              <w:t>Request received under adopted procedure</w:t>
            </w:r>
          </w:p>
        </w:tc>
        <w:tc>
          <w:tcPr>
            <w:tcW w:type="dxa" w:w="2114"/>
            <w:tcMar>
              <w:top w:w="55" w:type="dxa"/>
              <w:start w:w="65" w:type="dxa"/>
              <w:bottom w:w="55" w:type="dxa"/>
              <w:end w:w="65" w:type="dxa"/>
            </w:tcMar>
            <w:vAlign w:val="center"/>
          </w:tcPr>
          <w:p>
            <w:r>
              <w:rPr>
                <w:sz w:val="14"/>
              </w:rPr>
              <w:t>As soon as possible; no later than end of 3rd business day</w:t>
            </w:r>
          </w:p>
        </w:tc>
        <w:tc>
          <w:tcPr>
            <w:tcW w:type="dxa" w:w="2114"/>
            <w:tcMar>
              <w:top w:w="55" w:type="dxa"/>
              <w:start w:w="65" w:type="dxa"/>
              <w:bottom w:w="55" w:type="dxa"/>
              <w:end w:w="65" w:type="dxa"/>
            </w:tcMar>
            <w:vAlign w:val="center"/>
          </w:tcPr>
          <w:p>
            <w:r>
              <w:rPr>
                <w:sz w:val="14"/>
              </w:rPr>
              <w:t>Grant access, deny, or provide detailed cause for delay, place, and earliest time/date of availability.</w:t>
            </w:r>
          </w:p>
        </w:tc>
        <w:tc>
          <w:tcPr>
            <w:tcW w:type="dxa" w:w="2114"/>
            <w:tcMar>
              <w:top w:w="55" w:type="dxa"/>
              <w:start w:w="65" w:type="dxa"/>
              <w:bottom w:w="55" w:type="dxa"/>
              <w:end w:w="65" w:type="dxa"/>
            </w:tcMar>
            <w:vAlign w:val="center"/>
          </w:tcPr>
          <w:p>
            <w:r>
              <w:rPr>
                <w:sz w:val="14"/>
              </w:rPr>
              <w:t>Initial act-upon timer.</w:t>
            </w:r>
          </w:p>
        </w:tc>
        <w:tc>
          <w:tcPr>
            <w:tcW w:type="dxa" w:w="2114"/>
            <w:tcMar>
              <w:top w:w="55" w:type="dxa"/>
              <w:start w:w="65" w:type="dxa"/>
              <w:bottom w:w="55" w:type="dxa"/>
              <w:end w:w="65" w:type="dxa"/>
            </w:tcMar>
            <w:vAlign w:val="center"/>
          </w:tcPr>
          <w:p>
            <w:r>
              <w:rPr>
                <w:sz w:val="14"/>
              </w:rPr>
              <w:t>K.S.A. 45-218(d)</w:t>
            </w:r>
          </w:p>
        </w:tc>
      </w:tr>
      <w:tr>
        <w:trPr>
          <w:cantSplit/>
        </w:trPr>
        <w:tc>
          <w:tcPr>
            <w:tcW w:type="dxa" w:w="2114"/>
            <w:tcMar>
              <w:top w:w="55" w:type="dxa"/>
              <w:start w:w="65" w:type="dxa"/>
              <w:bottom w:w="55" w:type="dxa"/>
              <w:end w:w="65" w:type="dxa"/>
            </w:tcMar>
            <w:vAlign w:val="center"/>
            <w:shd w:fill="F8FAFC"/>
          </w:tcPr>
          <w:p>
            <w:r>
              <w:rPr>
                <w:sz w:val="14"/>
              </w:rPr>
              <w:t>Request sent to wrong custodian</w:t>
            </w:r>
          </w:p>
        </w:tc>
        <w:tc>
          <w:tcPr>
            <w:tcW w:type="dxa" w:w="2114"/>
            <w:tcMar>
              <w:top w:w="55" w:type="dxa"/>
              <w:start w:w="65" w:type="dxa"/>
              <w:bottom w:w="55" w:type="dxa"/>
              <w:end w:w="65" w:type="dxa"/>
            </w:tcMar>
            <w:vAlign w:val="center"/>
            <w:shd w:fill="F8FAFC"/>
          </w:tcPr>
          <w:p>
            <w:r>
              <w:rPr>
                <w:sz w:val="14"/>
              </w:rPr>
              <w:t>Promptly within initial handling</w:t>
            </w:r>
          </w:p>
        </w:tc>
        <w:tc>
          <w:tcPr>
            <w:tcW w:type="dxa" w:w="2114"/>
            <w:tcMar>
              <w:top w:w="55" w:type="dxa"/>
              <w:start w:w="65" w:type="dxa"/>
              <w:bottom w:w="55" w:type="dxa"/>
              <w:end w:w="65" w:type="dxa"/>
            </w:tcMar>
            <w:vAlign w:val="center"/>
            <w:shd w:fill="F8FAFC"/>
          </w:tcPr>
          <w:p>
            <w:r>
              <w:rPr>
                <w:sz w:val="14"/>
              </w:rPr>
              <w:t>Notify requester and provide responsible custodian name/location if known.</w:t>
            </w:r>
          </w:p>
        </w:tc>
        <w:tc>
          <w:tcPr>
            <w:tcW w:type="dxa" w:w="2114"/>
            <w:tcMar>
              <w:top w:w="55" w:type="dxa"/>
              <w:start w:w="65" w:type="dxa"/>
              <w:bottom w:w="55" w:type="dxa"/>
              <w:end w:w="65" w:type="dxa"/>
            </w:tcMar>
            <w:vAlign w:val="center"/>
            <w:shd w:fill="F8FAFC"/>
          </w:tcPr>
          <w:p>
            <w:r>
              <w:rPr>
                <w:sz w:val="14"/>
              </w:rPr>
              <w:t>Routing event; preserve original/effective receipt.</w:t>
            </w:r>
          </w:p>
        </w:tc>
        <w:tc>
          <w:tcPr>
            <w:tcW w:type="dxa" w:w="2114"/>
            <w:tcMar>
              <w:top w:w="55" w:type="dxa"/>
              <w:start w:w="65" w:type="dxa"/>
              <w:bottom w:w="55" w:type="dxa"/>
              <w:end w:w="65" w:type="dxa"/>
            </w:tcMar>
            <w:vAlign w:val="center"/>
            <w:shd w:fill="F8FAFC"/>
          </w:tcPr>
          <w:p>
            <w:r>
              <w:rPr>
                <w:sz w:val="14"/>
              </w:rPr>
              <w:t>K.S.A. 45-218(c)</w:t>
            </w:r>
          </w:p>
        </w:tc>
      </w:tr>
      <w:tr>
        <w:trPr>
          <w:cantSplit/>
        </w:trPr>
        <w:tc>
          <w:tcPr>
            <w:tcW w:type="dxa" w:w="2114"/>
            <w:tcMar>
              <w:top w:w="55" w:type="dxa"/>
              <w:start w:w="65" w:type="dxa"/>
              <w:bottom w:w="55" w:type="dxa"/>
              <w:end w:w="65" w:type="dxa"/>
            </w:tcMar>
            <w:vAlign w:val="center"/>
          </w:tcPr>
          <w:p>
            <w:r>
              <w:rPr>
                <w:sz w:val="14"/>
              </w:rPr>
              <w:t>Requester asks for written grounds after denial</w:t>
            </w:r>
          </w:p>
        </w:tc>
        <w:tc>
          <w:tcPr>
            <w:tcW w:type="dxa" w:w="2114"/>
            <w:tcMar>
              <w:top w:w="55" w:type="dxa"/>
              <w:start w:w="65" w:type="dxa"/>
              <w:bottom w:w="55" w:type="dxa"/>
              <w:end w:w="65" w:type="dxa"/>
            </w:tcMar>
            <w:vAlign w:val="center"/>
          </w:tcPr>
          <w:p>
            <w:r>
              <w:rPr>
                <w:sz w:val="14"/>
              </w:rPr>
              <w:t>End of 3rd business day after request for statement</w:t>
            </w:r>
          </w:p>
        </w:tc>
        <w:tc>
          <w:tcPr>
            <w:tcW w:type="dxa" w:w="2114"/>
            <w:tcMar>
              <w:top w:w="55" w:type="dxa"/>
              <w:start w:w="65" w:type="dxa"/>
              <w:bottom w:w="55" w:type="dxa"/>
              <w:end w:w="65" w:type="dxa"/>
            </w:tcMar>
            <w:vAlign w:val="center"/>
          </w:tcPr>
          <w:p>
            <w:r>
              <w:rPr>
                <w:sz w:val="14"/>
              </w:rPr>
              <w:t>Provide written grounds citing specific legal provision.</w:t>
            </w:r>
          </w:p>
        </w:tc>
        <w:tc>
          <w:tcPr>
            <w:tcW w:type="dxa" w:w="2114"/>
            <w:tcMar>
              <w:top w:w="55" w:type="dxa"/>
              <w:start w:w="65" w:type="dxa"/>
              <w:bottom w:w="55" w:type="dxa"/>
              <w:end w:w="65" w:type="dxa"/>
            </w:tcMar>
            <w:vAlign w:val="center"/>
          </w:tcPr>
          <w:p>
            <w:r>
              <w:rPr>
                <w:sz w:val="14"/>
              </w:rPr>
              <w:t>Separate denial-explanation timer.</w:t>
            </w:r>
          </w:p>
        </w:tc>
        <w:tc>
          <w:tcPr>
            <w:tcW w:type="dxa" w:w="2114"/>
            <w:tcMar>
              <w:top w:w="55" w:type="dxa"/>
              <w:start w:w="65" w:type="dxa"/>
              <w:bottom w:w="55" w:type="dxa"/>
              <w:end w:w="65" w:type="dxa"/>
            </w:tcMar>
            <w:vAlign w:val="center"/>
          </w:tcPr>
          <w:p>
            <w:r>
              <w:rPr>
                <w:sz w:val="14"/>
              </w:rPr>
              <w:t>K.S.A. 45-218(d)</w:t>
            </w:r>
          </w:p>
        </w:tc>
      </w:tr>
      <w:tr>
        <w:trPr>
          <w:cantSplit/>
        </w:trPr>
        <w:tc>
          <w:tcPr>
            <w:tcW w:type="dxa" w:w="2114"/>
            <w:tcMar>
              <w:top w:w="55" w:type="dxa"/>
              <w:start w:w="65" w:type="dxa"/>
              <w:bottom w:w="55" w:type="dxa"/>
              <w:end w:w="65" w:type="dxa"/>
            </w:tcMar>
            <w:vAlign w:val="center"/>
            <w:shd w:fill="F8FAFC"/>
          </w:tcPr>
          <w:p>
            <w:r>
              <w:rPr>
                <w:sz w:val="14"/>
              </w:rPr>
              <w:t>Staff time &gt;5 hours or estimated staff cost &gt;$200</w:t>
            </w:r>
          </w:p>
        </w:tc>
        <w:tc>
          <w:tcPr>
            <w:tcW w:type="dxa" w:w="2114"/>
            <w:tcMar>
              <w:top w:w="55" w:type="dxa"/>
              <w:start w:w="65" w:type="dxa"/>
              <w:bottom w:w="55" w:type="dxa"/>
              <w:end w:w="65" w:type="dxa"/>
            </w:tcMar>
            <w:vAlign w:val="center"/>
            <w:shd w:fill="F8FAFC"/>
          </w:tcPr>
          <w:p>
            <w:r>
              <w:rPr>
                <w:sz w:val="14"/>
              </w:rPr>
              <w:t>Before substantial fulfillment</w:t>
            </w:r>
          </w:p>
        </w:tc>
        <w:tc>
          <w:tcPr>
            <w:tcW w:type="dxa" w:w="2114"/>
            <w:tcMar>
              <w:top w:w="55" w:type="dxa"/>
              <w:start w:w="65" w:type="dxa"/>
              <w:bottom w:w="55" w:type="dxa"/>
              <w:end w:w="65" w:type="dxa"/>
            </w:tcMar>
            <w:vAlign w:val="center"/>
            <w:shd w:fill="F8FAFC"/>
          </w:tcPr>
          <w:p>
            <w:r>
              <w:rPr>
                <w:sz w:val="14"/>
              </w:rPr>
              <w:t>Make reasonable efforts to contact and engage in cost mitigation.</w:t>
            </w:r>
          </w:p>
        </w:tc>
        <w:tc>
          <w:tcPr>
            <w:tcW w:type="dxa" w:w="2114"/>
            <w:tcMar>
              <w:top w:w="55" w:type="dxa"/>
              <w:start w:w="65" w:type="dxa"/>
              <w:bottom w:w="55" w:type="dxa"/>
              <w:end w:w="65" w:type="dxa"/>
            </w:tcMar>
            <w:vAlign w:val="center"/>
            <w:shd w:fill="F8FAFC"/>
          </w:tcPr>
          <w:p>
            <w:r>
              <w:rPr>
                <w:sz w:val="14"/>
              </w:rPr>
              <w:t>High-cost interaction branch.</w:t>
            </w:r>
          </w:p>
        </w:tc>
        <w:tc>
          <w:tcPr>
            <w:tcW w:type="dxa" w:w="2114"/>
            <w:tcMar>
              <w:top w:w="55" w:type="dxa"/>
              <w:start w:w="65" w:type="dxa"/>
              <w:bottom w:w="55" w:type="dxa"/>
              <w:end w:w="65" w:type="dxa"/>
            </w:tcMar>
            <w:vAlign w:val="center"/>
            <w:shd w:fill="F8FAFC"/>
          </w:tcPr>
          <w:p>
            <w:r>
              <w:rPr>
                <w:sz w:val="14"/>
              </w:rPr>
              <w:t>K.S.A. 45-219(e)</w:t>
            </w:r>
          </w:p>
        </w:tc>
      </w:tr>
      <w:tr>
        <w:trPr>
          <w:cantSplit/>
        </w:trPr>
        <w:tc>
          <w:tcPr>
            <w:tcW w:type="dxa" w:w="2114"/>
            <w:tcMar>
              <w:top w:w="55" w:type="dxa"/>
              <w:start w:w="65" w:type="dxa"/>
              <w:bottom w:w="55" w:type="dxa"/>
              <w:end w:w="65" w:type="dxa"/>
            </w:tcMar>
            <w:vAlign w:val="center"/>
          </w:tcPr>
          <w:p>
            <w:r>
              <w:rPr>
                <w:sz w:val="14"/>
              </w:rPr>
              <w:t>Requester does not respond to high-cost contact</w:t>
            </w:r>
          </w:p>
        </w:tc>
        <w:tc>
          <w:tcPr>
            <w:tcW w:type="dxa" w:w="2114"/>
            <w:tcMar>
              <w:top w:w="55" w:type="dxa"/>
              <w:start w:w="65" w:type="dxa"/>
              <w:bottom w:w="55" w:type="dxa"/>
              <w:end w:w="65" w:type="dxa"/>
            </w:tcMar>
            <w:vAlign w:val="center"/>
          </w:tcPr>
          <w:p>
            <w:r>
              <w:rPr>
                <w:sz w:val="14"/>
              </w:rPr>
              <w:t>End of 3rd business day</w:t>
            </w:r>
          </w:p>
        </w:tc>
        <w:tc>
          <w:tcPr>
            <w:tcW w:type="dxa" w:w="2114"/>
            <w:tcMar>
              <w:top w:w="55" w:type="dxa"/>
              <w:start w:w="65" w:type="dxa"/>
              <w:bottom w:w="55" w:type="dxa"/>
              <w:end w:w="65" w:type="dxa"/>
            </w:tcMar>
            <w:vAlign w:val="center"/>
          </w:tcPr>
          <w:p>
            <w:r>
              <w:rPr>
                <w:sz w:val="14"/>
              </w:rPr>
              <w:t>Request deemed withdrawn until subsequent requester contact.</w:t>
            </w:r>
          </w:p>
        </w:tc>
        <w:tc>
          <w:tcPr>
            <w:tcW w:type="dxa" w:w="2114"/>
            <w:tcMar>
              <w:top w:w="55" w:type="dxa"/>
              <w:start w:w="65" w:type="dxa"/>
              <w:bottom w:w="55" w:type="dxa"/>
              <w:end w:w="65" w:type="dxa"/>
            </w:tcMar>
            <w:vAlign w:val="center"/>
          </w:tcPr>
          <w:p>
            <w:r>
              <w:rPr>
                <w:sz w:val="14"/>
              </w:rPr>
              <w:t>Conditional suspension/withdrawal; resumes upon contact.</w:t>
            </w:r>
          </w:p>
        </w:tc>
        <w:tc>
          <w:tcPr>
            <w:tcW w:type="dxa" w:w="2114"/>
            <w:tcMar>
              <w:top w:w="55" w:type="dxa"/>
              <w:start w:w="65" w:type="dxa"/>
              <w:bottom w:w="55" w:type="dxa"/>
              <w:end w:w="65" w:type="dxa"/>
            </w:tcMar>
            <w:vAlign w:val="center"/>
          </w:tcPr>
          <w:p>
            <w:r>
              <w:rPr>
                <w:sz w:val="14"/>
              </w:rPr>
              <w:t>K.S.A. 45-219(e)</w:t>
            </w:r>
          </w:p>
        </w:tc>
      </w:tr>
      <w:tr>
        <w:trPr>
          <w:cantSplit/>
        </w:trPr>
        <w:tc>
          <w:tcPr>
            <w:tcW w:type="dxa" w:w="2114"/>
            <w:tcMar>
              <w:top w:w="55" w:type="dxa"/>
              <w:start w:w="65" w:type="dxa"/>
              <w:bottom w:w="55" w:type="dxa"/>
              <w:end w:w="65" w:type="dxa"/>
            </w:tcMar>
            <w:vAlign w:val="center"/>
            <w:shd w:fill="F8FAFC"/>
          </w:tcPr>
          <w:p>
            <w:r>
              <w:rPr>
                <w:sz w:val="14"/>
              </w:rPr>
              <w:t>Advance fee collected exceeds actual charge</w:t>
            </w:r>
          </w:p>
        </w:tc>
        <w:tc>
          <w:tcPr>
            <w:tcW w:type="dxa" w:w="2114"/>
            <w:tcMar>
              <w:top w:w="55" w:type="dxa"/>
              <w:start w:w="65" w:type="dxa"/>
              <w:bottom w:w="55" w:type="dxa"/>
              <w:end w:w="65" w:type="dxa"/>
            </w:tcMar>
            <w:vAlign w:val="center"/>
            <w:shd w:fill="F8FAFC"/>
          </w:tcPr>
          <w:p>
            <w:r>
              <w:rPr>
                <w:sz w:val="14"/>
              </w:rPr>
              <w:t>At reconciliation</w:t>
            </w:r>
          </w:p>
        </w:tc>
        <w:tc>
          <w:tcPr>
            <w:tcW w:type="dxa" w:w="2114"/>
            <w:tcMar>
              <w:top w:w="55" w:type="dxa"/>
              <w:start w:w="65" w:type="dxa"/>
              <w:bottom w:w="55" w:type="dxa"/>
              <w:end w:w="65" w:type="dxa"/>
            </w:tcMar>
            <w:vAlign w:val="center"/>
            <w:shd w:fill="F8FAFC"/>
          </w:tcPr>
          <w:p>
            <w:r>
              <w:rPr>
                <w:sz w:val="14"/>
              </w:rPr>
              <w:t>Refund excess.</w:t>
            </w:r>
          </w:p>
        </w:tc>
        <w:tc>
          <w:tcPr>
            <w:tcW w:type="dxa" w:w="2114"/>
            <w:tcMar>
              <w:top w:w="55" w:type="dxa"/>
              <w:start w:w="65" w:type="dxa"/>
              <w:bottom w:w="55" w:type="dxa"/>
              <w:end w:w="65" w:type="dxa"/>
            </w:tcMar>
            <w:vAlign w:val="center"/>
            <w:shd w:fill="F8FAFC"/>
          </w:tcPr>
          <w:p>
            <w:r>
              <w:rPr>
                <w:sz w:val="14"/>
              </w:rPr>
              <w:t>Closes payment ledger.</w:t>
            </w:r>
          </w:p>
        </w:tc>
        <w:tc>
          <w:tcPr>
            <w:tcW w:type="dxa" w:w="2114"/>
            <w:tcMar>
              <w:top w:w="55" w:type="dxa"/>
              <w:start w:w="65" w:type="dxa"/>
              <w:bottom w:w="55" w:type="dxa"/>
              <w:end w:w="65" w:type="dxa"/>
            </w:tcMar>
            <w:vAlign w:val="center"/>
            <w:shd w:fill="F8FAFC"/>
          </w:tcPr>
          <w:p>
            <w:r>
              <w:rPr>
                <w:sz w:val="14"/>
              </w:rPr>
              <w:t>K.S.A. 45-219 and AG guidance</w:t>
            </w:r>
          </w:p>
        </w:tc>
      </w:tr>
    </w:tbl>
    <w:p>
      <w:pPr>
        <w:pStyle w:val="Heading1"/>
      </w:pPr>
      <w:r>
        <w:t>5. Vague, Unclear, or Overly Broad Requests</w:t>
      </w:r>
    </w:p>
    <w:p>
      <w:pPr>
        <w:pStyle w:val="ListBullet"/>
        <w:spacing w:after="30"/>
      </w:pPr>
      <w:r>
        <w:t>Kansas procedures may require a written request, but no request may be returned, delayed, or denied because of a technicality unless it is impossible to determine the records desired.</w:t>
      </w:r>
    </w:p>
    <w:p>
      <w:pPr>
        <w:pStyle w:val="ListBullet"/>
        <w:spacing w:after="30"/>
      </w:pPr>
      <w:r>
        <w:t>The city should help identify records and ordinary access methods. Clarification is best modeled as assisted scope remediation, not an automatic invalidity label.</w:t>
      </w:r>
    </w:p>
    <w:p>
      <w:pPr>
        <w:pStyle w:val="ListBullet"/>
        <w:spacing w:after="30"/>
      </w:pPr>
      <w:r>
        <w:t>KORA permits refusal when a request creates an unreasonable burden or repeated requests are intended to disrupt essential functions; the agency bears the burden of sustaining that determination.</w:t>
      </w:r>
    </w:p>
    <w:p>
      <w:pPr>
        <w:pStyle w:val="ListBullet"/>
        <w:spacing w:after="30"/>
      </w:pPr>
      <w:r>
        <w:t>The three-business-day nonresponse withdrawal applies specifically to the high-cost mitigation contact branch, not to all clarification requests.</w:t>
      </w:r>
    </w:p>
    <w:p>
      <w:pPr>
        <w:pStyle w:val="Heading1"/>
      </w:pPr>
      <w:r>
        <w:t>6. Denial and Partial-Denial Process</w:t>
      </w:r>
    </w:p>
    <w:p>
      <w:pPr>
        <w:pStyle w:val="ListBullet"/>
        <w:spacing w:after="30"/>
      </w:pPr>
      <w:r>
        <w:t>A denial may be communicated within the initial act-upon response. Written grounds citing the specific legal provision are required when the requester asks for them, and must be furnished by the end of the third business day after that request.</w:t>
      </w:r>
    </w:p>
    <w:p>
      <w:pPr>
        <w:pStyle w:val="ListBullet"/>
        <w:spacing w:after="30"/>
      </w:pPr>
      <w:r>
        <w:t>A burden/disruption refusal requires factual support and should be distinguished from an exemption denial or inability to identify records.</w:t>
      </w:r>
    </w:p>
    <w:p>
      <w:pPr>
        <w:pStyle w:val="ListBullet"/>
        <w:spacing w:after="30"/>
      </w:pPr>
      <w:r>
        <w:t>Where only part is closed, provide accessible portions and document each withheld category and authority.</w:t>
      </w:r>
    </w:p>
    <w:p>
      <w:pPr>
        <w:pStyle w:val="ListBullet"/>
        <w:spacing w:after="30"/>
      </w:pPr>
      <w:r>
        <w:t>The engine should track the request for written grounds as a separate event with its own deadline.</w:t>
      </w:r>
    </w:p>
    <w:p>
      <w:pPr>
        <w:pStyle w:val="Heading1"/>
      </w:pPr>
      <w:r>
        <w:t>7. Legal Classifications, Tracks, and Operational Classifications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Classification / flag</w:t>
            </w:r>
          </w:p>
        </w:tc>
        <w:tc>
          <w:tcPr>
            <w:tcW w:type="dxa" w:w="2642"/>
            <w:shd w:fill="17365D"/>
            <w:tcMar>
              <w:top w:w="55" w:type="dxa"/>
              <w:start w:w="65" w:type="dxa"/>
              <w:bottom w:w="55" w:type="dxa"/>
              <w:end w:w="65" w:type="dxa"/>
            </w:tcMar>
          </w:tcPr>
          <w:p>
            <w:pPr>
              <w:jc w:val="center"/>
            </w:pPr>
            <w:r>
              <w:rPr>
                <w:b/>
                <w:color w:val="FFFFFF"/>
                <w:sz w:val="14"/>
              </w:rPr>
              <w:t>Legal or operational</w:t>
            </w:r>
          </w:p>
        </w:tc>
        <w:tc>
          <w:tcPr>
            <w:tcW w:type="dxa" w:w="2642"/>
            <w:shd w:fill="17365D"/>
            <w:tcMar>
              <w:top w:w="55" w:type="dxa"/>
              <w:start w:w="65" w:type="dxa"/>
              <w:bottom w:w="55" w:type="dxa"/>
              <w:end w:w="65" w:type="dxa"/>
            </w:tcMar>
          </w:tcPr>
          <w:p>
            <w:pPr>
              <w:jc w:val="center"/>
            </w:pPr>
            <w:r>
              <w:rPr>
                <w:b/>
                <w:color w:val="FFFFFF"/>
                <w:sz w:val="14"/>
              </w:rPr>
              <w:t>Workflow effect</w:t>
            </w:r>
          </w:p>
        </w:tc>
        <w:tc>
          <w:tcPr>
            <w:tcW w:type="dxa" w:w="2642"/>
            <w:shd w:fill="17365D"/>
            <w:tcMar>
              <w:top w:w="55" w:type="dxa"/>
              <w:start w:w="65" w:type="dxa"/>
              <w:bottom w:w="55" w:type="dxa"/>
              <w:end w:w="65" w:type="dxa"/>
            </w:tcMar>
          </w:tcPr>
          <w:p>
            <w:pPr>
              <w:jc w:val="center"/>
            </w:pPr>
            <w:r>
              <w:rPr>
                <w:b/>
                <w:color w:val="FFFFFF"/>
                <w:sz w:val="14"/>
              </w:rPr>
              <w:t>Timer / communication effect</w:t>
            </w:r>
          </w:p>
        </w:tc>
      </w:tr>
      <w:tr>
        <w:trPr>
          <w:cantSplit/>
        </w:trPr>
        <w:tc>
          <w:tcPr>
            <w:tcW w:type="dxa" w:w="2642"/>
            <w:tcMar>
              <w:top w:w="55" w:type="dxa"/>
              <w:start w:w="65" w:type="dxa"/>
              <w:bottom w:w="55" w:type="dxa"/>
              <w:end w:w="65" w:type="dxa"/>
            </w:tcMar>
            <w:vAlign w:val="center"/>
          </w:tcPr>
          <w:p>
            <w:r>
              <w:rPr>
                <w:sz w:val="14"/>
              </w:rPr>
              <w:t>Immediate access / delayed availability / denial</w:t>
            </w:r>
          </w:p>
        </w:tc>
        <w:tc>
          <w:tcPr>
            <w:tcW w:type="dxa" w:w="2642"/>
            <w:tcMar>
              <w:top w:w="55" w:type="dxa"/>
              <w:start w:w="65" w:type="dxa"/>
              <w:bottom w:w="55" w:type="dxa"/>
              <w:end w:w="65" w:type="dxa"/>
            </w:tcMar>
            <w:vAlign w:val="center"/>
          </w:tcPr>
          <w:p>
            <w:r>
              <w:rPr>
                <w:sz w:val="14"/>
              </w:rPr>
              <w:t>Legal response alternatives</w:t>
            </w:r>
          </w:p>
        </w:tc>
        <w:tc>
          <w:tcPr>
            <w:tcW w:type="dxa" w:w="2642"/>
            <w:tcMar>
              <w:top w:w="55" w:type="dxa"/>
              <w:start w:w="65" w:type="dxa"/>
              <w:bottom w:w="55" w:type="dxa"/>
              <w:end w:w="65" w:type="dxa"/>
            </w:tcMar>
            <w:vAlign w:val="center"/>
          </w:tcPr>
          <w:p>
            <w:r>
              <w:rPr>
                <w:sz w:val="14"/>
              </w:rPr>
              <w:t>Determines required third-day communication.</w:t>
            </w:r>
          </w:p>
        </w:tc>
        <w:tc>
          <w:tcPr>
            <w:tcW w:type="dxa" w:w="2642"/>
            <w:tcMar>
              <w:top w:w="55" w:type="dxa"/>
              <w:start w:w="65" w:type="dxa"/>
              <w:bottom w:w="55" w:type="dxa"/>
              <w:end w:w="65" w:type="dxa"/>
            </w:tcMar>
            <w:vAlign w:val="center"/>
          </w:tcPr>
          <w:p>
            <w:r>
              <w:rPr>
                <w:sz w:val="14"/>
              </w:rPr>
              <w:t>Delay requires cause, place, and earliest availability date.</w:t>
            </w:r>
          </w:p>
        </w:tc>
      </w:tr>
      <w:tr>
        <w:trPr>
          <w:cantSplit/>
        </w:trPr>
        <w:tc>
          <w:tcPr>
            <w:tcW w:type="dxa" w:w="2642"/>
            <w:tcMar>
              <w:top w:w="55" w:type="dxa"/>
              <w:start w:w="65" w:type="dxa"/>
              <w:bottom w:w="55" w:type="dxa"/>
              <w:end w:w="65" w:type="dxa"/>
            </w:tcMar>
            <w:vAlign w:val="center"/>
            <w:shd w:fill="F8FAFC"/>
          </w:tcPr>
          <w:p>
            <w:r>
              <w:rPr>
                <w:sz w:val="14"/>
              </w:rPr>
              <w:t>High-cost request</w:t>
            </w:r>
          </w:p>
        </w:tc>
        <w:tc>
          <w:tcPr>
            <w:tcW w:type="dxa" w:w="2642"/>
            <w:tcMar>
              <w:top w:w="55" w:type="dxa"/>
              <w:start w:w="65" w:type="dxa"/>
              <w:bottom w:w="55" w:type="dxa"/>
              <w:end w:w="65" w:type="dxa"/>
            </w:tcMar>
            <w:vAlign w:val="center"/>
            <w:shd w:fill="F8FAFC"/>
          </w:tcPr>
          <w:p>
            <w:r>
              <w:rPr>
                <w:sz w:val="14"/>
              </w:rPr>
              <w:t>Legal/fee</w:t>
            </w:r>
          </w:p>
        </w:tc>
        <w:tc>
          <w:tcPr>
            <w:tcW w:type="dxa" w:w="2642"/>
            <w:tcMar>
              <w:top w:w="55" w:type="dxa"/>
              <w:start w:w="65" w:type="dxa"/>
              <w:bottom w:w="55" w:type="dxa"/>
              <w:end w:w="65" w:type="dxa"/>
            </w:tcMar>
            <w:vAlign w:val="center"/>
            <w:shd w:fill="F8FAFC"/>
          </w:tcPr>
          <w:p>
            <w:r>
              <w:rPr>
                <w:sz w:val="14"/>
              </w:rPr>
              <w:t>Staff time &gt;5 hours or estimated staff cost &gt;$200.</w:t>
            </w:r>
          </w:p>
        </w:tc>
        <w:tc>
          <w:tcPr>
            <w:tcW w:type="dxa" w:w="2642"/>
            <w:tcMar>
              <w:top w:w="55" w:type="dxa"/>
              <w:start w:w="65" w:type="dxa"/>
              <w:bottom w:w="55" w:type="dxa"/>
              <w:end w:w="65" w:type="dxa"/>
            </w:tcMar>
            <w:vAlign w:val="center"/>
            <w:shd w:fill="F8FAFC"/>
          </w:tcPr>
          <w:p>
            <w:r>
              <w:rPr>
                <w:sz w:val="14"/>
              </w:rPr>
              <w:t>Mandatory contact/mitigation branch; 3-day nonresponse withdrawal.</w:t>
            </w:r>
          </w:p>
        </w:tc>
      </w:tr>
      <w:tr>
        <w:trPr>
          <w:cantSplit/>
        </w:trPr>
        <w:tc>
          <w:tcPr>
            <w:tcW w:type="dxa" w:w="2642"/>
            <w:tcMar>
              <w:top w:w="55" w:type="dxa"/>
              <w:start w:w="65" w:type="dxa"/>
              <w:bottom w:w="55" w:type="dxa"/>
              <w:end w:w="65" w:type="dxa"/>
            </w:tcMar>
            <w:vAlign w:val="center"/>
          </w:tcPr>
          <w:p>
            <w:r>
              <w:rPr>
                <w:sz w:val="14"/>
              </w:rPr>
              <w:t>Unreasonable burden / disruptive repeated requests</w:t>
            </w:r>
          </w:p>
        </w:tc>
        <w:tc>
          <w:tcPr>
            <w:tcW w:type="dxa" w:w="2642"/>
            <w:tcMar>
              <w:top w:w="55" w:type="dxa"/>
              <w:start w:w="65" w:type="dxa"/>
              <w:bottom w:w="55" w:type="dxa"/>
              <w:end w:w="65" w:type="dxa"/>
            </w:tcMar>
            <w:vAlign w:val="center"/>
          </w:tcPr>
          <w:p>
            <w:r>
              <w:rPr>
                <w:sz w:val="14"/>
              </w:rPr>
              <w:t>Legal refusal ground</w:t>
            </w:r>
          </w:p>
        </w:tc>
        <w:tc>
          <w:tcPr>
            <w:tcW w:type="dxa" w:w="2642"/>
            <w:tcMar>
              <w:top w:w="55" w:type="dxa"/>
              <w:start w:w="65" w:type="dxa"/>
              <w:bottom w:w="55" w:type="dxa"/>
              <w:end w:w="65" w:type="dxa"/>
            </w:tcMar>
            <w:vAlign w:val="center"/>
          </w:tcPr>
          <w:p>
            <w:r>
              <w:rPr>
                <w:sz w:val="14"/>
              </w:rPr>
              <w:t>Requires evidentiary support.</w:t>
            </w:r>
          </w:p>
        </w:tc>
        <w:tc>
          <w:tcPr>
            <w:tcW w:type="dxa" w:w="2642"/>
            <w:tcMar>
              <w:top w:w="55" w:type="dxa"/>
              <w:start w:w="65" w:type="dxa"/>
              <w:bottom w:w="55" w:type="dxa"/>
              <w:end w:w="65" w:type="dxa"/>
            </w:tcMar>
            <w:vAlign w:val="center"/>
          </w:tcPr>
          <w:p>
            <w:r>
              <w:rPr>
                <w:sz w:val="14"/>
              </w:rPr>
              <w:t>No automatic numeric threshold.</w:t>
            </w:r>
          </w:p>
        </w:tc>
      </w:tr>
      <w:tr>
        <w:trPr>
          <w:cantSplit/>
        </w:trPr>
        <w:tc>
          <w:tcPr>
            <w:tcW w:type="dxa" w:w="2642"/>
            <w:tcMar>
              <w:top w:w="55" w:type="dxa"/>
              <w:start w:w="65" w:type="dxa"/>
              <w:bottom w:w="55" w:type="dxa"/>
              <w:end w:w="65" w:type="dxa"/>
            </w:tcMar>
            <w:vAlign w:val="center"/>
            <w:shd w:fill="F8FAFC"/>
          </w:tcPr>
          <w:p>
            <w:r>
              <w:rPr>
                <w:sz w:val="14"/>
              </w:rPr>
              <w:t>Simple / complex / voluminous</w:t>
            </w:r>
          </w:p>
        </w:tc>
        <w:tc>
          <w:tcPr>
            <w:tcW w:type="dxa" w:w="2642"/>
            <w:tcMar>
              <w:top w:w="55" w:type="dxa"/>
              <w:start w:w="65" w:type="dxa"/>
              <w:bottom w:w="55" w:type="dxa"/>
              <w:end w:w="65" w:type="dxa"/>
            </w:tcMar>
            <w:vAlign w:val="center"/>
            <w:shd w:fill="F8FAFC"/>
          </w:tcPr>
          <w:p>
            <w:r>
              <w:rPr>
                <w:sz w:val="14"/>
              </w:rPr>
              <w:t>Operational</w:t>
            </w:r>
          </w:p>
        </w:tc>
        <w:tc>
          <w:tcPr>
            <w:tcW w:type="dxa" w:w="2642"/>
            <w:tcMar>
              <w:top w:w="55" w:type="dxa"/>
              <w:start w:w="65" w:type="dxa"/>
              <w:bottom w:w="55" w:type="dxa"/>
              <w:end w:w="65" w:type="dxa"/>
            </w:tcMar>
            <w:vAlign w:val="center"/>
            <w:shd w:fill="F8FAFC"/>
          </w:tcPr>
          <w:p>
            <w:r>
              <w:rPr>
                <w:sz w:val="14"/>
              </w:rPr>
              <w:t>Assignment and service goals.</w:t>
            </w:r>
          </w:p>
        </w:tc>
        <w:tc>
          <w:tcPr>
            <w:tcW w:type="dxa" w:w="2642"/>
            <w:tcMar>
              <w:top w:w="55" w:type="dxa"/>
              <w:start w:w="65" w:type="dxa"/>
              <w:bottom w:w="55" w:type="dxa"/>
              <w:end w:w="65" w:type="dxa"/>
            </w:tcMar>
            <w:vAlign w:val="center"/>
            <w:shd w:fill="F8FAFC"/>
          </w:tcPr>
          <w:p>
            <w:r>
              <w:rPr>
                <w:sz w:val="14"/>
              </w:rPr>
              <w:t>Cannot replace third-day action or high-cost rule.</w:t>
            </w:r>
          </w:p>
        </w:tc>
      </w:tr>
    </w:tbl>
    <w:p>
      <w:pPr>
        <w:pStyle w:val="Heading1"/>
      </w:pPr>
      <w:r>
        <w:t>8. Large Volume, Redaction, Programming, and Electronic Records</w:t>
      </w:r>
    </w:p>
    <w:p>
      <w:pPr>
        <w:pStyle w:val="ListBullet"/>
        <w:spacing w:after="30"/>
      </w:pPr>
      <w:r>
        <w:t>Large volume may justify a later availability date, but the third-business-day response must still give a detailed reason and earliest expected availability.</w:t>
      </w:r>
    </w:p>
    <w:p>
      <w:pPr>
        <w:pStyle w:val="ListBullet"/>
        <w:spacing w:after="30"/>
      </w:pPr>
      <w:r>
        <w:t>The high-cost branch is triggered by staff hours or staff cost, not merely page count. The system must estimate and track both.</w:t>
      </w:r>
    </w:p>
    <w:p>
      <w:pPr>
        <w:pStyle w:val="ListBullet"/>
        <w:spacing w:after="30"/>
      </w:pPr>
      <w:r>
        <w:t>Electronic/computer access charges are limited to authorized actual computer services and staff time; local rates should map to the lowest-cost qualified staff.</w:t>
      </w:r>
    </w:p>
    <w:p>
      <w:pPr>
        <w:pStyle w:val="ListBullet"/>
        <w:spacing w:after="30"/>
      </w:pPr>
      <w:r>
        <w:t>Review and redaction are allowable actual-cost components under current law, but incidental overhead not attributable to furnishing records is excluded.</w:t>
      </w:r>
    </w:p>
    <w:p>
      <w:pPr>
        <w:pStyle w:val="Heading1"/>
      </w:pPr>
      <w:r>
        <w:t>9. Fee Estimate, Deposit, Payment, and Reconciliation Workflow</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Fee component / trigger</w:t>
            </w:r>
          </w:p>
        </w:tc>
        <w:tc>
          <w:tcPr>
            <w:tcW w:type="dxa" w:w="2642"/>
            <w:shd w:fill="17365D"/>
            <w:tcMar>
              <w:top w:w="55" w:type="dxa"/>
              <w:start w:w="65" w:type="dxa"/>
              <w:bottom w:w="55" w:type="dxa"/>
              <w:end w:w="65" w:type="dxa"/>
            </w:tcMar>
          </w:tcPr>
          <w:p>
            <w:pPr>
              <w:jc w:val="center"/>
            </w:pPr>
            <w:r>
              <w:rPr>
                <w:b/>
                <w:color w:val="FFFFFF"/>
                <w:sz w:val="14"/>
              </w:rPr>
              <w:t>Statewide rule</w:t>
            </w:r>
          </w:p>
        </w:tc>
        <w:tc>
          <w:tcPr>
            <w:tcW w:type="dxa" w:w="2642"/>
            <w:shd w:fill="17365D"/>
            <w:tcMar>
              <w:top w:w="55" w:type="dxa"/>
              <w:start w:w="65" w:type="dxa"/>
              <w:bottom w:w="55" w:type="dxa"/>
              <w:end w:w="65" w:type="dxa"/>
            </w:tcMar>
          </w:tcPr>
          <w:p>
            <w:pPr>
              <w:jc w:val="center"/>
            </w:pPr>
            <w:r>
              <w:rPr>
                <w:b/>
                <w:color w:val="FFFFFF"/>
                <w:sz w:val="14"/>
              </w:rPr>
              <w:t>Estimate / payment timing</w:t>
            </w:r>
          </w:p>
        </w:tc>
        <w:tc>
          <w:tcPr>
            <w:tcW w:type="dxa" w:w="2642"/>
            <w:shd w:fill="17365D"/>
            <w:tcMar>
              <w:top w:w="55" w:type="dxa"/>
              <w:start w:w="65" w:type="dxa"/>
              <w:bottom w:w="55" w:type="dxa"/>
              <w:end w:w="65" w:type="dxa"/>
            </w:tcMar>
          </w:tcPr>
          <w:p>
            <w:pPr>
              <w:jc w:val="center"/>
            </w:pPr>
            <w:r>
              <w:rPr>
                <w:b/>
                <w:color w:val="FFFFFF"/>
                <w:sz w:val="14"/>
              </w:rPr>
              <w:t>Configuration treatment</w:t>
            </w:r>
          </w:p>
        </w:tc>
      </w:tr>
      <w:tr>
        <w:trPr>
          <w:cantSplit/>
        </w:trPr>
        <w:tc>
          <w:tcPr>
            <w:tcW w:type="dxa" w:w="2642"/>
            <w:tcMar>
              <w:top w:w="55" w:type="dxa"/>
              <w:start w:w="65" w:type="dxa"/>
              <w:bottom w:w="55" w:type="dxa"/>
              <w:end w:w="65" w:type="dxa"/>
            </w:tcMar>
            <w:vAlign w:val="center"/>
          </w:tcPr>
          <w:p>
            <w:r>
              <w:rPr>
                <w:sz w:val="14"/>
              </w:rPr>
              <w:t>Copies / access</w:t>
            </w:r>
          </w:p>
        </w:tc>
        <w:tc>
          <w:tcPr>
            <w:tcW w:type="dxa" w:w="2642"/>
            <w:tcMar>
              <w:top w:w="55" w:type="dxa"/>
              <w:start w:w="65" w:type="dxa"/>
              <w:bottom w:w="55" w:type="dxa"/>
              <w:end w:w="65" w:type="dxa"/>
            </w:tcMar>
            <w:vAlign w:val="center"/>
          </w:tcPr>
          <w:p>
            <w:r>
              <w:rPr>
                <w:sz w:val="14"/>
              </w:rPr>
              <w:t>Reasonable fees not exceeding actual cost; review and redaction may be included.</w:t>
            </w:r>
          </w:p>
        </w:tc>
        <w:tc>
          <w:tcPr>
            <w:tcW w:type="dxa" w:w="2642"/>
            <w:tcMar>
              <w:top w:w="55" w:type="dxa"/>
              <w:start w:w="65" w:type="dxa"/>
              <w:bottom w:w="55" w:type="dxa"/>
              <w:end w:w="65" w:type="dxa"/>
            </w:tcMar>
            <w:vAlign w:val="center"/>
          </w:tcPr>
          <w:p>
            <w:r>
              <w:rPr>
                <w:sz w:val="14"/>
              </w:rPr>
              <w:t>Estimate and advance payment may be required.</w:t>
            </w:r>
          </w:p>
        </w:tc>
        <w:tc>
          <w:tcPr>
            <w:tcW w:type="dxa" w:w="2642"/>
            <w:tcMar>
              <w:top w:w="55" w:type="dxa"/>
              <w:start w:w="65" w:type="dxa"/>
              <w:bottom w:w="55" w:type="dxa"/>
              <w:end w:w="65" w:type="dxa"/>
            </w:tcMar>
            <w:vAlign w:val="center"/>
          </w:tcPr>
          <w:p>
            <w:r>
              <w:rPr>
                <w:sz w:val="14"/>
              </w:rPr>
              <w:t>Local schedule constrained by actual cost.</w:t>
            </w:r>
          </w:p>
        </w:tc>
      </w:tr>
      <w:tr>
        <w:trPr>
          <w:cantSplit/>
        </w:trPr>
        <w:tc>
          <w:tcPr>
            <w:tcW w:type="dxa" w:w="2642"/>
            <w:tcMar>
              <w:top w:w="55" w:type="dxa"/>
              <w:start w:w="65" w:type="dxa"/>
              <w:bottom w:w="55" w:type="dxa"/>
              <w:end w:w="65" w:type="dxa"/>
            </w:tcMar>
            <w:vAlign w:val="center"/>
            <w:shd w:fill="F8FAFC"/>
          </w:tcPr>
          <w:p>
            <w:r>
              <w:rPr>
                <w:sz w:val="14"/>
              </w:rPr>
              <w:t>Staff time</w:t>
            </w:r>
          </w:p>
        </w:tc>
        <w:tc>
          <w:tcPr>
            <w:tcW w:type="dxa" w:w="2642"/>
            <w:tcMar>
              <w:top w:w="55" w:type="dxa"/>
              <w:start w:w="65" w:type="dxa"/>
              <w:bottom w:w="55" w:type="dxa"/>
              <w:end w:w="65" w:type="dxa"/>
            </w:tcMar>
            <w:vAlign w:val="center"/>
            <w:shd w:fill="F8FAFC"/>
          </w:tcPr>
          <w:p>
            <w:r>
              <w:rPr>
                <w:sz w:val="14"/>
              </w:rPr>
              <w:t>Lowest-cost category reasonably necessary; salary/hourly wage only, no benefits.</w:t>
            </w:r>
          </w:p>
        </w:tc>
        <w:tc>
          <w:tcPr>
            <w:tcW w:type="dxa" w:w="2642"/>
            <w:tcMar>
              <w:top w:w="55" w:type="dxa"/>
              <w:start w:w="65" w:type="dxa"/>
              <w:bottom w:w="55" w:type="dxa"/>
              <w:end w:w="65" w:type="dxa"/>
            </w:tcMar>
            <w:vAlign w:val="center"/>
            <w:shd w:fill="F8FAFC"/>
          </w:tcPr>
          <w:p>
            <w:r>
              <w:rPr>
                <w:sz w:val="14"/>
              </w:rPr>
              <w:t>Use in estimate and actual reconciliation.</w:t>
            </w:r>
          </w:p>
        </w:tc>
        <w:tc>
          <w:tcPr>
            <w:tcW w:type="dxa" w:w="2642"/>
            <w:tcMar>
              <w:top w:w="55" w:type="dxa"/>
              <w:start w:w="65" w:type="dxa"/>
              <w:bottom w:w="55" w:type="dxa"/>
              <w:end w:w="65" w:type="dxa"/>
            </w:tcMar>
            <w:vAlign w:val="center"/>
            <w:shd w:fill="F8FAFC"/>
          </w:tcPr>
          <w:p>
            <w:r>
              <w:rPr>
                <w:sz w:val="14"/>
              </w:rPr>
              <w:t>Role/rate evidence required.</w:t>
            </w:r>
          </w:p>
        </w:tc>
      </w:tr>
      <w:tr>
        <w:trPr>
          <w:cantSplit/>
        </w:trPr>
        <w:tc>
          <w:tcPr>
            <w:tcW w:type="dxa" w:w="2642"/>
            <w:tcMar>
              <w:top w:w="55" w:type="dxa"/>
              <w:start w:w="65" w:type="dxa"/>
              <w:bottom w:w="55" w:type="dxa"/>
              <w:end w:w="65" w:type="dxa"/>
            </w:tcMar>
            <w:vAlign w:val="center"/>
          </w:tcPr>
          <w:p>
            <w:r>
              <w:rPr>
                <w:sz w:val="14"/>
              </w:rPr>
              <w:t>High-cost engagement</w:t>
            </w:r>
          </w:p>
        </w:tc>
        <w:tc>
          <w:tcPr>
            <w:tcW w:type="dxa" w:w="2642"/>
            <w:tcMar>
              <w:top w:w="55" w:type="dxa"/>
              <w:start w:w="65" w:type="dxa"/>
              <w:bottom w:w="55" w:type="dxa"/>
              <w:end w:w="65" w:type="dxa"/>
            </w:tcMar>
            <w:vAlign w:val="center"/>
          </w:tcPr>
          <w:p>
            <w:r>
              <w:rPr>
                <w:sz w:val="14"/>
              </w:rPr>
              <w:t>&gt;5 staff hours or &gt;$200 estimated staff cost.</w:t>
            </w:r>
          </w:p>
        </w:tc>
        <w:tc>
          <w:tcPr>
            <w:tcW w:type="dxa" w:w="2642"/>
            <w:tcMar>
              <w:top w:w="55" w:type="dxa"/>
              <w:start w:w="65" w:type="dxa"/>
              <w:bottom w:w="55" w:type="dxa"/>
              <w:end w:w="65" w:type="dxa"/>
            </w:tcMar>
            <w:vAlign w:val="center"/>
          </w:tcPr>
          <w:p>
            <w:r>
              <w:rPr>
                <w:sz w:val="14"/>
              </w:rPr>
              <w:t>Contact before proceeding; requester may decline to mitigate.</w:t>
            </w:r>
          </w:p>
        </w:tc>
        <w:tc>
          <w:tcPr>
            <w:tcW w:type="dxa" w:w="2642"/>
            <w:tcMar>
              <w:top w:w="55" w:type="dxa"/>
              <w:start w:w="65" w:type="dxa"/>
              <w:bottom w:w="55" w:type="dxa"/>
              <w:end w:w="65" w:type="dxa"/>
            </w:tcMar>
            <w:vAlign w:val="center"/>
          </w:tcPr>
          <w:p>
            <w:r>
              <w:rPr>
                <w:sz w:val="14"/>
              </w:rPr>
              <w:t>State trigger and communication.</w:t>
            </w:r>
          </w:p>
        </w:tc>
      </w:tr>
      <w:tr>
        <w:trPr>
          <w:cantSplit/>
        </w:trPr>
        <w:tc>
          <w:tcPr>
            <w:tcW w:type="dxa" w:w="2642"/>
            <w:tcMar>
              <w:top w:w="55" w:type="dxa"/>
              <w:start w:w="65" w:type="dxa"/>
              <w:bottom w:w="55" w:type="dxa"/>
              <w:end w:w="65" w:type="dxa"/>
            </w:tcMar>
            <w:vAlign w:val="center"/>
            <w:shd w:fill="F8FAFC"/>
          </w:tcPr>
          <w:p>
            <w:r>
              <w:rPr>
                <w:sz w:val="14"/>
              </w:rPr>
              <w:t>Itemized cost statement</w:t>
            </w:r>
          </w:p>
        </w:tc>
        <w:tc>
          <w:tcPr>
            <w:tcW w:type="dxa" w:w="2642"/>
            <w:tcMar>
              <w:top w:w="55" w:type="dxa"/>
              <w:start w:w="65" w:type="dxa"/>
              <w:bottom w:w="55" w:type="dxa"/>
              <w:end w:w="65" w:type="dxa"/>
            </w:tcMar>
            <w:vAlign w:val="center"/>
            <w:shd w:fill="F8FAFC"/>
          </w:tcPr>
          <w:p>
            <w:r>
              <w:rPr>
                <w:sz w:val="14"/>
              </w:rPr>
              <w:t>Must be provided upon request.</w:t>
            </w:r>
          </w:p>
        </w:tc>
        <w:tc>
          <w:tcPr>
            <w:tcW w:type="dxa" w:w="2642"/>
            <w:tcMar>
              <w:top w:w="55" w:type="dxa"/>
              <w:start w:w="65" w:type="dxa"/>
              <w:bottom w:w="55" w:type="dxa"/>
              <w:end w:w="65" w:type="dxa"/>
            </w:tcMar>
            <w:vAlign w:val="center"/>
            <w:shd w:fill="F8FAFC"/>
          </w:tcPr>
          <w:p>
            <w:r>
              <w:rPr>
                <w:sz w:val="14"/>
              </w:rPr>
              <w:t>After/with invoice or reconciliation.</w:t>
            </w:r>
          </w:p>
        </w:tc>
        <w:tc>
          <w:tcPr>
            <w:tcW w:type="dxa" w:w="2642"/>
            <w:tcMar>
              <w:top w:w="55" w:type="dxa"/>
              <w:start w:w="65" w:type="dxa"/>
              <w:bottom w:w="55" w:type="dxa"/>
              <w:end w:w="65" w:type="dxa"/>
            </w:tcMar>
            <w:vAlign w:val="center"/>
            <w:shd w:fill="F8FAFC"/>
          </w:tcPr>
          <w:p>
            <w:r>
              <w:rPr>
                <w:sz w:val="14"/>
              </w:rPr>
              <w:t>Store staff rates and all fee components.</w:t>
            </w:r>
          </w:p>
        </w:tc>
      </w:tr>
      <w:tr>
        <w:trPr>
          <w:cantSplit/>
        </w:trPr>
        <w:tc>
          <w:tcPr>
            <w:tcW w:type="dxa" w:w="2642"/>
            <w:tcMar>
              <w:top w:w="55" w:type="dxa"/>
              <w:start w:w="65" w:type="dxa"/>
              <w:bottom w:w="55" w:type="dxa"/>
              <w:end w:w="65" w:type="dxa"/>
            </w:tcMar>
            <w:vAlign w:val="center"/>
          </w:tcPr>
          <w:p>
            <w:r>
              <w:rPr>
                <w:sz w:val="14"/>
              </w:rPr>
              <w:t>Advance payment</w:t>
            </w:r>
          </w:p>
        </w:tc>
        <w:tc>
          <w:tcPr>
            <w:tcW w:type="dxa" w:w="2642"/>
            <w:tcMar>
              <w:top w:w="55" w:type="dxa"/>
              <w:start w:w="65" w:type="dxa"/>
              <w:bottom w:w="55" w:type="dxa"/>
              <w:end w:w="65" w:type="dxa"/>
            </w:tcMar>
            <w:vAlign w:val="center"/>
          </w:tcPr>
          <w:p>
            <w:r>
              <w:rPr>
                <w:sz w:val="14"/>
              </w:rPr>
              <w:t>Permitted for copies/fees.</w:t>
            </w:r>
          </w:p>
        </w:tc>
        <w:tc>
          <w:tcPr>
            <w:tcW w:type="dxa" w:w="2642"/>
            <w:tcMar>
              <w:top w:w="55" w:type="dxa"/>
              <w:start w:w="65" w:type="dxa"/>
              <w:bottom w:w="55" w:type="dxa"/>
              <w:end w:w="65" w:type="dxa"/>
            </w:tcMar>
            <w:vAlign w:val="center"/>
          </w:tcPr>
          <w:p>
            <w:r>
              <w:rPr>
                <w:sz w:val="14"/>
              </w:rPr>
              <w:t>Before work or release under local policy.</w:t>
            </w:r>
          </w:p>
        </w:tc>
        <w:tc>
          <w:tcPr>
            <w:tcW w:type="dxa" w:w="2642"/>
            <w:tcMar>
              <w:top w:w="55" w:type="dxa"/>
              <w:start w:w="65" w:type="dxa"/>
              <w:bottom w:w="55" w:type="dxa"/>
              <w:end w:w="65" w:type="dxa"/>
            </w:tcMar>
            <w:vAlign w:val="center"/>
          </w:tcPr>
          <w:p>
            <w:r>
              <w:rPr>
                <w:sz w:val="14"/>
              </w:rPr>
              <w:t>Payment gate; refund excess.</w:t>
            </w:r>
          </w:p>
        </w:tc>
      </w:tr>
    </w:tbl>
    <w:p>
      <w:pPr>
        <w:pStyle w:val="Heading1"/>
      </w:pPr>
      <w:r>
        <w:t>10. Normalized Software Rules</w:t>
      </w:r>
    </w:p>
    <w:tbl>
      <w:tblPr>
        <w:tblStyle w:val="TableGrid"/>
        <w:tblW w:type="auto" w:w="0"/>
        <w:jc w:val="center"/>
        <w:tblLayout w:type="autofit"/>
        <w:tblLook w:firstColumn="1" w:firstRow="1" w:lastColumn="0" w:lastRow="0" w:noHBand="0" w:noVBand="1" w:val="04A0"/>
      </w:tblPr>
      <w:tblGrid>
        <w:gridCol w:w="2114"/>
        <w:gridCol w:w="2114"/>
        <w:gridCol w:w="2114"/>
        <w:gridCol w:w="2114"/>
        <w:gridCol w:w="2114"/>
      </w:tblGrid>
      <w:tr>
        <w:trPr>
          <w:tblHeader w:val="true"/>
          <w:cantSplit/>
        </w:trPr>
        <w:tc>
          <w:tcPr>
            <w:tcW w:type="dxa" w:w="2114"/>
            <w:shd w:fill="17365D"/>
            <w:tcMar>
              <w:top w:w="55" w:type="dxa"/>
              <w:start w:w="65" w:type="dxa"/>
              <w:bottom w:w="55" w:type="dxa"/>
              <w:end w:w="65" w:type="dxa"/>
            </w:tcMar>
          </w:tcPr>
          <w:p>
            <w:pPr>
              <w:jc w:val="center"/>
            </w:pPr>
            <w:r>
              <w:rPr>
                <w:b/>
                <w:color w:val="FFFFFF"/>
                <w:sz w:val="13"/>
              </w:rPr>
              <w:t>Rule</w:t>
            </w:r>
          </w:p>
        </w:tc>
        <w:tc>
          <w:tcPr>
            <w:tcW w:type="dxa" w:w="2114"/>
            <w:shd w:fill="17365D"/>
            <w:tcMar>
              <w:top w:w="55" w:type="dxa"/>
              <w:start w:w="65" w:type="dxa"/>
              <w:bottom w:w="55" w:type="dxa"/>
              <w:end w:w="65" w:type="dxa"/>
            </w:tcMar>
          </w:tcPr>
          <w:p>
            <w:pPr>
              <w:jc w:val="center"/>
            </w:pPr>
            <w:r>
              <w:rPr>
                <w:b/>
                <w:color w:val="FFFFFF"/>
                <w:sz w:val="13"/>
              </w:rPr>
              <w:t>Trigger / conditions</w:t>
            </w:r>
          </w:p>
        </w:tc>
        <w:tc>
          <w:tcPr>
            <w:tcW w:type="dxa" w:w="2114"/>
            <w:shd w:fill="17365D"/>
            <w:tcMar>
              <w:top w:w="55" w:type="dxa"/>
              <w:start w:w="65" w:type="dxa"/>
              <w:bottom w:w="55" w:type="dxa"/>
              <w:end w:w="65" w:type="dxa"/>
            </w:tcMar>
          </w:tcPr>
          <w:p>
            <w:pPr>
              <w:jc w:val="center"/>
            </w:pPr>
            <w:r>
              <w:rPr>
                <w:b/>
                <w:color w:val="FFFFFF"/>
                <w:sz w:val="13"/>
              </w:rPr>
              <w:t>Required action &amp; communication</w:t>
            </w:r>
          </w:p>
        </w:tc>
        <w:tc>
          <w:tcPr>
            <w:tcW w:type="dxa" w:w="2114"/>
            <w:shd w:fill="17365D"/>
            <w:tcMar>
              <w:top w:w="55" w:type="dxa"/>
              <w:start w:w="65" w:type="dxa"/>
              <w:bottom w:w="55" w:type="dxa"/>
              <w:end w:w="65" w:type="dxa"/>
            </w:tcMar>
          </w:tcPr>
          <w:p>
            <w:pPr>
              <w:jc w:val="center"/>
            </w:pPr>
            <w:r>
              <w:rPr>
                <w:b/>
                <w:color w:val="FFFFFF"/>
                <w:sz w:val="13"/>
              </w:rPr>
              <w:t>Deadline / clock effect</w:t>
            </w:r>
          </w:p>
        </w:tc>
        <w:tc>
          <w:tcPr>
            <w:tcW w:type="dxa" w:w="2114"/>
            <w:shd w:fill="17365D"/>
            <w:tcMar>
              <w:top w:w="55" w:type="dxa"/>
              <w:start w:w="65" w:type="dxa"/>
              <w:bottom w:w="55" w:type="dxa"/>
              <w:end w:w="65" w:type="dxa"/>
            </w:tcMar>
          </w:tcPr>
          <w:p>
            <w:pPr>
              <w:jc w:val="center"/>
            </w:pPr>
            <w:r>
              <w:rPr>
                <w:b/>
                <w:color w:val="FFFFFF"/>
                <w:sz w:val="13"/>
              </w:rPr>
              <w:t>Configuration, applicability &amp; authority</w:t>
            </w:r>
          </w:p>
        </w:tc>
      </w:tr>
      <w:tr>
        <w:trPr>
          <w:cantSplit/>
        </w:trPr>
        <w:tc>
          <w:tcPr>
            <w:tcW w:type="dxa" w:w="2114"/>
            <w:tcMar>
              <w:top w:w="55" w:type="dxa"/>
              <w:start w:w="65" w:type="dxa"/>
              <w:bottom w:w="55" w:type="dxa"/>
              <w:end w:w="65" w:type="dxa"/>
            </w:tcMar>
            <w:vAlign w:val="center"/>
          </w:tcPr>
          <w:p>
            <w:r>
              <w:rPr>
                <w:sz w:val="13"/>
              </w:rPr>
              <w:t>KS-INT-01</w:t>
            </w:r>
          </w:p>
        </w:tc>
        <w:tc>
          <w:tcPr>
            <w:tcW w:type="dxa" w:w="2114"/>
            <w:tcMar>
              <w:top w:w="55" w:type="dxa"/>
              <w:start w:w="65" w:type="dxa"/>
              <w:bottom w:w="55" w:type="dxa"/>
              <w:end w:w="65" w:type="dxa"/>
            </w:tcMar>
            <w:vAlign w:val="center"/>
          </w:tcPr>
          <w:p>
            <w:r>
              <w:rPr>
                <w:sz w:val="13"/>
              </w:rPr>
              <w:t>Request received.</w:t>
            </w:r>
          </w:p>
        </w:tc>
        <w:tc>
          <w:tcPr>
            <w:tcW w:type="dxa" w:w="2114"/>
            <w:tcMar>
              <w:top w:w="55" w:type="dxa"/>
              <w:start w:w="65" w:type="dxa"/>
              <w:bottom w:w="55" w:type="dxa"/>
              <w:end w:w="65" w:type="dxa"/>
            </w:tcMar>
            <w:vAlign w:val="center"/>
          </w:tcPr>
          <w:p>
            <w:r>
              <w:rPr>
                <w:sz w:val="13"/>
              </w:rPr>
              <w:t>Route under adopted procedure; assist with identification; do not reject for technicality unless impossible to determine records.</w:t>
            </w:r>
          </w:p>
        </w:tc>
        <w:tc>
          <w:tcPr>
            <w:tcW w:type="dxa" w:w="2114"/>
            <w:tcMar>
              <w:top w:w="55" w:type="dxa"/>
              <w:start w:w="65" w:type="dxa"/>
              <w:bottom w:w="55" w:type="dxa"/>
              <w:end w:w="65" w:type="dxa"/>
            </w:tcMar>
            <w:vAlign w:val="center"/>
          </w:tcPr>
          <w:p>
            <w:r>
              <w:rPr>
                <w:sz w:val="13"/>
              </w:rPr>
              <w:t>Immediate intake.</w:t>
            </w:r>
          </w:p>
        </w:tc>
        <w:tc>
          <w:tcPr>
            <w:tcW w:type="dxa" w:w="2114"/>
            <w:tcMar>
              <w:top w:w="55" w:type="dxa"/>
              <w:start w:w="65" w:type="dxa"/>
              <w:bottom w:w="55" w:type="dxa"/>
              <w:end w:w="65" w:type="dxa"/>
            </w:tcMar>
            <w:vAlign w:val="center"/>
          </w:tcPr>
          <w:p>
            <w:r>
              <w:rPr>
                <w:sz w:val="13"/>
              </w:rPr>
              <w:t>K.S.A. 45-220; cities.</w:t>
            </w:r>
          </w:p>
        </w:tc>
      </w:tr>
      <w:tr>
        <w:trPr>
          <w:cantSplit/>
        </w:trPr>
        <w:tc>
          <w:tcPr>
            <w:tcW w:type="dxa" w:w="2114"/>
            <w:tcMar>
              <w:top w:w="55" w:type="dxa"/>
              <w:start w:w="65" w:type="dxa"/>
              <w:bottom w:w="55" w:type="dxa"/>
              <w:end w:w="65" w:type="dxa"/>
            </w:tcMar>
            <w:vAlign w:val="center"/>
            <w:shd w:fill="F8FAFC"/>
          </w:tcPr>
          <w:p>
            <w:r>
              <w:rPr>
                <w:sz w:val="13"/>
              </w:rPr>
              <w:t>KS-ACT-01</w:t>
            </w:r>
          </w:p>
        </w:tc>
        <w:tc>
          <w:tcPr>
            <w:tcW w:type="dxa" w:w="2114"/>
            <w:tcMar>
              <w:top w:w="55" w:type="dxa"/>
              <w:start w:w="65" w:type="dxa"/>
              <w:bottom w:w="55" w:type="dxa"/>
              <w:end w:w="65" w:type="dxa"/>
            </w:tcMar>
            <w:vAlign w:val="center"/>
            <w:shd w:fill="F8FAFC"/>
          </w:tcPr>
          <w:p>
            <w:r>
              <w:rPr>
                <w:sz w:val="13"/>
              </w:rPr>
              <w:t>Effective request received.</w:t>
            </w:r>
          </w:p>
        </w:tc>
        <w:tc>
          <w:tcPr>
            <w:tcW w:type="dxa" w:w="2114"/>
            <w:tcMar>
              <w:top w:w="55" w:type="dxa"/>
              <w:start w:w="65" w:type="dxa"/>
              <w:bottom w:w="55" w:type="dxa"/>
              <w:end w:w="65" w:type="dxa"/>
            </w:tcMar>
            <w:vAlign w:val="center"/>
            <w:shd w:fill="F8FAFC"/>
          </w:tcPr>
          <w:p>
            <w:r>
              <w:rPr>
                <w:sz w:val="13"/>
              </w:rPr>
              <w:t>Grant, deny, or send detailed delay/availability notice.</w:t>
            </w:r>
          </w:p>
        </w:tc>
        <w:tc>
          <w:tcPr>
            <w:tcW w:type="dxa" w:w="2114"/>
            <w:tcMar>
              <w:top w:w="55" w:type="dxa"/>
              <w:start w:w="65" w:type="dxa"/>
              <w:bottom w:w="55" w:type="dxa"/>
              <w:end w:w="65" w:type="dxa"/>
            </w:tcMar>
            <w:vAlign w:val="center"/>
            <w:shd w:fill="F8FAFC"/>
          </w:tcPr>
          <w:p>
            <w:r>
              <w:rPr>
                <w:sz w:val="13"/>
              </w:rPr>
              <w:t>By end of 3rd business day.</w:t>
            </w:r>
          </w:p>
        </w:tc>
        <w:tc>
          <w:tcPr>
            <w:tcW w:type="dxa" w:w="2114"/>
            <w:tcMar>
              <w:top w:w="55" w:type="dxa"/>
              <w:start w:w="65" w:type="dxa"/>
              <w:bottom w:w="55" w:type="dxa"/>
              <w:end w:w="65" w:type="dxa"/>
            </w:tcMar>
            <w:vAlign w:val="center"/>
            <w:shd w:fill="F8FAFC"/>
          </w:tcPr>
          <w:p>
            <w:r>
              <w:rPr>
                <w:sz w:val="13"/>
              </w:rPr>
              <w:t>Mandatory; K.S.A. 45-218.</w:t>
            </w:r>
          </w:p>
        </w:tc>
      </w:tr>
      <w:tr>
        <w:trPr>
          <w:cantSplit/>
        </w:trPr>
        <w:tc>
          <w:tcPr>
            <w:tcW w:type="dxa" w:w="2114"/>
            <w:tcMar>
              <w:top w:w="55" w:type="dxa"/>
              <w:start w:w="65" w:type="dxa"/>
              <w:bottom w:w="55" w:type="dxa"/>
              <w:end w:w="65" w:type="dxa"/>
            </w:tcMar>
            <w:vAlign w:val="center"/>
          </w:tcPr>
          <w:p>
            <w:r>
              <w:rPr>
                <w:sz w:val="13"/>
              </w:rPr>
              <w:t>KS-DLY-01</w:t>
            </w:r>
          </w:p>
        </w:tc>
        <w:tc>
          <w:tcPr>
            <w:tcW w:type="dxa" w:w="2114"/>
            <w:tcMar>
              <w:top w:w="55" w:type="dxa"/>
              <w:start w:w="65" w:type="dxa"/>
              <w:bottom w:w="55" w:type="dxa"/>
              <w:end w:w="65" w:type="dxa"/>
            </w:tcMar>
            <w:vAlign w:val="center"/>
          </w:tcPr>
          <w:p>
            <w:r>
              <w:rPr>
                <w:sz w:val="13"/>
              </w:rPr>
              <w:t>Records not immediately available.</w:t>
            </w:r>
          </w:p>
        </w:tc>
        <w:tc>
          <w:tcPr>
            <w:tcW w:type="dxa" w:w="2114"/>
            <w:tcMar>
              <w:top w:w="55" w:type="dxa"/>
              <w:start w:w="65" w:type="dxa"/>
              <w:bottom w:w="55" w:type="dxa"/>
              <w:end w:w="65" w:type="dxa"/>
            </w:tcMar>
            <w:vAlign w:val="center"/>
          </w:tcPr>
          <w:p>
            <w:r>
              <w:rPr>
                <w:sz w:val="13"/>
              </w:rPr>
              <w:t>State detailed cause, place, and earliest time/date available.</w:t>
            </w:r>
          </w:p>
        </w:tc>
        <w:tc>
          <w:tcPr>
            <w:tcW w:type="dxa" w:w="2114"/>
            <w:tcMar>
              <w:top w:w="55" w:type="dxa"/>
              <w:start w:w="65" w:type="dxa"/>
              <w:bottom w:w="55" w:type="dxa"/>
              <w:end w:w="65" w:type="dxa"/>
            </w:tcMar>
            <w:vAlign w:val="center"/>
          </w:tcPr>
          <w:p>
            <w:r>
              <w:rPr>
                <w:sz w:val="13"/>
              </w:rPr>
              <w:t>Within initial 3-day response.</w:t>
            </w:r>
          </w:p>
        </w:tc>
        <w:tc>
          <w:tcPr>
            <w:tcW w:type="dxa" w:w="2114"/>
            <w:tcMar>
              <w:top w:w="55" w:type="dxa"/>
              <w:start w:w="65" w:type="dxa"/>
              <w:bottom w:w="55" w:type="dxa"/>
              <w:end w:w="65" w:type="dxa"/>
            </w:tcMar>
            <w:vAlign w:val="center"/>
          </w:tcPr>
          <w:p>
            <w:r>
              <w:rPr>
                <w:sz w:val="13"/>
              </w:rPr>
              <w:t>Mandatory communication.</w:t>
            </w:r>
          </w:p>
        </w:tc>
      </w:tr>
      <w:tr>
        <w:trPr>
          <w:cantSplit/>
        </w:trPr>
        <w:tc>
          <w:tcPr>
            <w:tcW w:type="dxa" w:w="2114"/>
            <w:tcMar>
              <w:top w:w="55" w:type="dxa"/>
              <w:start w:w="65" w:type="dxa"/>
              <w:bottom w:w="55" w:type="dxa"/>
              <w:end w:w="65" w:type="dxa"/>
            </w:tcMar>
            <w:vAlign w:val="center"/>
            <w:shd w:fill="F8FAFC"/>
          </w:tcPr>
          <w:p>
            <w:r>
              <w:rPr>
                <w:sz w:val="13"/>
              </w:rPr>
              <w:t>KS-DEN-01</w:t>
            </w:r>
          </w:p>
        </w:tc>
        <w:tc>
          <w:tcPr>
            <w:tcW w:type="dxa" w:w="2114"/>
            <w:tcMar>
              <w:top w:w="55" w:type="dxa"/>
              <w:start w:w="65" w:type="dxa"/>
              <w:bottom w:w="55" w:type="dxa"/>
              <w:end w:w="65" w:type="dxa"/>
            </w:tcMar>
            <w:vAlign w:val="center"/>
            <w:shd w:fill="F8FAFC"/>
          </w:tcPr>
          <w:p>
            <w:r>
              <w:rPr>
                <w:sz w:val="13"/>
              </w:rPr>
              <w:t>Requester asks for written denial grounds.</w:t>
            </w:r>
          </w:p>
        </w:tc>
        <w:tc>
          <w:tcPr>
            <w:tcW w:type="dxa" w:w="2114"/>
            <w:tcMar>
              <w:top w:w="55" w:type="dxa"/>
              <w:start w:w="65" w:type="dxa"/>
              <w:bottom w:w="55" w:type="dxa"/>
              <w:end w:w="65" w:type="dxa"/>
            </w:tcMar>
            <w:vAlign w:val="center"/>
            <w:shd w:fill="F8FAFC"/>
          </w:tcPr>
          <w:p>
            <w:r>
              <w:rPr>
                <w:sz w:val="13"/>
              </w:rPr>
              <w:t>Provide specific legal provision.</w:t>
            </w:r>
          </w:p>
        </w:tc>
        <w:tc>
          <w:tcPr>
            <w:tcW w:type="dxa" w:w="2114"/>
            <w:tcMar>
              <w:top w:w="55" w:type="dxa"/>
              <w:start w:w="65" w:type="dxa"/>
              <w:bottom w:w="55" w:type="dxa"/>
              <w:end w:w="65" w:type="dxa"/>
            </w:tcMar>
            <w:vAlign w:val="center"/>
            <w:shd w:fill="F8FAFC"/>
          </w:tcPr>
          <w:p>
            <w:r>
              <w:rPr>
                <w:sz w:val="13"/>
              </w:rPr>
              <w:t>By end of 3rd business day after request for statement.</w:t>
            </w:r>
          </w:p>
        </w:tc>
        <w:tc>
          <w:tcPr>
            <w:tcW w:type="dxa" w:w="2114"/>
            <w:tcMar>
              <w:top w:w="55" w:type="dxa"/>
              <w:start w:w="65" w:type="dxa"/>
              <w:bottom w:w="55" w:type="dxa"/>
              <w:end w:w="65" w:type="dxa"/>
            </w:tcMar>
            <w:vAlign w:val="center"/>
            <w:shd w:fill="F8FAFC"/>
          </w:tcPr>
          <w:p>
            <w:r>
              <w:rPr>
                <w:sz w:val="13"/>
              </w:rPr>
              <w:t>Separate timer.</w:t>
            </w:r>
          </w:p>
        </w:tc>
      </w:tr>
      <w:tr>
        <w:trPr>
          <w:cantSplit/>
        </w:trPr>
        <w:tc>
          <w:tcPr>
            <w:tcW w:type="dxa" w:w="2114"/>
            <w:tcMar>
              <w:top w:w="55" w:type="dxa"/>
              <w:start w:w="65" w:type="dxa"/>
              <w:bottom w:w="55" w:type="dxa"/>
              <w:end w:w="65" w:type="dxa"/>
            </w:tcMar>
            <w:vAlign w:val="center"/>
          </w:tcPr>
          <w:p>
            <w:r>
              <w:rPr>
                <w:sz w:val="13"/>
              </w:rPr>
              <w:t>KS-FEE-01</w:t>
            </w:r>
          </w:p>
        </w:tc>
        <w:tc>
          <w:tcPr>
            <w:tcW w:type="dxa" w:w="2114"/>
            <w:tcMar>
              <w:top w:w="55" w:type="dxa"/>
              <w:start w:w="65" w:type="dxa"/>
              <w:bottom w:w="55" w:type="dxa"/>
              <w:end w:w="65" w:type="dxa"/>
            </w:tcMar>
            <w:vAlign w:val="center"/>
          </w:tcPr>
          <w:p>
            <w:r>
              <w:rPr>
                <w:sz w:val="13"/>
              </w:rPr>
              <w:t>Authorized costs expected.</w:t>
            </w:r>
          </w:p>
        </w:tc>
        <w:tc>
          <w:tcPr>
            <w:tcW w:type="dxa" w:w="2114"/>
            <w:tcMar>
              <w:top w:w="55" w:type="dxa"/>
              <w:start w:w="65" w:type="dxa"/>
              <w:bottom w:w="55" w:type="dxa"/>
              <w:end w:w="65" w:type="dxa"/>
            </w:tcMar>
            <w:vAlign w:val="center"/>
          </w:tcPr>
          <w:p>
            <w:r>
              <w:rPr>
                <w:sz w:val="13"/>
              </w:rPr>
              <w:t>Estimate actual cost, lowest-cost qualified staff, no benefits; advance payment if policy invokes.</w:t>
            </w:r>
          </w:p>
        </w:tc>
        <w:tc>
          <w:tcPr>
            <w:tcW w:type="dxa" w:w="2114"/>
            <w:tcMar>
              <w:top w:w="55" w:type="dxa"/>
              <w:start w:w="65" w:type="dxa"/>
              <w:bottom w:w="55" w:type="dxa"/>
              <w:end w:w="65" w:type="dxa"/>
            </w:tcMar>
            <w:vAlign w:val="center"/>
          </w:tcPr>
          <w:p>
            <w:r>
              <w:rPr>
                <w:sz w:val="13"/>
              </w:rPr>
              <w:t>Before affected work.</w:t>
            </w:r>
          </w:p>
        </w:tc>
        <w:tc>
          <w:tcPr>
            <w:tcW w:type="dxa" w:w="2114"/>
            <w:tcMar>
              <w:top w:w="55" w:type="dxa"/>
              <w:start w:w="65" w:type="dxa"/>
              <w:bottom w:w="55" w:type="dxa"/>
              <w:end w:w="65" w:type="dxa"/>
            </w:tcMar>
            <w:vAlign w:val="center"/>
          </w:tcPr>
          <w:p>
            <w:r>
              <w:rPr>
                <w:sz w:val="13"/>
              </w:rPr>
              <w:t>K.S.A. 45-219.</w:t>
            </w:r>
          </w:p>
        </w:tc>
      </w:tr>
      <w:tr>
        <w:trPr>
          <w:cantSplit/>
        </w:trPr>
        <w:tc>
          <w:tcPr>
            <w:tcW w:type="dxa" w:w="2114"/>
            <w:tcMar>
              <w:top w:w="55" w:type="dxa"/>
              <w:start w:w="65" w:type="dxa"/>
              <w:bottom w:w="55" w:type="dxa"/>
              <w:end w:w="65" w:type="dxa"/>
            </w:tcMar>
            <w:vAlign w:val="center"/>
            <w:shd w:fill="F8FAFC"/>
          </w:tcPr>
          <w:p>
            <w:r>
              <w:rPr>
                <w:sz w:val="13"/>
              </w:rPr>
              <w:t>KS-HC-01</w:t>
            </w:r>
          </w:p>
        </w:tc>
        <w:tc>
          <w:tcPr>
            <w:tcW w:type="dxa" w:w="2114"/>
            <w:tcMar>
              <w:top w:w="55" w:type="dxa"/>
              <w:start w:w="65" w:type="dxa"/>
              <w:bottom w:w="55" w:type="dxa"/>
              <w:end w:w="65" w:type="dxa"/>
            </w:tcMar>
            <w:vAlign w:val="center"/>
            <w:shd w:fill="F8FAFC"/>
          </w:tcPr>
          <w:p>
            <w:r>
              <w:rPr>
                <w:sz w:val="13"/>
              </w:rPr>
              <w:t>&gt;5 staff hours or &gt;$200 staff cost expected.</w:t>
            </w:r>
          </w:p>
        </w:tc>
        <w:tc>
          <w:tcPr>
            <w:tcW w:type="dxa" w:w="2114"/>
            <w:tcMar>
              <w:top w:w="55" w:type="dxa"/>
              <w:start w:w="65" w:type="dxa"/>
              <w:bottom w:w="55" w:type="dxa"/>
              <w:end w:w="65" w:type="dxa"/>
            </w:tcMar>
            <w:vAlign w:val="center"/>
            <w:shd w:fill="F8FAFC"/>
          </w:tcPr>
          <w:p>
            <w:r>
              <w:rPr>
                <w:sz w:val="13"/>
              </w:rPr>
              <w:t>Contact through requester-provided means and engage about mitigation.</w:t>
            </w:r>
          </w:p>
        </w:tc>
        <w:tc>
          <w:tcPr>
            <w:tcW w:type="dxa" w:w="2114"/>
            <w:tcMar>
              <w:top w:w="55" w:type="dxa"/>
              <w:start w:w="65" w:type="dxa"/>
              <w:bottom w:w="55" w:type="dxa"/>
              <w:end w:w="65" w:type="dxa"/>
            </w:tcMar>
            <w:vAlign w:val="center"/>
            <w:shd w:fill="F8FAFC"/>
          </w:tcPr>
          <w:p>
            <w:r>
              <w:rPr>
                <w:sz w:val="13"/>
              </w:rPr>
              <w:t>Before substantial work.</w:t>
            </w:r>
          </w:p>
        </w:tc>
        <w:tc>
          <w:tcPr>
            <w:tcW w:type="dxa" w:w="2114"/>
            <w:tcMar>
              <w:top w:w="55" w:type="dxa"/>
              <w:start w:w="65" w:type="dxa"/>
              <w:bottom w:w="55" w:type="dxa"/>
              <w:end w:w="65" w:type="dxa"/>
            </w:tcMar>
            <w:vAlign w:val="center"/>
            <w:shd w:fill="F8FAFC"/>
          </w:tcPr>
          <w:p>
            <w:r>
              <w:rPr>
                <w:sz w:val="13"/>
              </w:rPr>
              <w:t>Mandatory; requester need not mitigate.</w:t>
            </w:r>
          </w:p>
        </w:tc>
      </w:tr>
      <w:tr>
        <w:trPr>
          <w:cantSplit/>
        </w:trPr>
        <w:tc>
          <w:tcPr>
            <w:tcW w:type="dxa" w:w="2114"/>
            <w:tcMar>
              <w:top w:w="55" w:type="dxa"/>
              <w:start w:w="65" w:type="dxa"/>
              <w:bottom w:w="55" w:type="dxa"/>
              <w:end w:w="65" w:type="dxa"/>
            </w:tcMar>
            <w:vAlign w:val="center"/>
          </w:tcPr>
          <w:p>
            <w:r>
              <w:rPr>
                <w:sz w:val="13"/>
              </w:rPr>
              <w:t>KS-HC-02</w:t>
            </w:r>
          </w:p>
        </w:tc>
        <w:tc>
          <w:tcPr>
            <w:tcW w:type="dxa" w:w="2114"/>
            <w:tcMar>
              <w:top w:w="55" w:type="dxa"/>
              <w:start w:w="65" w:type="dxa"/>
              <w:bottom w:w="55" w:type="dxa"/>
              <w:end w:w="65" w:type="dxa"/>
            </w:tcMar>
            <w:vAlign w:val="center"/>
          </w:tcPr>
          <w:p>
            <w:r>
              <w:rPr>
                <w:sz w:val="13"/>
              </w:rPr>
              <w:t>No requester response after high-cost contact.</w:t>
            </w:r>
          </w:p>
        </w:tc>
        <w:tc>
          <w:tcPr>
            <w:tcW w:type="dxa" w:w="2114"/>
            <w:tcMar>
              <w:top w:w="55" w:type="dxa"/>
              <w:start w:w="65" w:type="dxa"/>
              <w:bottom w:w="55" w:type="dxa"/>
              <w:end w:w="65" w:type="dxa"/>
            </w:tcMar>
            <w:vAlign w:val="center"/>
          </w:tcPr>
          <w:p>
            <w:r>
              <w:rPr>
                <w:sz w:val="13"/>
              </w:rPr>
              <w:t>Mark deemed withdrawn until subsequent contact.</w:t>
            </w:r>
          </w:p>
        </w:tc>
        <w:tc>
          <w:tcPr>
            <w:tcW w:type="dxa" w:w="2114"/>
            <w:tcMar>
              <w:top w:w="55" w:type="dxa"/>
              <w:start w:w="65" w:type="dxa"/>
              <w:bottom w:w="55" w:type="dxa"/>
              <w:end w:w="65" w:type="dxa"/>
            </w:tcMar>
            <w:vAlign w:val="center"/>
          </w:tcPr>
          <w:p>
            <w:r>
              <w:rPr>
                <w:sz w:val="13"/>
              </w:rPr>
              <w:t>End of 3rd business day.</w:t>
            </w:r>
          </w:p>
        </w:tc>
        <w:tc>
          <w:tcPr>
            <w:tcW w:type="dxa" w:w="2114"/>
            <w:tcMar>
              <w:top w:w="55" w:type="dxa"/>
              <w:start w:w="65" w:type="dxa"/>
              <w:bottom w:w="55" w:type="dxa"/>
              <w:end w:w="65" w:type="dxa"/>
            </w:tcMar>
            <w:vAlign w:val="center"/>
          </w:tcPr>
          <w:p>
            <w:r>
              <w:rPr>
                <w:sz w:val="13"/>
              </w:rPr>
              <w:t>Branch-specific nonresponse rule.</w:t>
            </w:r>
          </w:p>
        </w:tc>
      </w:tr>
      <w:tr>
        <w:trPr>
          <w:cantSplit/>
        </w:trPr>
        <w:tc>
          <w:tcPr>
            <w:tcW w:type="dxa" w:w="2114"/>
            <w:tcMar>
              <w:top w:w="55" w:type="dxa"/>
              <w:start w:w="65" w:type="dxa"/>
              <w:bottom w:w="55" w:type="dxa"/>
              <w:end w:w="65" w:type="dxa"/>
            </w:tcMar>
            <w:vAlign w:val="center"/>
            <w:shd w:fill="F8FAFC"/>
          </w:tcPr>
          <w:p>
            <w:r>
              <w:rPr>
                <w:sz w:val="13"/>
              </w:rPr>
              <w:t>KS-REC-01</w:t>
            </w:r>
          </w:p>
        </w:tc>
        <w:tc>
          <w:tcPr>
            <w:tcW w:type="dxa" w:w="2114"/>
            <w:tcMar>
              <w:top w:w="55" w:type="dxa"/>
              <w:start w:w="65" w:type="dxa"/>
              <w:bottom w:w="55" w:type="dxa"/>
              <w:end w:w="65" w:type="dxa"/>
            </w:tcMar>
            <w:vAlign w:val="center"/>
            <w:shd w:fill="F8FAFC"/>
          </w:tcPr>
          <w:p>
            <w:r>
              <w:rPr>
                <w:sz w:val="13"/>
              </w:rPr>
              <w:t>Actual cost less than prepaid amount.</w:t>
            </w:r>
          </w:p>
        </w:tc>
        <w:tc>
          <w:tcPr>
            <w:tcW w:type="dxa" w:w="2114"/>
            <w:tcMar>
              <w:top w:w="55" w:type="dxa"/>
              <w:start w:w="65" w:type="dxa"/>
              <w:bottom w:w="55" w:type="dxa"/>
              <w:end w:w="65" w:type="dxa"/>
            </w:tcMar>
            <w:vAlign w:val="center"/>
            <w:shd w:fill="F8FAFC"/>
          </w:tcPr>
          <w:p>
            <w:r>
              <w:rPr>
                <w:sz w:val="13"/>
              </w:rPr>
              <w:t>Refund excess and provide itemization if requested.</w:t>
            </w:r>
          </w:p>
        </w:tc>
        <w:tc>
          <w:tcPr>
            <w:tcW w:type="dxa" w:w="2114"/>
            <w:tcMar>
              <w:top w:w="55" w:type="dxa"/>
              <w:start w:w="65" w:type="dxa"/>
              <w:bottom w:w="55" w:type="dxa"/>
              <w:end w:w="65" w:type="dxa"/>
            </w:tcMar>
            <w:vAlign w:val="center"/>
            <w:shd w:fill="F8FAFC"/>
          </w:tcPr>
          <w:p>
            <w:r>
              <w:rPr>
                <w:sz w:val="13"/>
              </w:rPr>
              <w:t>At completion.</w:t>
            </w:r>
          </w:p>
        </w:tc>
        <w:tc>
          <w:tcPr>
            <w:tcW w:type="dxa" w:w="2114"/>
            <w:tcMar>
              <w:top w:w="55" w:type="dxa"/>
              <w:start w:w="65" w:type="dxa"/>
              <w:bottom w:w="55" w:type="dxa"/>
              <w:end w:w="65" w:type="dxa"/>
            </w:tcMar>
            <w:vAlign w:val="center"/>
            <w:shd w:fill="F8FAFC"/>
          </w:tcPr>
          <w:p>
            <w:r>
              <w:rPr>
                <w:sz w:val="13"/>
              </w:rPr>
              <w:t>Accounting reconciliation.</w:t>
            </w:r>
          </w:p>
        </w:tc>
      </w:tr>
    </w:tbl>
    <w:p>
      <w:pPr>
        <w:pStyle w:val="Heading1"/>
      </w:pPr>
      <w:r>
        <w:t>11. Jurisdiction-Configuration Fields</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rPr>
          <w:tblHeader w:val="true"/>
          <w:cantSplit/>
        </w:trPr>
        <w:tc>
          <w:tcPr>
            <w:tcW w:type="dxa" w:w="2642"/>
            <w:shd w:fill="17365D"/>
            <w:tcMar>
              <w:top w:w="55" w:type="dxa"/>
              <w:start w:w="65" w:type="dxa"/>
              <w:bottom w:w="55" w:type="dxa"/>
              <w:end w:w="65" w:type="dxa"/>
            </w:tcMar>
          </w:tcPr>
          <w:p>
            <w:pPr>
              <w:jc w:val="center"/>
            </w:pPr>
            <w:r>
              <w:rPr>
                <w:b/>
                <w:color w:val="FFFFFF"/>
                <w:sz w:val="14"/>
              </w:rPr>
              <w:t>Configuration field</w:t>
            </w:r>
          </w:p>
        </w:tc>
        <w:tc>
          <w:tcPr>
            <w:tcW w:type="dxa" w:w="2642"/>
            <w:shd w:fill="17365D"/>
            <w:tcMar>
              <w:top w:w="55" w:type="dxa"/>
              <w:start w:w="65" w:type="dxa"/>
              <w:bottom w:w="55" w:type="dxa"/>
              <w:end w:w="65" w:type="dxa"/>
            </w:tcMar>
          </w:tcPr>
          <w:p>
            <w:pPr>
              <w:jc w:val="center"/>
            </w:pPr>
            <w:r>
              <w:rPr>
                <w:b/>
                <w:color w:val="FFFFFF"/>
                <w:sz w:val="14"/>
              </w:rPr>
              <w:t>Source type</w:t>
            </w:r>
          </w:p>
        </w:tc>
        <w:tc>
          <w:tcPr>
            <w:tcW w:type="dxa" w:w="2642"/>
            <w:shd w:fill="17365D"/>
            <w:tcMar>
              <w:top w:w="55" w:type="dxa"/>
              <w:start w:w="65" w:type="dxa"/>
              <w:bottom w:w="55" w:type="dxa"/>
              <w:end w:w="65" w:type="dxa"/>
            </w:tcMar>
          </w:tcPr>
          <w:p>
            <w:pPr>
              <w:jc w:val="center"/>
            </w:pPr>
            <w:r>
              <w:rPr>
                <w:b/>
                <w:color w:val="FFFFFF"/>
                <w:sz w:val="14"/>
              </w:rPr>
              <w:t>Value / permitted setting</w:t>
            </w:r>
          </w:p>
        </w:tc>
        <w:tc>
          <w:tcPr>
            <w:tcW w:type="dxa" w:w="2642"/>
            <w:shd w:fill="17365D"/>
            <w:tcMar>
              <w:top w:w="55" w:type="dxa"/>
              <w:start w:w="65" w:type="dxa"/>
              <w:bottom w:w="55" w:type="dxa"/>
              <w:end w:w="65" w:type="dxa"/>
            </w:tcMar>
          </w:tcPr>
          <w:p>
            <w:pPr>
              <w:jc w:val="center"/>
            </w:pPr>
            <w:r>
              <w:rPr>
                <w:b/>
                <w:color w:val="FFFFFF"/>
                <w:sz w:val="14"/>
              </w:rPr>
              <w:t>Implementation note</w:t>
            </w:r>
          </w:p>
        </w:tc>
      </w:tr>
      <w:tr>
        <w:trPr>
          <w:cantSplit/>
        </w:trPr>
        <w:tc>
          <w:tcPr>
            <w:tcW w:type="dxa" w:w="2642"/>
            <w:tcMar>
              <w:top w:w="55" w:type="dxa"/>
              <w:start w:w="65" w:type="dxa"/>
              <w:bottom w:w="55" w:type="dxa"/>
              <w:end w:w="65" w:type="dxa"/>
            </w:tcMar>
            <w:vAlign w:val="center"/>
          </w:tcPr>
          <w:p>
            <w:r>
              <w:rPr>
                <w:sz w:val="14"/>
              </w:rPr>
              <w:t>Official custodian and request procedure</w:t>
            </w:r>
          </w:p>
        </w:tc>
        <w:tc>
          <w:tcPr>
            <w:tcW w:type="dxa" w:w="2642"/>
            <w:tcMar>
              <w:top w:w="55" w:type="dxa"/>
              <w:start w:w="65" w:type="dxa"/>
              <w:bottom w:w="55" w:type="dxa"/>
              <w:end w:w="65" w:type="dxa"/>
            </w:tcMar>
            <w:vAlign w:val="center"/>
          </w:tcPr>
          <w:p>
            <w:r>
              <w:rPr>
                <w:sz w:val="14"/>
              </w:rPr>
              <w:t>Local policy</w:t>
            </w:r>
          </w:p>
        </w:tc>
        <w:tc>
          <w:tcPr>
            <w:tcW w:type="dxa" w:w="2642"/>
            <w:tcMar>
              <w:top w:w="55" w:type="dxa"/>
              <w:start w:w="65" w:type="dxa"/>
              <w:bottom w:w="55" w:type="dxa"/>
              <w:end w:w="65" w:type="dxa"/>
            </w:tcMar>
            <w:vAlign w:val="center"/>
          </w:tcPr>
          <w:p>
            <w:r>
              <w:rPr>
                <w:sz w:val="14"/>
              </w:rPr>
              <w:t>Recipient, channels, office hours, written-copy rule.</w:t>
            </w:r>
          </w:p>
        </w:tc>
        <w:tc>
          <w:tcPr>
            <w:tcW w:type="dxa" w:w="2642"/>
            <w:tcMar>
              <w:top w:w="55" w:type="dxa"/>
              <w:start w:w="65" w:type="dxa"/>
              <w:bottom w:w="55" w:type="dxa"/>
              <w:end w:w="65" w:type="dxa"/>
            </w:tcMar>
            <w:vAlign w:val="center"/>
          </w:tcPr>
          <w:p>
            <w:r>
              <w:rPr>
                <w:sz w:val="14"/>
              </w:rPr>
              <w:t>Published under K.S.A. 45-220.</w:t>
            </w:r>
          </w:p>
        </w:tc>
      </w:tr>
      <w:tr>
        <w:trPr>
          <w:cantSplit/>
        </w:trPr>
        <w:tc>
          <w:tcPr>
            <w:tcW w:type="dxa" w:w="2642"/>
            <w:tcMar>
              <w:top w:w="55" w:type="dxa"/>
              <w:start w:w="65" w:type="dxa"/>
              <w:bottom w:w="55" w:type="dxa"/>
              <w:end w:w="65" w:type="dxa"/>
            </w:tcMar>
            <w:vAlign w:val="center"/>
            <w:shd w:fill="F8FAFC"/>
          </w:tcPr>
          <w:p>
            <w:r>
              <w:rPr>
                <w:sz w:val="14"/>
              </w:rPr>
              <w:t>Business-day calendar</w:t>
            </w:r>
          </w:p>
        </w:tc>
        <w:tc>
          <w:tcPr>
            <w:tcW w:type="dxa" w:w="2642"/>
            <w:tcMar>
              <w:top w:w="55" w:type="dxa"/>
              <w:start w:w="65" w:type="dxa"/>
              <w:bottom w:w="55" w:type="dxa"/>
              <w:end w:w="65" w:type="dxa"/>
            </w:tcMar>
            <w:vAlign w:val="center"/>
            <w:shd w:fill="F8FAFC"/>
          </w:tcPr>
          <w:p>
            <w:r>
              <w:rPr>
                <w:sz w:val="14"/>
              </w:rPr>
              <w:t>State/local</w:t>
            </w:r>
          </w:p>
        </w:tc>
        <w:tc>
          <w:tcPr>
            <w:tcW w:type="dxa" w:w="2642"/>
            <w:tcMar>
              <w:top w:w="55" w:type="dxa"/>
              <w:start w:w="65" w:type="dxa"/>
              <w:bottom w:w="55" w:type="dxa"/>
              <w:end w:w="65" w:type="dxa"/>
            </w:tcMar>
            <w:vAlign w:val="center"/>
            <w:shd w:fill="F8FAFC"/>
          </w:tcPr>
          <w:p>
            <w:r>
              <w:rPr>
                <w:sz w:val="14"/>
              </w:rPr>
              <w:t>Holidays and office closures.</w:t>
            </w:r>
          </w:p>
        </w:tc>
        <w:tc>
          <w:tcPr>
            <w:tcW w:type="dxa" w:w="2642"/>
            <w:tcMar>
              <w:top w:w="55" w:type="dxa"/>
              <w:start w:w="65" w:type="dxa"/>
              <w:bottom w:w="55" w:type="dxa"/>
              <w:end w:w="65" w:type="dxa"/>
            </w:tcMar>
            <w:vAlign w:val="center"/>
            <w:shd w:fill="F8FAFC"/>
          </w:tcPr>
          <w:p>
            <w:r>
              <w:rPr>
                <w:sz w:val="14"/>
              </w:rPr>
              <w:t>Drives three-day timers.</w:t>
            </w:r>
          </w:p>
        </w:tc>
      </w:tr>
      <w:tr>
        <w:trPr>
          <w:cantSplit/>
        </w:trPr>
        <w:tc>
          <w:tcPr>
            <w:tcW w:type="dxa" w:w="2642"/>
            <w:tcMar>
              <w:top w:w="55" w:type="dxa"/>
              <w:start w:w="65" w:type="dxa"/>
              <w:bottom w:w="55" w:type="dxa"/>
              <w:end w:w="65" w:type="dxa"/>
            </w:tcMar>
            <w:vAlign w:val="center"/>
          </w:tcPr>
          <w:p>
            <w:r>
              <w:rPr>
                <w:sz w:val="14"/>
              </w:rPr>
              <w:t>Delay-reason and earliest-date template</w:t>
            </w:r>
          </w:p>
        </w:tc>
        <w:tc>
          <w:tcPr>
            <w:tcW w:type="dxa" w:w="2642"/>
            <w:tcMar>
              <w:top w:w="55" w:type="dxa"/>
              <w:start w:w="65" w:type="dxa"/>
              <w:bottom w:w="55" w:type="dxa"/>
              <w:end w:w="65" w:type="dxa"/>
            </w:tcMar>
            <w:vAlign w:val="center"/>
          </w:tcPr>
          <w:p>
            <w:r>
              <w:rPr>
                <w:sz w:val="14"/>
              </w:rPr>
              <w:t>State law + local template</w:t>
            </w:r>
          </w:p>
        </w:tc>
        <w:tc>
          <w:tcPr>
            <w:tcW w:type="dxa" w:w="2642"/>
            <w:tcMar>
              <w:top w:w="55" w:type="dxa"/>
              <w:start w:w="65" w:type="dxa"/>
              <w:bottom w:w="55" w:type="dxa"/>
              <w:end w:w="65" w:type="dxa"/>
            </w:tcMar>
            <w:vAlign w:val="center"/>
          </w:tcPr>
          <w:p>
            <w:r>
              <w:rPr>
                <w:sz w:val="14"/>
              </w:rPr>
              <w:t>Required fields and approver.</w:t>
            </w:r>
          </w:p>
        </w:tc>
        <w:tc>
          <w:tcPr>
            <w:tcW w:type="dxa" w:w="2642"/>
            <w:tcMar>
              <w:top w:w="55" w:type="dxa"/>
              <w:start w:w="65" w:type="dxa"/>
              <w:bottom w:w="55" w:type="dxa"/>
              <w:end w:w="65" w:type="dxa"/>
            </w:tcMar>
            <w:vAlign w:val="center"/>
          </w:tcPr>
          <w:p>
            <w:r>
              <w:rPr>
                <w:sz w:val="14"/>
              </w:rPr>
              <w:t>Do not use generic acknowledgment alone.</w:t>
            </w:r>
          </w:p>
        </w:tc>
      </w:tr>
      <w:tr>
        <w:trPr>
          <w:cantSplit/>
        </w:trPr>
        <w:tc>
          <w:tcPr>
            <w:tcW w:type="dxa" w:w="2642"/>
            <w:tcMar>
              <w:top w:w="55" w:type="dxa"/>
              <w:start w:w="65" w:type="dxa"/>
              <w:bottom w:w="55" w:type="dxa"/>
              <w:end w:w="65" w:type="dxa"/>
            </w:tcMar>
            <w:vAlign w:val="center"/>
            <w:shd w:fill="F8FAFC"/>
          </w:tcPr>
          <w:p>
            <w:r>
              <w:rPr>
                <w:sz w:val="14"/>
              </w:rPr>
              <w:t>Actual-cost rate schedule</w:t>
            </w:r>
          </w:p>
        </w:tc>
        <w:tc>
          <w:tcPr>
            <w:tcW w:type="dxa" w:w="2642"/>
            <w:tcMar>
              <w:top w:w="55" w:type="dxa"/>
              <w:start w:w="65" w:type="dxa"/>
              <w:bottom w:w="55" w:type="dxa"/>
              <w:end w:w="65" w:type="dxa"/>
            </w:tcMar>
            <w:vAlign w:val="center"/>
            <w:shd w:fill="F8FAFC"/>
          </w:tcPr>
          <w:p>
            <w:r>
              <w:rPr>
                <w:sz w:val="14"/>
              </w:rPr>
              <w:t>Local policy within state limits</w:t>
            </w:r>
          </w:p>
        </w:tc>
        <w:tc>
          <w:tcPr>
            <w:tcW w:type="dxa" w:w="2642"/>
            <w:tcMar>
              <w:top w:w="55" w:type="dxa"/>
              <w:start w:w="65" w:type="dxa"/>
              <w:bottom w:w="55" w:type="dxa"/>
              <w:end w:w="65" w:type="dxa"/>
            </w:tcMar>
            <w:vAlign w:val="center"/>
            <w:shd w:fill="F8FAFC"/>
          </w:tcPr>
          <w:p>
            <w:r>
              <w:rPr>
                <w:sz w:val="14"/>
              </w:rPr>
              <w:t>Copy, computer, staff, vendor costs.</w:t>
            </w:r>
          </w:p>
        </w:tc>
        <w:tc>
          <w:tcPr>
            <w:tcW w:type="dxa" w:w="2642"/>
            <w:tcMar>
              <w:top w:w="55" w:type="dxa"/>
              <w:start w:w="65" w:type="dxa"/>
              <w:bottom w:w="55" w:type="dxa"/>
              <w:end w:w="65" w:type="dxa"/>
            </w:tcMar>
            <w:vAlign w:val="center"/>
            <w:shd w:fill="F8FAFC"/>
          </w:tcPr>
          <w:p>
            <w:r>
              <w:rPr>
                <w:sz w:val="14"/>
              </w:rPr>
              <w:t>Exclude benefits/incidental overhead.</w:t>
            </w:r>
          </w:p>
        </w:tc>
      </w:tr>
      <w:tr>
        <w:trPr>
          <w:cantSplit/>
        </w:trPr>
        <w:tc>
          <w:tcPr>
            <w:tcW w:type="dxa" w:w="2642"/>
            <w:tcMar>
              <w:top w:w="55" w:type="dxa"/>
              <w:start w:w="65" w:type="dxa"/>
              <w:bottom w:w="55" w:type="dxa"/>
              <w:end w:w="65" w:type="dxa"/>
            </w:tcMar>
            <w:vAlign w:val="center"/>
          </w:tcPr>
          <w:p>
            <w:r>
              <w:rPr>
                <w:sz w:val="14"/>
              </w:rPr>
              <w:t>High-cost threshold logic</w:t>
            </w:r>
          </w:p>
        </w:tc>
        <w:tc>
          <w:tcPr>
            <w:tcW w:type="dxa" w:w="2642"/>
            <w:tcMar>
              <w:top w:w="55" w:type="dxa"/>
              <w:start w:w="65" w:type="dxa"/>
              <w:bottom w:w="55" w:type="dxa"/>
              <w:end w:w="65" w:type="dxa"/>
            </w:tcMar>
            <w:vAlign w:val="center"/>
          </w:tcPr>
          <w:p>
            <w:r>
              <w:rPr>
                <w:sz w:val="14"/>
              </w:rPr>
              <w:t>State law</w:t>
            </w:r>
          </w:p>
        </w:tc>
        <w:tc>
          <w:tcPr>
            <w:tcW w:type="dxa" w:w="2642"/>
            <w:tcMar>
              <w:top w:w="55" w:type="dxa"/>
              <w:start w:w="65" w:type="dxa"/>
              <w:bottom w:w="55" w:type="dxa"/>
              <w:end w:w="65" w:type="dxa"/>
            </w:tcMar>
            <w:vAlign w:val="center"/>
          </w:tcPr>
          <w:p>
            <w:r>
              <w:rPr>
                <w:sz w:val="14"/>
              </w:rPr>
              <w:t>&gt;5 hours OR &gt;$200 estimated staff cost.</w:t>
            </w:r>
          </w:p>
        </w:tc>
        <w:tc>
          <w:tcPr>
            <w:tcW w:type="dxa" w:w="2642"/>
            <w:tcMar>
              <w:top w:w="55" w:type="dxa"/>
              <w:start w:w="65" w:type="dxa"/>
              <w:bottom w:w="55" w:type="dxa"/>
              <w:end w:w="65" w:type="dxa"/>
            </w:tcMar>
            <w:vAlign w:val="center"/>
          </w:tcPr>
          <w:p>
            <w:r>
              <w:rPr>
                <w:sz w:val="14"/>
              </w:rPr>
              <w:t>Noneditable statutory values.</w:t>
            </w:r>
          </w:p>
        </w:tc>
      </w:tr>
      <w:tr>
        <w:trPr>
          <w:cantSplit/>
        </w:trPr>
        <w:tc>
          <w:tcPr>
            <w:tcW w:type="dxa" w:w="2642"/>
            <w:tcMar>
              <w:top w:w="55" w:type="dxa"/>
              <w:start w:w="65" w:type="dxa"/>
              <w:bottom w:w="55" w:type="dxa"/>
              <w:end w:w="65" w:type="dxa"/>
            </w:tcMar>
            <w:vAlign w:val="center"/>
            <w:shd w:fill="F8FAFC"/>
          </w:tcPr>
          <w:p>
            <w:r>
              <w:rPr>
                <w:sz w:val="14"/>
              </w:rPr>
              <w:t>High-cost contact channel</w:t>
            </w:r>
          </w:p>
        </w:tc>
        <w:tc>
          <w:tcPr>
            <w:tcW w:type="dxa" w:w="2642"/>
            <w:tcMar>
              <w:top w:w="55" w:type="dxa"/>
              <w:start w:w="65" w:type="dxa"/>
              <w:bottom w:w="55" w:type="dxa"/>
              <w:end w:w="65" w:type="dxa"/>
            </w:tcMar>
            <w:vAlign w:val="center"/>
            <w:shd w:fill="F8FAFC"/>
          </w:tcPr>
          <w:p>
            <w:r>
              <w:rPr>
                <w:sz w:val="14"/>
              </w:rPr>
              <w:t>State law + requester data</w:t>
            </w:r>
          </w:p>
        </w:tc>
        <w:tc>
          <w:tcPr>
            <w:tcW w:type="dxa" w:w="2642"/>
            <w:tcMar>
              <w:top w:w="55" w:type="dxa"/>
              <w:start w:w="65" w:type="dxa"/>
              <w:bottom w:w="55" w:type="dxa"/>
              <w:end w:w="65" w:type="dxa"/>
            </w:tcMar>
            <w:vAlign w:val="center"/>
            <w:shd w:fill="F8FAFC"/>
          </w:tcPr>
          <w:p>
            <w:r>
              <w:rPr>
                <w:sz w:val="14"/>
              </w:rPr>
              <w:t>Use means provided by requester.</w:t>
            </w:r>
          </w:p>
        </w:tc>
        <w:tc>
          <w:tcPr>
            <w:tcW w:type="dxa" w:w="2642"/>
            <w:tcMar>
              <w:top w:w="55" w:type="dxa"/>
              <w:start w:w="65" w:type="dxa"/>
              <w:bottom w:w="55" w:type="dxa"/>
              <w:end w:w="65" w:type="dxa"/>
            </w:tcMar>
            <w:vAlign w:val="center"/>
            <w:shd w:fill="F8FAFC"/>
          </w:tcPr>
          <w:p>
            <w:r>
              <w:rPr>
                <w:sz w:val="14"/>
              </w:rPr>
              <w:t>Evidence of reasonable efforts required.</w:t>
            </w:r>
          </w:p>
        </w:tc>
      </w:tr>
      <w:tr>
        <w:trPr>
          <w:cantSplit/>
        </w:trPr>
        <w:tc>
          <w:tcPr>
            <w:tcW w:type="dxa" w:w="2642"/>
            <w:tcMar>
              <w:top w:w="55" w:type="dxa"/>
              <w:start w:w="65" w:type="dxa"/>
              <w:bottom w:w="55" w:type="dxa"/>
              <w:end w:w="65" w:type="dxa"/>
            </w:tcMar>
            <w:vAlign w:val="center"/>
          </w:tcPr>
          <w:p>
            <w:r>
              <w:rPr>
                <w:sz w:val="14"/>
              </w:rPr>
              <w:t>Advance-payment rule</w:t>
            </w:r>
          </w:p>
        </w:tc>
        <w:tc>
          <w:tcPr>
            <w:tcW w:type="dxa" w:w="2642"/>
            <w:tcMar>
              <w:top w:w="55" w:type="dxa"/>
              <w:start w:w="65" w:type="dxa"/>
              <w:bottom w:w="55" w:type="dxa"/>
              <w:end w:w="65" w:type="dxa"/>
            </w:tcMar>
            <w:vAlign w:val="center"/>
          </w:tcPr>
          <w:p>
            <w:r>
              <w:rPr>
                <w:sz w:val="14"/>
              </w:rPr>
              <w:t>Local policy</w:t>
            </w:r>
          </w:p>
        </w:tc>
        <w:tc>
          <w:tcPr>
            <w:tcW w:type="dxa" w:w="2642"/>
            <w:tcMar>
              <w:top w:w="55" w:type="dxa"/>
              <w:start w:w="65" w:type="dxa"/>
              <w:bottom w:w="55" w:type="dxa"/>
              <w:end w:w="65" w:type="dxa"/>
            </w:tcMar>
            <w:vAlign w:val="center"/>
          </w:tcPr>
          <w:p>
            <w:r>
              <w:rPr>
                <w:sz w:val="14"/>
              </w:rPr>
              <w:t>Threshold/percentage/full estimate.</w:t>
            </w:r>
          </w:p>
        </w:tc>
        <w:tc>
          <w:tcPr>
            <w:tcW w:type="dxa" w:w="2642"/>
            <w:tcMar>
              <w:top w:w="55" w:type="dxa"/>
              <w:start w:w="65" w:type="dxa"/>
              <w:bottom w:w="55" w:type="dxa"/>
              <w:end w:w="65" w:type="dxa"/>
            </w:tcMar>
            <w:vAlign w:val="center"/>
          </w:tcPr>
          <w:p>
            <w:r>
              <w:rPr>
                <w:sz w:val="14"/>
              </w:rPr>
              <w:t>Refund overpayment.</w:t>
            </w:r>
          </w:p>
        </w:tc>
      </w:tr>
      <w:tr>
        <w:trPr>
          <w:cantSplit/>
        </w:trPr>
        <w:tc>
          <w:tcPr>
            <w:tcW w:type="dxa" w:w="2642"/>
            <w:tcMar>
              <w:top w:w="55" w:type="dxa"/>
              <w:start w:w="65" w:type="dxa"/>
              <w:bottom w:w="55" w:type="dxa"/>
              <w:end w:w="65" w:type="dxa"/>
            </w:tcMar>
            <w:vAlign w:val="center"/>
            <w:shd w:fill="F8FAFC"/>
          </w:tcPr>
          <w:p>
            <w:r>
              <w:rPr>
                <w:sz w:val="14"/>
              </w:rPr>
              <w:t>Burden/disruption approval</w:t>
            </w:r>
          </w:p>
        </w:tc>
        <w:tc>
          <w:tcPr>
            <w:tcW w:type="dxa" w:w="2642"/>
            <w:tcMar>
              <w:top w:w="55" w:type="dxa"/>
              <w:start w:w="65" w:type="dxa"/>
              <w:bottom w:w="55" w:type="dxa"/>
              <w:end w:w="65" w:type="dxa"/>
            </w:tcMar>
            <w:vAlign w:val="center"/>
            <w:shd w:fill="F8FAFC"/>
          </w:tcPr>
          <w:p>
            <w:r>
              <w:rPr>
                <w:sz w:val="14"/>
              </w:rPr>
              <w:t>Human determination</w:t>
            </w:r>
          </w:p>
        </w:tc>
        <w:tc>
          <w:tcPr>
            <w:tcW w:type="dxa" w:w="2642"/>
            <w:tcMar>
              <w:top w:w="55" w:type="dxa"/>
              <w:start w:w="65" w:type="dxa"/>
              <w:bottom w:w="55" w:type="dxa"/>
              <w:end w:w="65" w:type="dxa"/>
            </w:tcMar>
            <w:vAlign w:val="center"/>
            <w:shd w:fill="F8FAFC"/>
          </w:tcPr>
          <w:p>
            <w:r>
              <w:rPr>
                <w:sz w:val="14"/>
              </w:rPr>
              <w:t>Evidence, approver, review.</w:t>
            </w:r>
          </w:p>
        </w:tc>
        <w:tc>
          <w:tcPr>
            <w:tcW w:type="dxa" w:w="2642"/>
            <w:tcMar>
              <w:top w:w="55" w:type="dxa"/>
              <w:start w:w="65" w:type="dxa"/>
              <w:bottom w:w="55" w:type="dxa"/>
              <w:end w:w="65" w:type="dxa"/>
            </w:tcMar>
            <w:vAlign w:val="center"/>
            <w:shd w:fill="F8FAFC"/>
          </w:tcPr>
          <w:p>
            <w:r>
              <w:rPr>
                <w:sz w:val="14"/>
              </w:rPr>
              <w:t>Agency bears burden.</w:t>
            </w:r>
          </w:p>
        </w:tc>
      </w:tr>
    </w:tbl>
    <w:p>
      <w:pPr>
        <w:pStyle w:val="Heading1"/>
      </w:pPr>
      <w:r>
        <w:t>12. Recommended Workflow States and Transitions</w:t>
      </w:r>
    </w:p>
    <w:p>
      <w:r>
        <w:rPr>
          <w:b/>
        </w:rPr>
        <w:t xml:space="preserve">Recommended state sequence: </w:t>
      </w:r>
      <w:r>
        <w:t>Received -&gt; Custodian/Procedure Validation -&gt; Record Identification -&gt; Third-Day Action: Access / Detailed Delay / Denial -&gt; Cost Estimate -&gt; High-Cost Contact (if triggered) -&gt; Awaiting Response or Deemed Withdrawn -&gt; Advance Payment -&gt; Search/Review/Redaction -&gt; Production/Reconciliation -&gt; Closed.</w:t>
      </w:r>
    </w:p>
    <w:p>
      <w:pPr>
        <w:pStyle w:val="Heading1"/>
      </w:pPr>
      <w:r>
        <w:t>13. Unresolved Questions and Local-Policy Decisions</w:t>
      </w:r>
    </w:p>
    <w:p>
      <w:pPr>
        <w:pStyle w:val="ListBullet"/>
        <w:spacing w:after="30"/>
      </w:pPr>
      <w:r>
        <w:t>What city procedure and designated custodian will control effective receipt?</w:t>
      </w:r>
    </w:p>
    <w:p>
      <w:pPr>
        <w:pStyle w:val="ListBullet"/>
        <w:spacing w:after="30"/>
      </w:pPr>
      <w:r>
        <w:t>What local rates satisfy actual-cost and lowest-cost-qualified-staff requirements?</w:t>
      </w:r>
    </w:p>
    <w:p>
      <w:pPr>
        <w:pStyle w:val="ListBullet"/>
        <w:spacing w:after="30"/>
      </w:pPr>
      <w:r>
        <w:t>How will reasonable high-cost contact efforts be documented across email, portal, mail, and phone?</w:t>
      </w:r>
    </w:p>
    <w:p>
      <w:pPr>
        <w:pStyle w:val="ListBullet"/>
        <w:spacing w:after="30"/>
      </w:pPr>
      <w:r>
        <w:t>What evidence and approval level will be required for an unreasonable-burden or disruptive-request refusal?</w:t>
      </w:r>
    </w:p>
    <w:p>
      <w:pPr>
        <w:pStyle w:val="Heading1"/>
      </w:pPr>
      <w:r>
        <w:t>14. Suggestion Added During This Review</w:t>
      </w:r>
    </w:p>
    <w:p>
      <w:r>
        <w:rPr>
          <w:b/>
        </w:rPr>
        <w:t>S-024: Model the “act upon” deadline separately from production, require a detailed delay reason and earliest availability, and add a high-cost interactive mitigation branch with a branch-specific three-business-day deemed-withdrawal rule.</w:t>
      </w:r>
    </w:p>
    <w:p>
      <w:pPr>
        <w:pStyle w:val="IntenseQuote"/>
      </w:pPr>
      <w:r>
        <w:t>This suggestion is recorded for later universal-engine review and does not alter the fixed methodology.</w:t>
      </w:r>
    </w:p>
    <w:p>
      <w:pPr>
        <w:pStyle w:val="Heading1"/>
      </w:pPr>
      <w:r>
        <w:t>15. Primary Sources</w:t>
      </w:r>
    </w:p>
    <w:p>
      <w:pPr>
        <w:pStyle w:val="ListBullet"/>
        <w:spacing w:after="30"/>
      </w:pPr>
      <w:r>
        <w:t>K.S.A. 45-218 (current Kansas Legislature): https://kslegislature.gov/b2025_26/laws/045_000_0000_chapter/045_002_0000_article/045_002_0018_section/045_002_0018_k/</w:t>
      </w:r>
    </w:p>
    <w:p>
      <w:pPr>
        <w:pStyle w:val="ListBullet"/>
        <w:spacing w:after="30"/>
      </w:pPr>
      <w:r>
        <w:t>K.S.A. 45-219 (current Kansas Legislature): https://kslegislature.gov/b2025_26/laws/045_000_0000_chapter/045_002_0000_article/045_002_0019_section/045_002_0019_k</w:t>
      </w:r>
    </w:p>
    <w:p>
      <w:pPr>
        <w:pStyle w:val="ListBullet"/>
        <w:spacing w:after="30"/>
      </w:pPr>
      <w:r>
        <w:t>2025 HB 2134 enrolled text; effective July 1, 2025: https://www.kslegislature.gov/b2025_26/bills/download/?apn=b2025_26%2Fyear2%2Fready_for_publication%2Fhb_2134%2Fhb2134_enrolled.pdf</w:t>
      </w:r>
    </w:p>
    <w:p>
      <w:pPr>
        <w:pStyle w:val="ListBullet"/>
        <w:spacing w:after="30"/>
      </w:pPr>
      <w:r>
        <w:t>K.S.A. 45-220: https://kslegislature.gov/b2025_26/laws/045_000_0000_chapter/045_002_0000_article/045_002_0020_section/045_002_0020_k/</w:t>
      </w:r>
    </w:p>
    <w:p>
      <w:pPr>
        <w:pStyle w:val="ListBullet"/>
        <w:spacing w:after="30"/>
      </w:pPr>
      <w:r>
        <w:t>Kansas Attorney General KORA FAQ: https://www.ag.ks.gov/divisions/administration/open-government/kora-faq</w:t>
      </w:r>
    </w:p>
    <w:p>
      <w:r>
        <w:rPr>
          <w:b/>
        </w:rPr>
        <w:t xml:space="preserve">Implementation note: </w:t>
      </w:r>
      <w:r>
        <w:t>This document is a requirements-engineering research artifact, not legal advice. Verify statutes, regulations, cases, and local policy at customer implementation and whenever authority changes.</w:t>
      </w:r>
    </w:p>
    <w:sectPr w:rsidR="00FC693F" w:rsidRPr="0006063C" w:rsidSect="00034616">
      <w:headerReference w:type="default" r:id="rId9"/>
      <w:foot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National Open Records Workflow Schema — requirements-engineering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5597"/>
        <w:sz w:val="15"/>
      </w:rPr>
      <w:t>Kansas | Public Records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2F5597"/>
      <w:sz w:val="17"/>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