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7365D"/>
          <w:sz w:val="40"/>
        </w:rPr>
        <w:t>Ohio Public Records Workflow</w:t>
      </w:r>
    </w:p>
    <w:p>
      <w:pPr>
        <w:spacing w:after="140"/>
        <w:jc w:val="center"/>
      </w:pPr>
      <w:r>
        <w:rPr>
          <w:rFonts w:ascii="Aptos Display" w:hAnsi="Aptos Display"/>
          <w:b/>
          <w:color w:val="2F5597"/>
          <w:sz w:val="23"/>
        </w:rPr>
        <w:t>Initial Processing Reverse-Engineered into Software Configuration Requirements</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6"/>
              </w:rPr>
              <w:t>Primary law</w:t>
            </w:r>
          </w:p>
        </w:tc>
        <w:tc>
          <w:tcPr>
            <w:tcW w:type="dxa" w:w="2642"/>
            <w:shd w:fill="17365D"/>
            <w:tcMar>
              <w:top w:w="55" w:type="dxa"/>
              <w:start w:w="65" w:type="dxa"/>
              <w:bottom w:w="55" w:type="dxa"/>
              <w:end w:w="65" w:type="dxa"/>
            </w:tcMar>
          </w:tcPr>
          <w:p>
            <w:pPr>
              <w:jc w:val="center"/>
            </w:pPr>
            <w:r>
              <w:rPr>
                <w:b/>
                <w:color w:val="FFFFFF"/>
                <w:sz w:val="16"/>
              </w:rPr>
              <w:t>Ohio Public Records Act, Ohio Rev. Code § 149.43 (version effective Sept. 30, 2025)</w:t>
            </w:r>
          </w:p>
        </w:tc>
        <w:tc>
          <w:tcPr>
            <w:tcW w:type="dxa" w:w="2642"/>
            <w:shd w:fill="17365D"/>
            <w:tcMar>
              <w:top w:w="55" w:type="dxa"/>
              <w:start w:w="65" w:type="dxa"/>
              <w:bottom w:w="55" w:type="dxa"/>
              <w:end w:w="65" w:type="dxa"/>
            </w:tcMar>
          </w:tcPr>
          <w:p>
            <w:pPr>
              <w:jc w:val="center"/>
            </w:pPr>
            <w:r>
              <w:rPr>
                <w:b/>
                <w:color w:val="FFFFFF"/>
                <w:sz w:val="16"/>
              </w:rPr>
              <w:t>Research date</w:t>
            </w:r>
          </w:p>
        </w:tc>
        <w:tc>
          <w:tcPr>
            <w:tcW w:type="dxa" w:w="2642"/>
            <w:shd w:fill="17365D"/>
            <w:tcMar>
              <w:top w:w="55" w:type="dxa"/>
              <w:start w:w="65" w:type="dxa"/>
              <w:bottom w:w="55" w:type="dxa"/>
              <w:end w:w="65" w:type="dxa"/>
            </w:tcMar>
          </w:tcPr>
          <w:p>
            <w:pPr>
              <w:jc w:val="center"/>
            </w:pPr>
            <w:r>
              <w:rPr>
                <w:b/>
                <w:color w:val="FFFFFF"/>
                <w:sz w:val="16"/>
              </w:rPr>
              <w:t>2026-07-22</w:t>
            </w:r>
          </w:p>
        </w:tc>
      </w:tr>
    </w:tbl>
    <w:p>
      <w:pPr>
        <w:pStyle w:val="Heading1"/>
      </w:pPr>
      <w:r>
        <w:t>1. Executive Summary and Applicability</w:t>
      </w:r>
    </w:p>
    <w:p>
      <w:r>
        <w:t>Ohio generally requires records to be promptly prepared for inspection and copies to be provided at cost within a reasonable period of time. The Act does not establish a universal multi-day acknowledgment or production deadline and even restricts a public office from adopting most fixed response periods of eight hours or more.</w:t>
      </w:r>
    </w:p>
    <w:p>
      <w:r>
        <w:t>Ohio expressly addresses ambiguous and overly broad requests: the office may deny when it cannot reasonably identify the records, but it must provide an opportunity to revise by explaining how the office maintains and ordinarily accesses its records.</w:t>
      </w:r>
    </w:p>
    <w:p>
      <w:r>
        <w:t>A specialized law-enforcement/prosecutor video track permits actual preparation charges subject to hourly and total caps, allows an estimated-cost prepayment policy, requires the estimate within five business days, and limits final overage to 20 percent when advance notice is given.</w:t>
      </w:r>
    </w:p>
    <w:p>
      <w:r>
        <w:rPr>
          <w:b/>
        </w:rPr>
        <w:t xml:space="preserve">Core engine pattern: </w:t>
      </w:r>
      <w:r>
        <w:t>Prompt/reasonable qualitative production + mandatory revision-assistance after ambiguity/overbreadth + structured denial/redaction notices + specialized video estimate/prepayment track.</w:t>
      </w:r>
    </w:p>
    <w:p>
      <w:r>
        <w:rPr>
          <w:b/>
        </w:rPr>
        <w:t xml:space="preserve">Scope caution: </w:t>
      </w:r>
      <w:r>
        <w:t>Cities are public offices. Use the version effective September 30, 2025 as of the research date; a later statutory version was scheduled for September 7, 2026 and must be rechecked at implementation.</w:t>
      </w:r>
    </w:p>
    <w:p>
      <w:pPr>
        <w:pStyle w:val="Heading1"/>
      </w:pPr>
      <w:r>
        <w:t>2. Authority Inventory</w:t>
      </w:r>
    </w:p>
    <w:tbl>
      <w:tblPr>
        <w:tblStyle w:val="TableGrid"/>
        <w:tblW w:type="auto" w:w="0"/>
        <w:jc w:val="center"/>
        <w:tblLayout w:type="autofit"/>
        <w:tblLook w:firstColumn="1" w:firstRow="1" w:lastColumn="0" w:lastRow="0" w:noHBand="0" w:noVBand="1" w:val="04A0"/>
      </w:tblPr>
      <w:tblGrid>
        <w:gridCol w:w="3523"/>
        <w:gridCol w:w="3523"/>
        <w:gridCol w:w="3523"/>
      </w:tblGrid>
      <w:tr>
        <w:trPr>
          <w:tblHeader w:val="true"/>
          <w:cantSplit/>
        </w:trPr>
        <w:tc>
          <w:tcPr>
            <w:tcW w:type="dxa" w:w="3523"/>
            <w:shd w:fill="17365D"/>
            <w:tcMar>
              <w:top w:w="55" w:type="dxa"/>
              <w:start w:w="65" w:type="dxa"/>
              <w:bottom w:w="55" w:type="dxa"/>
              <w:end w:w="65" w:type="dxa"/>
            </w:tcMar>
          </w:tcPr>
          <w:p>
            <w:pPr>
              <w:jc w:val="center"/>
            </w:pPr>
            <w:r>
              <w:rPr>
                <w:b/>
                <w:color w:val="FFFFFF"/>
                <w:sz w:val="15"/>
              </w:rPr>
              <w:t>Authority</w:t>
            </w:r>
          </w:p>
        </w:tc>
        <w:tc>
          <w:tcPr>
            <w:tcW w:type="dxa" w:w="3523"/>
            <w:shd w:fill="17365D"/>
            <w:tcMar>
              <w:top w:w="55" w:type="dxa"/>
              <w:start w:w="65" w:type="dxa"/>
              <w:bottom w:w="55" w:type="dxa"/>
              <w:end w:w="65" w:type="dxa"/>
            </w:tcMar>
          </w:tcPr>
          <w:p>
            <w:pPr>
              <w:jc w:val="center"/>
            </w:pPr>
            <w:r>
              <w:rPr>
                <w:b/>
                <w:color w:val="FFFFFF"/>
                <w:sz w:val="15"/>
              </w:rPr>
              <w:t>Workflow function</w:t>
            </w:r>
          </w:p>
        </w:tc>
        <w:tc>
          <w:tcPr>
            <w:tcW w:type="dxa" w:w="3523"/>
            <w:shd w:fill="17365D"/>
            <w:tcMar>
              <w:top w:w="55" w:type="dxa"/>
              <w:start w:w="65" w:type="dxa"/>
              <w:bottom w:w="55" w:type="dxa"/>
              <w:end w:w="65" w:type="dxa"/>
            </w:tcMar>
          </w:tcPr>
          <w:p>
            <w:pPr>
              <w:jc w:val="center"/>
            </w:pPr>
            <w:r>
              <w:rPr>
                <w:b/>
                <w:color w:val="FFFFFF"/>
                <w:sz w:val="15"/>
              </w:rPr>
              <w:t>City applicability</w:t>
            </w:r>
          </w:p>
        </w:tc>
      </w:tr>
      <w:tr>
        <w:trPr>
          <w:cantSplit/>
        </w:trPr>
        <w:tc>
          <w:tcPr>
            <w:tcW w:type="dxa" w:w="3523"/>
            <w:tcMar>
              <w:top w:w="55" w:type="dxa"/>
              <w:start w:w="65" w:type="dxa"/>
              <w:bottom w:w="55" w:type="dxa"/>
              <w:end w:w="65" w:type="dxa"/>
            </w:tcMar>
            <w:vAlign w:val="center"/>
          </w:tcPr>
          <w:p>
            <w:r>
              <w:rPr>
                <w:sz w:val="15"/>
              </w:rPr>
              <w:t>Ohio Rev. Code § 149.43(B)</w:t>
            </w:r>
          </w:p>
        </w:tc>
        <w:tc>
          <w:tcPr>
            <w:tcW w:type="dxa" w:w="3523"/>
            <w:tcMar>
              <w:top w:w="55" w:type="dxa"/>
              <w:start w:w="65" w:type="dxa"/>
              <w:bottom w:w="55" w:type="dxa"/>
              <w:end w:w="65" w:type="dxa"/>
            </w:tcMar>
            <w:vAlign w:val="center"/>
          </w:tcPr>
          <w:p>
            <w:r>
              <w:rPr>
                <w:sz w:val="15"/>
              </w:rPr>
              <w:t>Prompt inspection, reasonable copy period, ambiguity assistance, denial explanation, media choice, prepayment, video fees.</w:t>
            </w:r>
          </w:p>
        </w:tc>
        <w:tc>
          <w:tcPr>
            <w:tcW w:type="dxa" w:w="3523"/>
            <w:tcMar>
              <w:top w:w="55" w:type="dxa"/>
              <w:start w:w="65" w:type="dxa"/>
              <w:bottom w:w="55" w:type="dxa"/>
              <w:end w:w="65" w:type="dxa"/>
            </w:tcMar>
            <w:vAlign w:val="center"/>
          </w:tcPr>
          <w:p>
            <w:r>
              <w:rPr>
                <w:sz w:val="15"/>
              </w:rPr>
              <w:t>Core city workflow.</w:t>
            </w:r>
          </w:p>
        </w:tc>
      </w:tr>
      <w:tr>
        <w:trPr>
          <w:cantSplit/>
        </w:trPr>
        <w:tc>
          <w:tcPr>
            <w:tcW w:type="dxa" w:w="3523"/>
            <w:tcMar>
              <w:top w:w="55" w:type="dxa"/>
              <w:start w:w="65" w:type="dxa"/>
              <w:bottom w:w="55" w:type="dxa"/>
              <w:end w:w="65" w:type="dxa"/>
            </w:tcMar>
            <w:vAlign w:val="center"/>
            <w:shd w:fill="F8FAFC"/>
          </w:tcPr>
          <w:p>
            <w:r>
              <w:rPr>
                <w:sz w:val="15"/>
              </w:rPr>
              <w:t>Ohio Rev. Code § 149.43(E)</w:t>
            </w:r>
          </w:p>
        </w:tc>
        <w:tc>
          <w:tcPr>
            <w:tcW w:type="dxa" w:w="3523"/>
            <w:tcMar>
              <w:top w:w="55" w:type="dxa"/>
              <w:start w:w="65" w:type="dxa"/>
              <w:bottom w:w="55" w:type="dxa"/>
              <w:end w:w="65" w:type="dxa"/>
            </w:tcMar>
            <w:vAlign w:val="center"/>
            <w:shd w:fill="F8FAFC"/>
          </w:tcPr>
          <w:p>
            <w:r>
              <w:rPr>
                <w:sz w:val="15"/>
              </w:rPr>
              <w:t>Public-records policy requirements and limits on fixed response periods.</w:t>
            </w:r>
          </w:p>
        </w:tc>
        <w:tc>
          <w:tcPr>
            <w:tcW w:type="dxa" w:w="3523"/>
            <w:tcMar>
              <w:top w:w="55" w:type="dxa"/>
              <w:start w:w="65" w:type="dxa"/>
              <w:bottom w:w="55" w:type="dxa"/>
              <w:end w:w="65" w:type="dxa"/>
            </w:tcMar>
            <w:vAlign w:val="center"/>
            <w:shd w:fill="F8FAFC"/>
          </w:tcPr>
          <w:p>
            <w:r>
              <w:rPr>
                <w:sz w:val="15"/>
              </w:rPr>
              <w:t>City policy configuration.</w:t>
            </w:r>
          </w:p>
        </w:tc>
      </w:tr>
      <w:tr>
        <w:trPr>
          <w:cantSplit/>
        </w:trPr>
        <w:tc>
          <w:tcPr>
            <w:tcW w:type="dxa" w:w="3523"/>
            <w:tcMar>
              <w:top w:w="55" w:type="dxa"/>
              <w:start w:w="65" w:type="dxa"/>
              <w:bottom w:w="55" w:type="dxa"/>
              <w:end w:w="65" w:type="dxa"/>
            </w:tcMar>
            <w:vAlign w:val="center"/>
          </w:tcPr>
          <w:p>
            <w:r>
              <w:rPr>
                <w:sz w:val="15"/>
              </w:rPr>
              <w:t>Ohio Attorney General Sunshine Laws resources</w:t>
            </w:r>
          </w:p>
        </w:tc>
        <w:tc>
          <w:tcPr>
            <w:tcW w:type="dxa" w:w="3523"/>
            <w:tcMar>
              <w:top w:w="55" w:type="dxa"/>
              <w:start w:w="65" w:type="dxa"/>
              <w:bottom w:w="55" w:type="dxa"/>
              <w:end w:w="65" w:type="dxa"/>
            </w:tcMar>
            <w:vAlign w:val="center"/>
          </w:tcPr>
          <w:p>
            <w:r>
              <w:rPr>
                <w:sz w:val="15"/>
              </w:rPr>
              <w:t>Model policy and official interpretation.</w:t>
            </w:r>
          </w:p>
        </w:tc>
        <w:tc>
          <w:tcPr>
            <w:tcW w:type="dxa" w:w="3523"/>
            <w:tcMar>
              <w:top w:w="55" w:type="dxa"/>
              <w:start w:w="65" w:type="dxa"/>
              <w:bottom w:w="55" w:type="dxa"/>
              <w:end w:w="65" w:type="dxa"/>
            </w:tcMar>
            <w:vAlign w:val="center"/>
          </w:tcPr>
          <w:p>
            <w:r>
              <w:rPr>
                <w:sz w:val="15"/>
              </w:rPr>
              <w:t>Guidance.</w:t>
            </w:r>
          </w:p>
        </w:tc>
      </w:tr>
      <w:tr>
        <w:trPr>
          <w:cantSplit/>
        </w:trPr>
        <w:tc>
          <w:tcPr>
            <w:tcW w:type="dxa" w:w="3523"/>
            <w:tcMar>
              <w:top w:w="55" w:type="dxa"/>
              <w:start w:w="65" w:type="dxa"/>
              <w:bottom w:w="55" w:type="dxa"/>
              <w:end w:w="65" w:type="dxa"/>
            </w:tcMar>
            <w:vAlign w:val="center"/>
            <w:shd w:fill="F8FAFC"/>
          </w:tcPr>
          <w:p>
            <w:r>
              <w:rPr>
                <w:sz w:val="15"/>
              </w:rPr>
              <w:t>Ohio Rev. Code § 2743.75 / § 149.43(C)</w:t>
            </w:r>
          </w:p>
        </w:tc>
        <w:tc>
          <w:tcPr>
            <w:tcW w:type="dxa" w:w="3523"/>
            <w:tcMar>
              <w:top w:w="55" w:type="dxa"/>
              <w:start w:w="65" w:type="dxa"/>
              <w:bottom w:w="55" w:type="dxa"/>
              <w:end w:w="65" w:type="dxa"/>
            </w:tcMar>
            <w:vAlign w:val="center"/>
            <w:shd w:fill="F8FAFC"/>
          </w:tcPr>
          <w:p>
            <w:r>
              <w:rPr>
                <w:sz w:val="15"/>
              </w:rPr>
              <w:t>Court of Claims/mandamus remedies and cure process.</w:t>
            </w:r>
          </w:p>
        </w:tc>
        <w:tc>
          <w:tcPr>
            <w:tcW w:type="dxa" w:w="3523"/>
            <w:tcMar>
              <w:top w:w="55" w:type="dxa"/>
              <w:start w:w="65" w:type="dxa"/>
              <w:bottom w:w="55" w:type="dxa"/>
              <w:end w:w="65" w:type="dxa"/>
            </w:tcMar>
            <w:vAlign w:val="center"/>
            <w:shd w:fill="F8FAFC"/>
          </w:tcPr>
          <w:p>
            <w:r>
              <w:rPr>
                <w:sz w:val="15"/>
              </w:rPr>
              <w:t>Compliance escalation.</w:t>
            </w:r>
          </w:p>
        </w:tc>
      </w:tr>
    </w:tbl>
    <w:p>
      <w:pPr>
        <w:pStyle w:val="Heading1"/>
      </w:pPr>
      <w:r>
        <w:t>3. Human-Readable Initial Processing Workflow</w:t>
      </w:r>
    </w:p>
    <w:p>
      <w:pPr>
        <w:pStyle w:val="ListNumber"/>
        <w:spacing w:after="30"/>
      </w:pPr>
      <w:r>
        <w:t>Receive without imposing prohibited conditions: A written request, requester identity, or intended use generally cannot be required. If asking for them would help, first disclose that they are optional and explain the benefit.</w:t>
      </w:r>
    </w:p>
    <w:p>
      <w:pPr>
        <w:pStyle w:val="ListNumber"/>
        <w:spacing w:after="30"/>
      </w:pPr>
      <w:r>
        <w:t>Identify records: Determine whether the request fairly describes records the office maintains. If ambiguous or overly broad, explain how records are maintained and ordinarily accessed and give the requester an opportunity to revise.</w:t>
      </w:r>
    </w:p>
    <w:p>
      <w:pPr>
        <w:pStyle w:val="ListNumber"/>
        <w:spacing w:after="30"/>
      </w:pPr>
      <w:r>
        <w:t>Begin prompt fulfillment: Locate, review, segregate, redact, and make inspection available promptly; provide copies at cost within a reasonable period.</w:t>
      </w:r>
    </w:p>
    <w:p>
      <w:pPr>
        <w:pStyle w:val="ListNumber"/>
        <w:spacing w:after="30"/>
      </w:pPr>
      <w:r>
        <w:t>Classify special video: If the request seeks law-enforcement or prosecutor video, determine whether the office has adopted the estimate-prepayment policy and whether a statutory victim fee waiver applies.</w:t>
      </w:r>
    </w:p>
    <w:p>
      <w:pPr>
        <w:pStyle w:val="ListNumber"/>
        <w:spacing w:after="30"/>
      </w:pPr>
      <w:r>
        <w:t>Estimate and payment: For general copies, collect advance duplication/delivery costs if policy permits. For video under a prepayment policy, issue estimated actual cost within five business days and begin the production obligation after full payment.</w:t>
      </w:r>
    </w:p>
    <w:p>
      <w:pPr>
        <w:pStyle w:val="ListNumber"/>
        <w:spacing w:after="30"/>
      </w:pPr>
      <w:r>
        <w:t>Produce or deny: Make nonexempt information available, visibly mark or notify redactions, and provide an explanation including legal authority for any final denial; written request requires written explanation.</w:t>
      </w:r>
    </w:p>
    <w:p>
      <w:pPr>
        <w:pStyle w:val="Heading1"/>
      </w:pPr>
      <w:r>
        <w:t>4. Deadline and Required-Communication Matrix</w:t>
      </w:r>
    </w:p>
    <w:tbl>
      <w:tblPr>
        <w:tblStyle w:val="TableGrid"/>
        <w:tblW w:type="auto" w:w="0"/>
        <w:jc w:val="center"/>
        <w:tblLayout w:type="autofit"/>
        <w:tblLook w:firstColumn="1" w:firstRow="1" w:lastColumn="0" w:lastRow="0" w:noHBand="0" w:noVBand="1" w:val="04A0"/>
      </w:tblPr>
      <w:tblGrid>
        <w:gridCol w:w="2114"/>
        <w:gridCol w:w="2114"/>
        <w:gridCol w:w="2114"/>
        <w:gridCol w:w="2114"/>
        <w:gridCol w:w="2114"/>
      </w:tblGrid>
      <w:tr>
        <w:trPr>
          <w:tblHeader w:val="true"/>
          <w:cantSplit/>
        </w:trPr>
        <w:tc>
          <w:tcPr>
            <w:tcW w:type="dxa" w:w="2114"/>
            <w:shd w:fill="17365D"/>
            <w:tcMar>
              <w:top w:w="55" w:type="dxa"/>
              <w:start w:w="65" w:type="dxa"/>
              <w:bottom w:w="55" w:type="dxa"/>
              <w:end w:w="65" w:type="dxa"/>
            </w:tcMar>
          </w:tcPr>
          <w:p>
            <w:pPr>
              <w:jc w:val="center"/>
            </w:pPr>
            <w:r>
              <w:rPr>
                <w:b/>
                <w:color w:val="FFFFFF"/>
                <w:sz w:val="14"/>
              </w:rPr>
              <w:t>Trigger / condition</w:t>
            </w:r>
          </w:p>
        </w:tc>
        <w:tc>
          <w:tcPr>
            <w:tcW w:type="dxa" w:w="2114"/>
            <w:shd w:fill="17365D"/>
            <w:tcMar>
              <w:top w:w="55" w:type="dxa"/>
              <w:start w:w="65" w:type="dxa"/>
              <w:bottom w:w="55" w:type="dxa"/>
              <w:end w:w="65" w:type="dxa"/>
            </w:tcMar>
          </w:tcPr>
          <w:p>
            <w:pPr>
              <w:jc w:val="center"/>
            </w:pPr>
            <w:r>
              <w:rPr>
                <w:b/>
                <w:color w:val="FFFFFF"/>
                <w:sz w:val="14"/>
              </w:rPr>
              <w:t>Deadline or standard</w:t>
            </w:r>
          </w:p>
        </w:tc>
        <w:tc>
          <w:tcPr>
            <w:tcW w:type="dxa" w:w="2114"/>
            <w:shd w:fill="17365D"/>
            <w:tcMar>
              <w:top w:w="55" w:type="dxa"/>
              <w:start w:w="65" w:type="dxa"/>
              <w:bottom w:w="55" w:type="dxa"/>
              <w:end w:w="65" w:type="dxa"/>
            </w:tcMar>
          </w:tcPr>
          <w:p>
            <w:pPr>
              <w:jc w:val="center"/>
            </w:pPr>
            <w:r>
              <w:rPr>
                <w:b/>
                <w:color w:val="FFFFFF"/>
                <w:sz w:val="14"/>
              </w:rPr>
              <w:t>Required communication / action</w:t>
            </w:r>
          </w:p>
        </w:tc>
        <w:tc>
          <w:tcPr>
            <w:tcW w:type="dxa" w:w="2114"/>
            <w:shd w:fill="17365D"/>
            <w:tcMar>
              <w:top w:w="55" w:type="dxa"/>
              <w:start w:w="65" w:type="dxa"/>
              <w:bottom w:w="55" w:type="dxa"/>
              <w:end w:w="65" w:type="dxa"/>
            </w:tcMar>
          </w:tcPr>
          <w:p>
            <w:pPr>
              <w:jc w:val="center"/>
            </w:pPr>
            <w:r>
              <w:rPr>
                <w:b/>
                <w:color w:val="FFFFFF"/>
                <w:sz w:val="14"/>
              </w:rPr>
              <w:t>Clock effect</w:t>
            </w:r>
          </w:p>
        </w:tc>
        <w:tc>
          <w:tcPr>
            <w:tcW w:type="dxa" w:w="2114"/>
            <w:shd w:fill="17365D"/>
            <w:tcMar>
              <w:top w:w="55" w:type="dxa"/>
              <w:start w:w="65" w:type="dxa"/>
              <w:bottom w:w="55" w:type="dxa"/>
              <w:end w:w="65" w:type="dxa"/>
            </w:tcMar>
          </w:tcPr>
          <w:p>
            <w:pPr>
              <w:jc w:val="center"/>
            </w:pPr>
            <w:r>
              <w:rPr>
                <w:b/>
                <w:color w:val="FFFFFF"/>
                <w:sz w:val="14"/>
              </w:rPr>
              <w:t>Authority</w:t>
            </w:r>
          </w:p>
        </w:tc>
      </w:tr>
      <w:tr>
        <w:trPr>
          <w:cantSplit/>
        </w:trPr>
        <w:tc>
          <w:tcPr>
            <w:tcW w:type="dxa" w:w="2114"/>
            <w:tcMar>
              <w:top w:w="55" w:type="dxa"/>
              <w:start w:w="65" w:type="dxa"/>
              <w:bottom w:w="55" w:type="dxa"/>
              <w:end w:w="65" w:type="dxa"/>
            </w:tcMar>
            <w:vAlign w:val="center"/>
          </w:tcPr>
          <w:p>
            <w:r>
              <w:rPr>
                <w:sz w:val="14"/>
              </w:rPr>
              <w:t>Inspection request</w:t>
            </w:r>
          </w:p>
        </w:tc>
        <w:tc>
          <w:tcPr>
            <w:tcW w:type="dxa" w:w="2114"/>
            <w:tcMar>
              <w:top w:w="55" w:type="dxa"/>
              <w:start w:w="65" w:type="dxa"/>
              <w:bottom w:w="55" w:type="dxa"/>
              <w:end w:w="65" w:type="dxa"/>
            </w:tcMar>
            <w:vAlign w:val="center"/>
          </w:tcPr>
          <w:p>
            <w:r>
              <w:rPr>
                <w:sz w:val="14"/>
              </w:rPr>
              <w:t>Promptly</w:t>
            </w:r>
          </w:p>
        </w:tc>
        <w:tc>
          <w:tcPr>
            <w:tcW w:type="dxa" w:w="2114"/>
            <w:tcMar>
              <w:top w:w="55" w:type="dxa"/>
              <w:start w:w="65" w:type="dxa"/>
              <w:bottom w:w="55" w:type="dxa"/>
              <w:end w:w="65" w:type="dxa"/>
            </w:tcMar>
            <w:vAlign w:val="center"/>
          </w:tcPr>
          <w:p>
            <w:r>
              <w:rPr>
                <w:sz w:val="14"/>
              </w:rPr>
              <w:t>Prepare responsive records and make available at reasonable times.</w:t>
            </w:r>
          </w:p>
        </w:tc>
        <w:tc>
          <w:tcPr>
            <w:tcW w:type="dxa" w:w="2114"/>
            <w:tcMar>
              <w:top w:w="55" w:type="dxa"/>
              <w:start w:w="65" w:type="dxa"/>
              <w:bottom w:w="55" w:type="dxa"/>
              <w:end w:w="65" w:type="dxa"/>
            </w:tcMar>
            <w:vAlign w:val="center"/>
          </w:tcPr>
          <w:p>
            <w:r>
              <w:rPr>
                <w:sz w:val="14"/>
              </w:rPr>
              <w:t>Qualitative timer begins on receipt.</w:t>
            </w:r>
          </w:p>
        </w:tc>
        <w:tc>
          <w:tcPr>
            <w:tcW w:type="dxa" w:w="2114"/>
            <w:tcMar>
              <w:top w:w="55" w:type="dxa"/>
              <w:start w:w="65" w:type="dxa"/>
              <w:bottom w:w="55" w:type="dxa"/>
              <w:end w:w="65" w:type="dxa"/>
            </w:tcMar>
            <w:vAlign w:val="center"/>
          </w:tcPr>
          <w:p>
            <w:r>
              <w:rPr>
                <w:sz w:val="14"/>
              </w:rPr>
              <w:t>§ 149.43(B)(1)</w:t>
            </w:r>
          </w:p>
        </w:tc>
      </w:tr>
      <w:tr>
        <w:trPr>
          <w:cantSplit/>
        </w:trPr>
        <w:tc>
          <w:tcPr>
            <w:tcW w:type="dxa" w:w="2114"/>
            <w:tcMar>
              <w:top w:w="55" w:type="dxa"/>
              <w:start w:w="65" w:type="dxa"/>
              <w:bottom w:w="55" w:type="dxa"/>
              <w:end w:w="65" w:type="dxa"/>
            </w:tcMar>
            <w:vAlign w:val="center"/>
            <w:shd w:fill="F8FAFC"/>
          </w:tcPr>
          <w:p>
            <w:r>
              <w:rPr>
                <w:sz w:val="14"/>
              </w:rPr>
              <w:t>Copy request</w:t>
            </w:r>
          </w:p>
        </w:tc>
        <w:tc>
          <w:tcPr>
            <w:tcW w:type="dxa" w:w="2114"/>
            <w:tcMar>
              <w:top w:w="55" w:type="dxa"/>
              <w:start w:w="65" w:type="dxa"/>
              <w:bottom w:w="55" w:type="dxa"/>
              <w:end w:w="65" w:type="dxa"/>
            </w:tcMar>
            <w:vAlign w:val="center"/>
            <w:shd w:fill="F8FAFC"/>
          </w:tcPr>
          <w:p>
            <w:r>
              <w:rPr>
                <w:sz w:val="14"/>
              </w:rPr>
              <w:t>Reasonable period of time</w:t>
            </w:r>
          </w:p>
        </w:tc>
        <w:tc>
          <w:tcPr>
            <w:tcW w:type="dxa" w:w="2114"/>
            <w:tcMar>
              <w:top w:w="55" w:type="dxa"/>
              <w:start w:w="65" w:type="dxa"/>
              <w:bottom w:w="55" w:type="dxa"/>
              <w:end w:w="65" w:type="dxa"/>
            </w:tcMar>
            <w:vAlign w:val="center"/>
            <w:shd w:fill="F8FAFC"/>
          </w:tcPr>
          <w:p>
            <w:r>
              <w:rPr>
                <w:sz w:val="14"/>
              </w:rPr>
              <w:t>Provide copies at cost in requester-selected reasonable medium.</w:t>
            </w:r>
          </w:p>
        </w:tc>
        <w:tc>
          <w:tcPr>
            <w:tcW w:type="dxa" w:w="2114"/>
            <w:tcMar>
              <w:top w:w="55" w:type="dxa"/>
              <w:start w:w="65" w:type="dxa"/>
              <w:bottom w:w="55" w:type="dxa"/>
              <w:end w:w="65" w:type="dxa"/>
            </w:tcMar>
            <w:vAlign w:val="center"/>
            <w:shd w:fill="F8FAFC"/>
          </w:tcPr>
          <w:p>
            <w:r>
              <w:rPr>
                <w:sz w:val="14"/>
              </w:rPr>
              <w:t>Qualitative copy timer.</w:t>
            </w:r>
          </w:p>
        </w:tc>
        <w:tc>
          <w:tcPr>
            <w:tcW w:type="dxa" w:w="2114"/>
            <w:tcMar>
              <w:top w:w="55" w:type="dxa"/>
              <w:start w:w="65" w:type="dxa"/>
              <w:bottom w:w="55" w:type="dxa"/>
              <w:end w:w="65" w:type="dxa"/>
            </w:tcMar>
            <w:vAlign w:val="center"/>
            <w:shd w:fill="F8FAFC"/>
          </w:tcPr>
          <w:p>
            <w:r>
              <w:rPr>
                <w:sz w:val="14"/>
              </w:rPr>
              <w:t>§ 149.43(B)(1), (6)</w:t>
            </w:r>
          </w:p>
        </w:tc>
      </w:tr>
      <w:tr>
        <w:trPr>
          <w:cantSplit/>
        </w:trPr>
        <w:tc>
          <w:tcPr>
            <w:tcW w:type="dxa" w:w="2114"/>
            <w:tcMar>
              <w:top w:w="55" w:type="dxa"/>
              <w:start w:w="65" w:type="dxa"/>
              <w:bottom w:w="55" w:type="dxa"/>
              <w:end w:w="65" w:type="dxa"/>
            </w:tcMar>
            <w:vAlign w:val="center"/>
          </w:tcPr>
          <w:p>
            <w:r>
              <w:rPr>
                <w:sz w:val="14"/>
              </w:rPr>
              <w:t>Ambiguous/overly broad request</w:t>
            </w:r>
          </w:p>
        </w:tc>
        <w:tc>
          <w:tcPr>
            <w:tcW w:type="dxa" w:w="2114"/>
            <w:tcMar>
              <w:top w:w="55" w:type="dxa"/>
              <w:start w:w="65" w:type="dxa"/>
              <w:bottom w:w="55" w:type="dxa"/>
              <w:end w:w="65" w:type="dxa"/>
            </w:tcMar>
            <w:vAlign w:val="center"/>
          </w:tcPr>
          <w:p>
            <w:r>
              <w:rPr>
                <w:sz w:val="14"/>
              </w:rPr>
              <w:t>When identification fails</w:t>
            </w:r>
          </w:p>
        </w:tc>
        <w:tc>
          <w:tcPr>
            <w:tcW w:type="dxa" w:w="2114"/>
            <w:tcMar>
              <w:top w:w="55" w:type="dxa"/>
              <w:start w:w="65" w:type="dxa"/>
              <w:bottom w:w="55" w:type="dxa"/>
              <w:end w:w="65" w:type="dxa"/>
            </w:tcMar>
            <w:vAlign w:val="center"/>
          </w:tcPr>
          <w:p>
            <w:r>
              <w:rPr>
                <w:sz w:val="14"/>
              </w:rPr>
              <w:t>May deny, but must explain maintenance/access methods and allow revision.</w:t>
            </w:r>
          </w:p>
        </w:tc>
        <w:tc>
          <w:tcPr>
            <w:tcW w:type="dxa" w:w="2114"/>
            <w:tcMar>
              <w:top w:w="55" w:type="dxa"/>
              <w:start w:w="65" w:type="dxa"/>
              <w:bottom w:w="55" w:type="dxa"/>
              <w:end w:w="65" w:type="dxa"/>
            </w:tcMar>
            <w:vAlign w:val="center"/>
          </w:tcPr>
          <w:p>
            <w:r>
              <w:rPr>
                <w:sz w:val="14"/>
              </w:rPr>
              <w:t>Revision-assistance branch; no explicit statewide restart formula.</w:t>
            </w:r>
          </w:p>
        </w:tc>
        <w:tc>
          <w:tcPr>
            <w:tcW w:type="dxa" w:w="2114"/>
            <w:tcMar>
              <w:top w:w="55" w:type="dxa"/>
              <w:start w:w="65" w:type="dxa"/>
              <w:bottom w:w="55" w:type="dxa"/>
              <w:end w:w="65" w:type="dxa"/>
            </w:tcMar>
            <w:vAlign w:val="center"/>
          </w:tcPr>
          <w:p>
            <w:r>
              <w:rPr>
                <w:sz w:val="14"/>
              </w:rPr>
              <w:t>§ 149.43(B)(2)</w:t>
            </w:r>
          </w:p>
        </w:tc>
      </w:tr>
      <w:tr>
        <w:trPr>
          <w:cantSplit/>
        </w:trPr>
        <w:tc>
          <w:tcPr>
            <w:tcW w:type="dxa" w:w="2114"/>
            <w:tcMar>
              <w:top w:w="55" w:type="dxa"/>
              <w:start w:w="65" w:type="dxa"/>
              <w:bottom w:w="55" w:type="dxa"/>
              <w:end w:w="65" w:type="dxa"/>
            </w:tcMar>
            <w:vAlign w:val="center"/>
            <w:shd w:fill="F8FAFC"/>
          </w:tcPr>
          <w:p>
            <w:r>
              <w:rPr>
                <w:sz w:val="14"/>
              </w:rPr>
              <w:t>Final full/partial denial</w:t>
            </w:r>
          </w:p>
        </w:tc>
        <w:tc>
          <w:tcPr>
            <w:tcW w:type="dxa" w:w="2114"/>
            <w:tcMar>
              <w:top w:w="55" w:type="dxa"/>
              <w:start w:w="65" w:type="dxa"/>
              <w:bottom w:w="55" w:type="dxa"/>
              <w:end w:w="65" w:type="dxa"/>
            </w:tcMar>
            <w:vAlign w:val="center"/>
            <w:shd w:fill="F8FAFC"/>
          </w:tcPr>
          <w:p>
            <w:r>
              <w:rPr>
                <w:sz w:val="14"/>
              </w:rPr>
              <w:t>With final denial</w:t>
            </w:r>
          </w:p>
        </w:tc>
        <w:tc>
          <w:tcPr>
            <w:tcW w:type="dxa" w:w="2114"/>
            <w:tcMar>
              <w:top w:w="55" w:type="dxa"/>
              <w:start w:w="65" w:type="dxa"/>
              <w:bottom w:w="55" w:type="dxa"/>
              <w:end w:w="65" w:type="dxa"/>
            </w:tcMar>
            <w:vAlign w:val="center"/>
            <w:shd w:fill="F8FAFC"/>
          </w:tcPr>
          <w:p>
            <w:r>
              <w:rPr>
                <w:sz w:val="14"/>
              </w:rPr>
              <w:t>Explain reason and legal authority; in writing when original request was written.</w:t>
            </w:r>
          </w:p>
        </w:tc>
        <w:tc>
          <w:tcPr>
            <w:tcW w:type="dxa" w:w="2114"/>
            <w:tcMar>
              <w:top w:w="55" w:type="dxa"/>
              <w:start w:w="65" w:type="dxa"/>
              <w:bottom w:w="55" w:type="dxa"/>
              <w:end w:w="65" w:type="dxa"/>
            </w:tcMar>
            <w:vAlign w:val="center"/>
            <w:shd w:fill="F8FAFC"/>
          </w:tcPr>
          <w:p>
            <w:r>
              <w:rPr>
                <w:sz w:val="14"/>
              </w:rPr>
              <w:t>Denial/appeal event.</w:t>
            </w:r>
          </w:p>
        </w:tc>
        <w:tc>
          <w:tcPr>
            <w:tcW w:type="dxa" w:w="2114"/>
            <w:tcMar>
              <w:top w:w="55" w:type="dxa"/>
              <w:start w:w="65" w:type="dxa"/>
              <w:bottom w:w="55" w:type="dxa"/>
              <w:end w:w="65" w:type="dxa"/>
            </w:tcMar>
            <w:vAlign w:val="center"/>
            <w:shd w:fill="F8FAFC"/>
          </w:tcPr>
          <w:p>
            <w:r>
              <w:rPr>
                <w:sz w:val="14"/>
              </w:rPr>
              <w:t>§ 149.43(B)(3)</w:t>
            </w:r>
          </w:p>
        </w:tc>
      </w:tr>
      <w:tr>
        <w:trPr>
          <w:cantSplit/>
        </w:trPr>
        <w:tc>
          <w:tcPr>
            <w:tcW w:type="dxa" w:w="2114"/>
            <w:tcMar>
              <w:top w:w="55" w:type="dxa"/>
              <w:start w:w="65" w:type="dxa"/>
              <w:bottom w:w="55" w:type="dxa"/>
              <w:end w:w="65" w:type="dxa"/>
            </w:tcMar>
            <w:vAlign w:val="center"/>
          </w:tcPr>
          <w:p>
            <w:r>
              <w:rPr>
                <w:sz w:val="14"/>
              </w:rPr>
              <w:t>Video request where estimated-cost prepayment policy applies</w:t>
            </w:r>
          </w:p>
        </w:tc>
        <w:tc>
          <w:tcPr>
            <w:tcW w:type="dxa" w:w="2114"/>
            <w:tcMar>
              <w:top w:w="55" w:type="dxa"/>
              <w:start w:w="65" w:type="dxa"/>
              <w:bottom w:w="55" w:type="dxa"/>
              <w:end w:w="65" w:type="dxa"/>
            </w:tcMar>
            <w:vAlign w:val="center"/>
          </w:tcPr>
          <w:p>
            <w:r>
              <w:rPr>
                <w:sz w:val="14"/>
              </w:rPr>
              <w:t>5 business days from receipt</w:t>
            </w:r>
          </w:p>
        </w:tc>
        <w:tc>
          <w:tcPr>
            <w:tcW w:type="dxa" w:w="2114"/>
            <w:tcMar>
              <w:top w:w="55" w:type="dxa"/>
              <w:start w:w="65" w:type="dxa"/>
              <w:bottom w:w="55" w:type="dxa"/>
              <w:end w:w="65" w:type="dxa"/>
            </w:tcMar>
            <w:vAlign w:val="center"/>
          </w:tcPr>
          <w:p>
            <w:r>
              <w:rPr>
                <w:sz w:val="14"/>
              </w:rPr>
              <w:t>Provide estimated actual cost.</w:t>
            </w:r>
          </w:p>
        </w:tc>
        <w:tc>
          <w:tcPr>
            <w:tcW w:type="dxa" w:w="2114"/>
            <w:tcMar>
              <w:top w:w="55" w:type="dxa"/>
              <w:start w:w="65" w:type="dxa"/>
              <w:bottom w:w="55" w:type="dxa"/>
              <w:end w:w="65" w:type="dxa"/>
            </w:tcMar>
            <w:vAlign w:val="center"/>
          </w:tcPr>
          <w:p>
            <w:r>
              <w:rPr>
                <w:sz w:val="14"/>
              </w:rPr>
              <w:t>Production obligation begins after full payment.</w:t>
            </w:r>
          </w:p>
        </w:tc>
        <w:tc>
          <w:tcPr>
            <w:tcW w:type="dxa" w:w="2114"/>
            <w:tcMar>
              <w:top w:w="55" w:type="dxa"/>
              <w:start w:w="65" w:type="dxa"/>
              <w:bottom w:w="55" w:type="dxa"/>
              <w:end w:w="65" w:type="dxa"/>
            </w:tcMar>
            <w:vAlign w:val="center"/>
          </w:tcPr>
          <w:p>
            <w:r>
              <w:rPr>
                <w:sz w:val="14"/>
              </w:rPr>
              <w:t>§ 149.43(B)(1)</w:t>
            </w:r>
          </w:p>
        </w:tc>
      </w:tr>
      <w:tr>
        <w:trPr>
          <w:cantSplit/>
        </w:trPr>
        <w:tc>
          <w:tcPr>
            <w:tcW w:type="dxa" w:w="2114"/>
            <w:tcMar>
              <w:top w:w="55" w:type="dxa"/>
              <w:start w:w="65" w:type="dxa"/>
              <w:bottom w:w="55" w:type="dxa"/>
              <w:end w:w="65" w:type="dxa"/>
            </w:tcMar>
            <w:vAlign w:val="center"/>
            <w:shd w:fill="F8FAFC"/>
          </w:tcPr>
          <w:p>
            <w:r>
              <w:rPr>
                <w:sz w:val="14"/>
              </w:rPr>
              <w:t>Video actual exceeds estimate</w:t>
            </w:r>
          </w:p>
        </w:tc>
        <w:tc>
          <w:tcPr>
            <w:tcW w:type="dxa" w:w="2114"/>
            <w:tcMar>
              <w:top w:w="55" w:type="dxa"/>
              <w:start w:w="65" w:type="dxa"/>
              <w:bottom w:w="55" w:type="dxa"/>
              <w:end w:w="65" w:type="dxa"/>
            </w:tcMar>
            <w:vAlign w:val="center"/>
            <w:shd w:fill="F8FAFC"/>
          </w:tcPr>
          <w:p>
            <w:r>
              <w:rPr>
                <w:sz w:val="14"/>
              </w:rPr>
              <w:t>Before fulfillment</w:t>
            </w:r>
          </w:p>
        </w:tc>
        <w:tc>
          <w:tcPr>
            <w:tcW w:type="dxa" w:w="2114"/>
            <w:tcMar>
              <w:top w:w="55" w:type="dxa"/>
              <w:start w:w="65" w:type="dxa"/>
              <w:bottom w:w="55" w:type="dxa"/>
              <w:end w:w="65" w:type="dxa"/>
            </w:tcMar>
            <w:vAlign w:val="center"/>
            <w:shd w:fill="F8FAFC"/>
          </w:tcPr>
          <w:p>
            <w:r>
              <w:rPr>
                <w:sz w:val="14"/>
              </w:rPr>
              <w:t>Advance notice that actual may be up to 20% higher; charge no more than 20% above estimate.</w:t>
            </w:r>
          </w:p>
        </w:tc>
        <w:tc>
          <w:tcPr>
            <w:tcW w:type="dxa" w:w="2114"/>
            <w:tcMar>
              <w:top w:w="55" w:type="dxa"/>
              <w:start w:w="65" w:type="dxa"/>
              <w:bottom w:w="55" w:type="dxa"/>
              <w:end w:w="65" w:type="dxa"/>
            </w:tcMar>
            <w:vAlign w:val="center"/>
            <w:shd w:fill="F8FAFC"/>
          </w:tcPr>
          <w:p>
            <w:r>
              <w:rPr>
                <w:sz w:val="14"/>
              </w:rPr>
              <w:t>Estimate variance cap.</w:t>
            </w:r>
          </w:p>
        </w:tc>
        <w:tc>
          <w:tcPr>
            <w:tcW w:type="dxa" w:w="2114"/>
            <w:tcMar>
              <w:top w:w="55" w:type="dxa"/>
              <w:start w:w="65" w:type="dxa"/>
              <w:bottom w:w="55" w:type="dxa"/>
              <w:end w:w="65" w:type="dxa"/>
            </w:tcMar>
            <w:vAlign w:val="center"/>
            <w:shd w:fill="F8FAFC"/>
          </w:tcPr>
          <w:p>
            <w:r>
              <w:rPr>
                <w:sz w:val="14"/>
              </w:rPr>
              <w:t>§ 149.43(B)(1)</w:t>
            </w:r>
          </w:p>
        </w:tc>
      </w:tr>
      <w:tr>
        <w:trPr>
          <w:cantSplit/>
        </w:trPr>
        <w:tc>
          <w:tcPr>
            <w:tcW w:type="dxa" w:w="2114"/>
            <w:tcMar>
              <w:top w:w="55" w:type="dxa"/>
              <w:start w:w="65" w:type="dxa"/>
              <w:bottom w:w="55" w:type="dxa"/>
              <w:end w:w="65" w:type="dxa"/>
            </w:tcMar>
            <w:vAlign w:val="center"/>
          </w:tcPr>
          <w:p>
            <w:r>
              <w:rPr>
                <w:sz w:val="14"/>
              </w:rPr>
              <w:t>Pre-suit complaint transmitted to office</w:t>
            </w:r>
          </w:p>
        </w:tc>
        <w:tc>
          <w:tcPr>
            <w:tcW w:type="dxa" w:w="2114"/>
            <w:tcMar>
              <w:top w:w="55" w:type="dxa"/>
              <w:start w:w="65" w:type="dxa"/>
              <w:bottom w:w="55" w:type="dxa"/>
              <w:end w:w="65" w:type="dxa"/>
            </w:tcMar>
            <w:vAlign w:val="center"/>
          </w:tcPr>
          <w:p>
            <w:r>
              <w:rPr>
                <w:sz w:val="14"/>
              </w:rPr>
              <w:t>3 business days</w:t>
            </w:r>
          </w:p>
        </w:tc>
        <w:tc>
          <w:tcPr>
            <w:tcW w:type="dxa" w:w="2114"/>
            <w:tcMar>
              <w:top w:w="55" w:type="dxa"/>
              <w:start w:w="65" w:type="dxa"/>
              <w:bottom w:w="55" w:type="dxa"/>
              <w:end w:w="65" w:type="dxa"/>
            </w:tcMar>
            <w:vAlign w:val="center"/>
          </w:tcPr>
          <w:p>
            <w:r>
              <w:rPr>
                <w:sz w:val="14"/>
              </w:rPr>
              <w:t>Cure or otherwise address alleged failure before suit.</w:t>
            </w:r>
          </w:p>
        </w:tc>
        <w:tc>
          <w:tcPr>
            <w:tcW w:type="dxa" w:w="2114"/>
            <w:tcMar>
              <w:top w:w="55" w:type="dxa"/>
              <w:start w:w="65" w:type="dxa"/>
              <w:bottom w:w="55" w:type="dxa"/>
              <w:end w:w="65" w:type="dxa"/>
            </w:tcMar>
            <w:vAlign w:val="center"/>
          </w:tcPr>
          <w:p>
            <w:r>
              <w:rPr>
                <w:sz w:val="14"/>
              </w:rPr>
              <w:t>Compliance cure period.</w:t>
            </w:r>
          </w:p>
        </w:tc>
        <w:tc>
          <w:tcPr>
            <w:tcW w:type="dxa" w:w="2114"/>
            <w:tcMar>
              <w:top w:w="55" w:type="dxa"/>
              <w:start w:w="65" w:type="dxa"/>
              <w:bottom w:w="55" w:type="dxa"/>
              <w:end w:w="65" w:type="dxa"/>
            </w:tcMar>
            <w:vAlign w:val="center"/>
          </w:tcPr>
          <w:p>
            <w:r>
              <w:rPr>
                <w:sz w:val="14"/>
              </w:rPr>
              <w:t>§ 149.43(C)(1)</w:t>
            </w:r>
          </w:p>
        </w:tc>
      </w:tr>
    </w:tbl>
    <w:p>
      <w:pPr>
        <w:pStyle w:val="Heading1"/>
      </w:pPr>
      <w:r>
        <w:t>5. Vague, Unclear, or Overly Broad Requests</w:t>
      </w:r>
    </w:p>
    <w:p>
      <w:pPr>
        <w:pStyle w:val="ListBullet"/>
        <w:spacing w:after="30"/>
      </w:pPr>
      <w:r>
        <w:t>When a request is ambiguous or overly broad so the office cannot reasonably identify the records, the office may deny it only with an opportunity to revise.</w:t>
      </w:r>
    </w:p>
    <w:p>
      <w:pPr>
        <w:pStyle w:val="ListBullet"/>
        <w:spacing w:after="30"/>
      </w:pPr>
      <w:r>
        <w:t>The assistance must inform the requester how records are maintained and accessed in the ordinary course of duties; a generic “too broad” message is insufficient for the configured workflow.</w:t>
      </w:r>
    </w:p>
    <w:p>
      <w:pPr>
        <w:pStyle w:val="ListBullet"/>
        <w:spacing w:after="30"/>
      </w:pPr>
      <w:r>
        <w:t>The statute does not specify a universal clarification pause, restart, or abandonment period. Preserve the original request, assistance provided, revision, and any local operational handling.</w:t>
      </w:r>
    </w:p>
    <w:p>
      <w:pPr>
        <w:pStyle w:val="ListBullet"/>
        <w:spacing w:after="30"/>
      </w:pPr>
      <w:r>
        <w:t>The portal/taxonomy can help generate the required explanation by showing record series, departments, retention schedules, and ordinary search fields.</w:t>
      </w:r>
    </w:p>
    <w:p>
      <w:pPr>
        <w:pStyle w:val="Heading1"/>
      </w:pPr>
      <w:r>
        <w:t>6. Denial and Partial-Denial Process</w:t>
      </w:r>
    </w:p>
    <w:p>
      <w:pPr>
        <w:pStyle w:val="ListBullet"/>
        <w:spacing w:after="30"/>
      </w:pPr>
      <w:r>
        <w:t>An ultimate denial, in whole or part, requires an explanation including legal authority; if the request was written, the explanation must also be written.</w:t>
      </w:r>
    </w:p>
    <w:p>
      <w:pPr>
        <w:pStyle w:val="ListBullet"/>
        <w:spacing w:after="30"/>
      </w:pPr>
      <w:r>
        <w:t>A redaction is generally treated as a denial of access to the redacted information, except when law authorizes or requires the redaction. The office must notify the requester or make redaction plainly visible.</w:t>
      </w:r>
    </w:p>
    <w:p>
      <w:pPr>
        <w:pStyle w:val="ListBullet"/>
        <w:spacing w:after="30"/>
      </w:pPr>
      <w:r>
        <w:t>Nonexempt portions must be made available.</w:t>
      </w:r>
    </w:p>
    <w:p>
      <w:pPr>
        <w:pStyle w:val="ListBullet"/>
        <w:spacing w:after="30"/>
      </w:pPr>
      <w:r>
        <w:t>The denial workflow should not prevent the office from later relying on additional defenses, but the contemporaneous notice should capture the known authority and facts.</w:t>
      </w:r>
    </w:p>
    <w:p>
      <w:pPr>
        <w:pStyle w:val="Heading1"/>
      </w:pPr>
      <w:r>
        <w:t>7. Legal Classifications, Tracks, and Operational Classifications</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4"/>
              </w:rPr>
              <w:t>Classification / flag</w:t>
            </w:r>
          </w:p>
        </w:tc>
        <w:tc>
          <w:tcPr>
            <w:tcW w:type="dxa" w:w="2642"/>
            <w:shd w:fill="17365D"/>
            <w:tcMar>
              <w:top w:w="55" w:type="dxa"/>
              <w:start w:w="65" w:type="dxa"/>
              <w:bottom w:w="55" w:type="dxa"/>
              <w:end w:w="65" w:type="dxa"/>
            </w:tcMar>
          </w:tcPr>
          <w:p>
            <w:pPr>
              <w:jc w:val="center"/>
            </w:pPr>
            <w:r>
              <w:rPr>
                <w:b/>
                <w:color w:val="FFFFFF"/>
                <w:sz w:val="14"/>
              </w:rPr>
              <w:t>Legal or operational</w:t>
            </w:r>
          </w:p>
        </w:tc>
        <w:tc>
          <w:tcPr>
            <w:tcW w:type="dxa" w:w="2642"/>
            <w:shd w:fill="17365D"/>
            <w:tcMar>
              <w:top w:w="55" w:type="dxa"/>
              <w:start w:w="65" w:type="dxa"/>
              <w:bottom w:w="55" w:type="dxa"/>
              <w:end w:w="65" w:type="dxa"/>
            </w:tcMar>
          </w:tcPr>
          <w:p>
            <w:pPr>
              <w:jc w:val="center"/>
            </w:pPr>
            <w:r>
              <w:rPr>
                <w:b/>
                <w:color w:val="FFFFFF"/>
                <w:sz w:val="14"/>
              </w:rPr>
              <w:t>Workflow effect</w:t>
            </w:r>
          </w:p>
        </w:tc>
        <w:tc>
          <w:tcPr>
            <w:tcW w:type="dxa" w:w="2642"/>
            <w:shd w:fill="17365D"/>
            <w:tcMar>
              <w:top w:w="55" w:type="dxa"/>
              <w:start w:w="65" w:type="dxa"/>
              <w:bottom w:w="55" w:type="dxa"/>
              <w:end w:w="65" w:type="dxa"/>
            </w:tcMar>
          </w:tcPr>
          <w:p>
            <w:pPr>
              <w:jc w:val="center"/>
            </w:pPr>
            <w:r>
              <w:rPr>
                <w:b/>
                <w:color w:val="FFFFFF"/>
                <w:sz w:val="14"/>
              </w:rPr>
              <w:t>Timer / communication effect</w:t>
            </w:r>
          </w:p>
        </w:tc>
      </w:tr>
      <w:tr>
        <w:trPr>
          <w:cantSplit/>
        </w:trPr>
        <w:tc>
          <w:tcPr>
            <w:tcW w:type="dxa" w:w="2642"/>
            <w:tcMar>
              <w:top w:w="55" w:type="dxa"/>
              <w:start w:w="65" w:type="dxa"/>
              <w:bottom w:w="55" w:type="dxa"/>
              <w:end w:w="65" w:type="dxa"/>
            </w:tcMar>
            <w:vAlign w:val="center"/>
          </w:tcPr>
          <w:p>
            <w:r>
              <w:rPr>
                <w:sz w:val="14"/>
              </w:rPr>
              <w:t>General inspection request</w:t>
            </w:r>
          </w:p>
        </w:tc>
        <w:tc>
          <w:tcPr>
            <w:tcW w:type="dxa" w:w="2642"/>
            <w:tcMar>
              <w:top w:w="55" w:type="dxa"/>
              <w:start w:w="65" w:type="dxa"/>
              <w:bottom w:w="55" w:type="dxa"/>
              <w:end w:w="65" w:type="dxa"/>
            </w:tcMar>
            <w:vAlign w:val="center"/>
          </w:tcPr>
          <w:p>
            <w:r>
              <w:rPr>
                <w:sz w:val="14"/>
              </w:rPr>
              <w:t>Legal</w:t>
            </w:r>
          </w:p>
        </w:tc>
        <w:tc>
          <w:tcPr>
            <w:tcW w:type="dxa" w:w="2642"/>
            <w:tcMar>
              <w:top w:w="55" w:type="dxa"/>
              <w:start w:w="65" w:type="dxa"/>
              <w:bottom w:w="55" w:type="dxa"/>
              <w:end w:w="65" w:type="dxa"/>
            </w:tcMar>
            <w:vAlign w:val="center"/>
          </w:tcPr>
          <w:p>
            <w:r>
              <w:rPr>
                <w:sz w:val="14"/>
              </w:rPr>
              <w:t>Prompt availability; generally no copy charge for inspection.</w:t>
            </w:r>
          </w:p>
        </w:tc>
        <w:tc>
          <w:tcPr>
            <w:tcW w:type="dxa" w:w="2642"/>
            <w:tcMar>
              <w:top w:w="55" w:type="dxa"/>
              <w:start w:w="65" w:type="dxa"/>
              <w:bottom w:w="55" w:type="dxa"/>
              <w:end w:w="65" w:type="dxa"/>
            </w:tcMar>
            <w:vAlign w:val="center"/>
          </w:tcPr>
          <w:p>
            <w:r>
              <w:rPr>
                <w:sz w:val="14"/>
              </w:rPr>
              <w:t>Qualitative prompt standard.</w:t>
            </w:r>
          </w:p>
        </w:tc>
      </w:tr>
      <w:tr>
        <w:trPr>
          <w:cantSplit/>
        </w:trPr>
        <w:tc>
          <w:tcPr>
            <w:tcW w:type="dxa" w:w="2642"/>
            <w:tcMar>
              <w:top w:w="55" w:type="dxa"/>
              <w:start w:w="65" w:type="dxa"/>
              <w:bottom w:w="55" w:type="dxa"/>
              <w:end w:w="65" w:type="dxa"/>
            </w:tcMar>
            <w:vAlign w:val="center"/>
            <w:shd w:fill="F8FAFC"/>
          </w:tcPr>
          <w:p>
            <w:r>
              <w:rPr>
                <w:sz w:val="14"/>
              </w:rPr>
              <w:t>General copy request</w:t>
            </w:r>
          </w:p>
        </w:tc>
        <w:tc>
          <w:tcPr>
            <w:tcW w:type="dxa" w:w="2642"/>
            <w:tcMar>
              <w:top w:w="55" w:type="dxa"/>
              <w:start w:w="65" w:type="dxa"/>
              <w:bottom w:w="55" w:type="dxa"/>
              <w:end w:w="65" w:type="dxa"/>
            </w:tcMar>
            <w:vAlign w:val="center"/>
            <w:shd w:fill="F8FAFC"/>
          </w:tcPr>
          <w:p>
            <w:r>
              <w:rPr>
                <w:sz w:val="14"/>
              </w:rPr>
              <w:t>Legal/fee</w:t>
            </w:r>
          </w:p>
        </w:tc>
        <w:tc>
          <w:tcPr>
            <w:tcW w:type="dxa" w:w="2642"/>
            <w:tcMar>
              <w:top w:w="55" w:type="dxa"/>
              <w:start w:w="65" w:type="dxa"/>
              <w:bottom w:w="55" w:type="dxa"/>
              <w:end w:w="65" w:type="dxa"/>
            </w:tcMar>
            <w:vAlign w:val="center"/>
            <w:shd w:fill="F8FAFC"/>
          </w:tcPr>
          <w:p>
            <w:r>
              <w:rPr>
                <w:sz w:val="14"/>
              </w:rPr>
              <w:t>Copies at cost in chosen reasonable medium.</w:t>
            </w:r>
          </w:p>
        </w:tc>
        <w:tc>
          <w:tcPr>
            <w:tcW w:type="dxa" w:w="2642"/>
            <w:tcMar>
              <w:top w:w="55" w:type="dxa"/>
              <w:start w:w="65" w:type="dxa"/>
              <w:bottom w:w="55" w:type="dxa"/>
              <w:end w:w="65" w:type="dxa"/>
            </w:tcMar>
            <w:vAlign w:val="center"/>
            <w:shd w:fill="F8FAFC"/>
          </w:tcPr>
          <w:p>
            <w:r>
              <w:rPr>
                <w:sz w:val="14"/>
              </w:rPr>
              <w:t>Reasonable-period standard and optional advance cost.</w:t>
            </w:r>
          </w:p>
        </w:tc>
      </w:tr>
      <w:tr>
        <w:trPr>
          <w:cantSplit/>
        </w:trPr>
        <w:tc>
          <w:tcPr>
            <w:tcW w:type="dxa" w:w="2642"/>
            <w:tcMar>
              <w:top w:w="55" w:type="dxa"/>
              <w:start w:w="65" w:type="dxa"/>
              <w:bottom w:w="55" w:type="dxa"/>
              <w:end w:w="65" w:type="dxa"/>
            </w:tcMar>
            <w:vAlign w:val="center"/>
          </w:tcPr>
          <w:p>
            <w:r>
              <w:rPr>
                <w:sz w:val="14"/>
              </w:rPr>
              <w:t>Ambiguous/overly broad</w:t>
            </w:r>
          </w:p>
        </w:tc>
        <w:tc>
          <w:tcPr>
            <w:tcW w:type="dxa" w:w="2642"/>
            <w:tcMar>
              <w:top w:w="55" w:type="dxa"/>
              <w:start w:w="65" w:type="dxa"/>
              <w:bottom w:w="55" w:type="dxa"/>
              <w:end w:w="65" w:type="dxa"/>
            </w:tcMar>
            <w:vAlign w:val="center"/>
          </w:tcPr>
          <w:p>
            <w:r>
              <w:rPr>
                <w:sz w:val="14"/>
              </w:rPr>
              <w:t>Legal validation result</w:t>
            </w:r>
          </w:p>
        </w:tc>
        <w:tc>
          <w:tcPr>
            <w:tcW w:type="dxa" w:w="2642"/>
            <w:tcMar>
              <w:top w:w="55" w:type="dxa"/>
              <w:start w:w="65" w:type="dxa"/>
              <w:bottom w:w="55" w:type="dxa"/>
              <w:end w:w="65" w:type="dxa"/>
            </w:tcMar>
            <w:vAlign w:val="center"/>
          </w:tcPr>
          <w:p>
            <w:r>
              <w:rPr>
                <w:sz w:val="14"/>
              </w:rPr>
              <w:t>Revision-assistance required before final closure.</w:t>
            </w:r>
          </w:p>
        </w:tc>
        <w:tc>
          <w:tcPr>
            <w:tcW w:type="dxa" w:w="2642"/>
            <w:tcMar>
              <w:top w:w="55" w:type="dxa"/>
              <w:start w:w="65" w:type="dxa"/>
              <w:bottom w:w="55" w:type="dxa"/>
              <w:end w:w="65" w:type="dxa"/>
            </w:tcMar>
            <w:vAlign w:val="center"/>
          </w:tcPr>
          <w:p>
            <w:r>
              <w:rPr>
                <w:sz w:val="14"/>
              </w:rPr>
              <w:t>No fixed statewide clarification clock.</w:t>
            </w:r>
          </w:p>
        </w:tc>
      </w:tr>
      <w:tr>
        <w:trPr>
          <w:cantSplit/>
        </w:trPr>
        <w:tc>
          <w:tcPr>
            <w:tcW w:type="dxa" w:w="2642"/>
            <w:tcMar>
              <w:top w:w="55" w:type="dxa"/>
              <w:start w:w="65" w:type="dxa"/>
              <w:bottom w:w="55" w:type="dxa"/>
              <w:end w:w="65" w:type="dxa"/>
            </w:tcMar>
            <w:vAlign w:val="center"/>
            <w:shd w:fill="F8FAFC"/>
          </w:tcPr>
          <w:p>
            <w:r>
              <w:rPr>
                <w:sz w:val="14"/>
              </w:rPr>
              <w:t>Law-enforcement/prosecutor video</w:t>
            </w:r>
          </w:p>
        </w:tc>
        <w:tc>
          <w:tcPr>
            <w:tcW w:type="dxa" w:w="2642"/>
            <w:tcMar>
              <w:top w:w="55" w:type="dxa"/>
              <w:start w:w="65" w:type="dxa"/>
              <w:bottom w:w="55" w:type="dxa"/>
              <w:end w:w="65" w:type="dxa"/>
            </w:tcMar>
            <w:vAlign w:val="center"/>
            <w:shd w:fill="F8FAFC"/>
          </w:tcPr>
          <w:p>
            <w:r>
              <w:rPr>
                <w:sz w:val="14"/>
              </w:rPr>
              <w:t>Legal special track</w:t>
            </w:r>
          </w:p>
        </w:tc>
        <w:tc>
          <w:tcPr>
            <w:tcW w:type="dxa" w:w="2642"/>
            <w:tcMar>
              <w:top w:w="55" w:type="dxa"/>
              <w:start w:w="65" w:type="dxa"/>
              <w:bottom w:w="55" w:type="dxa"/>
              <w:end w:w="65" w:type="dxa"/>
            </w:tcMar>
            <w:vAlign w:val="center"/>
            <w:shd w:fill="F8FAFC"/>
          </w:tcPr>
          <w:p>
            <w:r>
              <w:rPr>
                <w:sz w:val="14"/>
              </w:rPr>
              <w:t>Special fee caps, estimate timing, prepayment, and victim waiver.</w:t>
            </w:r>
          </w:p>
        </w:tc>
        <w:tc>
          <w:tcPr>
            <w:tcW w:type="dxa" w:w="2642"/>
            <w:tcMar>
              <w:top w:w="55" w:type="dxa"/>
              <w:start w:w="65" w:type="dxa"/>
              <w:bottom w:w="55" w:type="dxa"/>
              <w:end w:w="65" w:type="dxa"/>
            </w:tcMar>
            <w:vAlign w:val="center"/>
            <w:shd w:fill="F8FAFC"/>
          </w:tcPr>
          <w:p>
            <w:r>
              <w:rPr>
                <w:sz w:val="14"/>
              </w:rPr>
              <w:t>5-business-day estimate when policy applies.</w:t>
            </w:r>
          </w:p>
        </w:tc>
      </w:tr>
      <w:tr>
        <w:trPr>
          <w:cantSplit/>
        </w:trPr>
        <w:tc>
          <w:tcPr>
            <w:tcW w:type="dxa" w:w="2642"/>
            <w:tcMar>
              <w:top w:w="55" w:type="dxa"/>
              <w:start w:w="65" w:type="dxa"/>
              <w:bottom w:w="55" w:type="dxa"/>
              <w:end w:w="65" w:type="dxa"/>
            </w:tcMar>
            <w:vAlign w:val="center"/>
          </w:tcPr>
          <w:p>
            <w:r>
              <w:rPr>
                <w:sz w:val="14"/>
              </w:rPr>
              <w:t>Simple / complex</w:t>
            </w:r>
          </w:p>
        </w:tc>
        <w:tc>
          <w:tcPr>
            <w:tcW w:type="dxa" w:w="2642"/>
            <w:tcMar>
              <w:top w:w="55" w:type="dxa"/>
              <w:start w:w="65" w:type="dxa"/>
              <w:bottom w:w="55" w:type="dxa"/>
              <w:end w:w="65" w:type="dxa"/>
            </w:tcMar>
            <w:vAlign w:val="center"/>
          </w:tcPr>
          <w:p>
            <w:r>
              <w:rPr>
                <w:sz w:val="14"/>
              </w:rPr>
              <w:t>Operational</w:t>
            </w:r>
          </w:p>
        </w:tc>
        <w:tc>
          <w:tcPr>
            <w:tcW w:type="dxa" w:w="2642"/>
            <w:tcMar>
              <w:top w:w="55" w:type="dxa"/>
              <w:start w:w="65" w:type="dxa"/>
              <w:bottom w:w="55" w:type="dxa"/>
              <w:end w:w="65" w:type="dxa"/>
            </w:tcMar>
            <w:vAlign w:val="center"/>
          </w:tcPr>
          <w:p>
            <w:r>
              <w:rPr>
                <w:sz w:val="14"/>
              </w:rPr>
              <w:t>Work assignment and service goals.</w:t>
            </w:r>
          </w:p>
        </w:tc>
        <w:tc>
          <w:tcPr>
            <w:tcW w:type="dxa" w:w="2642"/>
            <w:tcMar>
              <w:top w:w="55" w:type="dxa"/>
              <w:start w:w="65" w:type="dxa"/>
              <w:bottom w:w="55" w:type="dxa"/>
              <w:end w:w="65" w:type="dxa"/>
            </w:tcMar>
            <w:vAlign w:val="center"/>
          </w:tcPr>
          <w:p>
            <w:r>
              <w:rPr>
                <w:sz w:val="14"/>
              </w:rPr>
              <w:t>May not become an impermissible fixed response period.</w:t>
            </w:r>
          </w:p>
        </w:tc>
      </w:tr>
    </w:tbl>
    <w:p>
      <w:pPr>
        <w:pStyle w:val="Heading1"/>
      </w:pPr>
      <w:r>
        <w:t>8. Large Volume, Redaction, Programming, and Electronic Records</w:t>
      </w:r>
    </w:p>
    <w:p>
      <w:pPr>
        <w:pStyle w:val="ListBullet"/>
        <w:spacing w:after="30"/>
      </w:pPr>
      <w:r>
        <w:t>Volume and redaction affect what is prompt or reasonable; for video, courts expressly consider retrieval, download, review, redaction, legal advice, and production time.</w:t>
      </w:r>
    </w:p>
    <w:p>
      <w:pPr>
        <w:pStyle w:val="ListBullet"/>
        <w:spacing w:after="30"/>
      </w:pPr>
      <w:r>
        <w:t>The office must organize and maintain records so they can be made available, and must maintain a readily available retention schedule.</w:t>
      </w:r>
    </w:p>
    <w:p>
      <w:pPr>
        <w:pStyle w:val="ListBullet"/>
        <w:spacing w:after="30"/>
      </w:pPr>
      <w:r>
        <w:t>Electronic or other media must be offered when reasonably duplicable in normal operations; no new custom system is required merely because a requester prefers a format.</w:t>
      </w:r>
    </w:p>
    <w:p>
      <w:pPr>
        <w:pStyle w:val="ListBullet"/>
        <w:spacing w:after="30"/>
      </w:pPr>
      <w:r>
        <w:t>Redaction and video preparation should use an activity ledger so allowable special-video actual costs are separated from general nonbillable legal analysis.</w:t>
      </w:r>
    </w:p>
    <w:p>
      <w:pPr>
        <w:pStyle w:val="Heading1"/>
      </w:pPr>
      <w:r>
        <w:t>9. Fee Estimate, Deposit, Payment, and Reconciliation Workflow</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4"/>
              </w:rPr>
              <w:t>Fee component / trigger</w:t>
            </w:r>
          </w:p>
        </w:tc>
        <w:tc>
          <w:tcPr>
            <w:tcW w:type="dxa" w:w="2642"/>
            <w:shd w:fill="17365D"/>
            <w:tcMar>
              <w:top w:w="55" w:type="dxa"/>
              <w:start w:w="65" w:type="dxa"/>
              <w:bottom w:w="55" w:type="dxa"/>
              <w:end w:w="65" w:type="dxa"/>
            </w:tcMar>
          </w:tcPr>
          <w:p>
            <w:pPr>
              <w:jc w:val="center"/>
            </w:pPr>
            <w:r>
              <w:rPr>
                <w:b/>
                <w:color w:val="FFFFFF"/>
                <w:sz w:val="14"/>
              </w:rPr>
              <w:t>Statewide rule</w:t>
            </w:r>
          </w:p>
        </w:tc>
        <w:tc>
          <w:tcPr>
            <w:tcW w:type="dxa" w:w="2642"/>
            <w:shd w:fill="17365D"/>
            <w:tcMar>
              <w:top w:w="55" w:type="dxa"/>
              <w:start w:w="65" w:type="dxa"/>
              <w:bottom w:w="55" w:type="dxa"/>
              <w:end w:w="65" w:type="dxa"/>
            </w:tcMar>
          </w:tcPr>
          <w:p>
            <w:pPr>
              <w:jc w:val="center"/>
            </w:pPr>
            <w:r>
              <w:rPr>
                <w:b/>
                <w:color w:val="FFFFFF"/>
                <w:sz w:val="14"/>
              </w:rPr>
              <w:t>Estimate / payment timing</w:t>
            </w:r>
          </w:p>
        </w:tc>
        <w:tc>
          <w:tcPr>
            <w:tcW w:type="dxa" w:w="2642"/>
            <w:shd w:fill="17365D"/>
            <w:tcMar>
              <w:top w:w="55" w:type="dxa"/>
              <w:start w:w="65" w:type="dxa"/>
              <w:bottom w:w="55" w:type="dxa"/>
              <w:end w:w="65" w:type="dxa"/>
            </w:tcMar>
          </w:tcPr>
          <w:p>
            <w:pPr>
              <w:jc w:val="center"/>
            </w:pPr>
            <w:r>
              <w:rPr>
                <w:b/>
                <w:color w:val="FFFFFF"/>
                <w:sz w:val="14"/>
              </w:rPr>
              <w:t>Configuration treatment</w:t>
            </w:r>
          </w:p>
        </w:tc>
      </w:tr>
      <w:tr>
        <w:trPr>
          <w:cantSplit/>
        </w:trPr>
        <w:tc>
          <w:tcPr>
            <w:tcW w:type="dxa" w:w="2642"/>
            <w:tcMar>
              <w:top w:w="55" w:type="dxa"/>
              <w:start w:w="65" w:type="dxa"/>
              <w:bottom w:w="55" w:type="dxa"/>
              <w:end w:w="65" w:type="dxa"/>
            </w:tcMar>
            <w:vAlign w:val="center"/>
          </w:tcPr>
          <w:p>
            <w:r>
              <w:rPr>
                <w:sz w:val="14"/>
              </w:rPr>
              <w:t>General copies</w:t>
            </w:r>
          </w:p>
        </w:tc>
        <w:tc>
          <w:tcPr>
            <w:tcW w:type="dxa" w:w="2642"/>
            <w:tcMar>
              <w:top w:w="55" w:type="dxa"/>
              <w:start w:w="65" w:type="dxa"/>
              <w:bottom w:w="55" w:type="dxa"/>
              <w:end w:w="65" w:type="dxa"/>
            </w:tcMar>
            <w:vAlign w:val="center"/>
          </w:tcPr>
          <w:p>
            <w:r>
              <w:rPr>
                <w:sz w:val="14"/>
              </w:rPr>
              <w:t>At cost; requester may choose paper, same medium, or another reasonable medium.</w:t>
            </w:r>
          </w:p>
        </w:tc>
        <w:tc>
          <w:tcPr>
            <w:tcW w:type="dxa" w:w="2642"/>
            <w:tcMar>
              <w:top w:w="55" w:type="dxa"/>
              <w:start w:w="65" w:type="dxa"/>
              <w:bottom w:w="55" w:type="dxa"/>
              <w:end w:w="65" w:type="dxa"/>
            </w:tcMar>
            <w:vAlign w:val="center"/>
          </w:tcPr>
          <w:p>
            <w:r>
              <w:rPr>
                <w:sz w:val="14"/>
              </w:rPr>
              <w:t>Advance duplication cost may be required.</w:t>
            </w:r>
          </w:p>
        </w:tc>
        <w:tc>
          <w:tcPr>
            <w:tcW w:type="dxa" w:w="2642"/>
            <w:tcMar>
              <w:top w:w="55" w:type="dxa"/>
              <w:start w:w="65" w:type="dxa"/>
              <w:bottom w:w="55" w:type="dxa"/>
              <w:end w:w="65" w:type="dxa"/>
            </w:tcMar>
            <w:vAlign w:val="center"/>
          </w:tcPr>
          <w:p>
            <w:r>
              <w:rPr>
                <w:sz w:val="14"/>
              </w:rPr>
              <w:t>Local actual-cost schedule.</w:t>
            </w:r>
          </w:p>
        </w:tc>
      </w:tr>
      <w:tr>
        <w:trPr>
          <w:cantSplit/>
        </w:trPr>
        <w:tc>
          <w:tcPr>
            <w:tcW w:type="dxa" w:w="2642"/>
            <w:tcMar>
              <w:top w:w="55" w:type="dxa"/>
              <w:start w:w="65" w:type="dxa"/>
              <w:bottom w:w="55" w:type="dxa"/>
              <w:end w:w="65" w:type="dxa"/>
            </w:tcMar>
            <w:vAlign w:val="center"/>
            <w:shd w:fill="F8FAFC"/>
          </w:tcPr>
          <w:p>
            <w:r>
              <w:rPr>
                <w:sz w:val="14"/>
              </w:rPr>
              <w:t>Postage/delivery/supplies</w:t>
            </w:r>
          </w:p>
        </w:tc>
        <w:tc>
          <w:tcPr>
            <w:tcW w:type="dxa" w:w="2642"/>
            <w:tcMar>
              <w:top w:w="55" w:type="dxa"/>
              <w:start w:w="65" w:type="dxa"/>
              <w:bottom w:w="55" w:type="dxa"/>
              <w:end w:w="65" w:type="dxa"/>
            </w:tcMar>
            <w:vAlign w:val="center"/>
            <w:shd w:fill="F8FAFC"/>
          </w:tcPr>
          <w:p>
            <w:r>
              <w:rPr>
                <w:sz w:val="14"/>
              </w:rPr>
              <w:t>Actual costs may be required in advance.</w:t>
            </w:r>
          </w:p>
        </w:tc>
        <w:tc>
          <w:tcPr>
            <w:tcW w:type="dxa" w:w="2642"/>
            <w:tcMar>
              <w:top w:w="55" w:type="dxa"/>
              <w:start w:w="65" w:type="dxa"/>
              <w:bottom w:w="55" w:type="dxa"/>
              <w:end w:w="65" w:type="dxa"/>
            </w:tcMar>
            <w:vAlign w:val="center"/>
            <w:shd w:fill="F8FAFC"/>
          </w:tcPr>
          <w:p>
            <w:r>
              <w:rPr>
                <w:sz w:val="14"/>
              </w:rPr>
              <w:t>Before transmission.</w:t>
            </w:r>
          </w:p>
        </w:tc>
        <w:tc>
          <w:tcPr>
            <w:tcW w:type="dxa" w:w="2642"/>
            <w:tcMar>
              <w:top w:w="55" w:type="dxa"/>
              <w:start w:w="65" w:type="dxa"/>
              <w:bottom w:w="55" w:type="dxa"/>
              <w:end w:w="65" w:type="dxa"/>
            </w:tcMar>
            <w:vAlign w:val="center"/>
            <w:shd w:fill="F8FAFC"/>
          </w:tcPr>
          <w:p>
            <w:r>
              <w:rPr>
                <w:sz w:val="14"/>
              </w:rPr>
              <w:t>Local calculation.</w:t>
            </w:r>
          </w:p>
        </w:tc>
      </w:tr>
      <w:tr>
        <w:trPr>
          <w:cantSplit/>
        </w:trPr>
        <w:tc>
          <w:tcPr>
            <w:tcW w:type="dxa" w:w="2642"/>
            <w:tcMar>
              <w:top w:w="55" w:type="dxa"/>
              <w:start w:w="65" w:type="dxa"/>
              <w:bottom w:w="55" w:type="dxa"/>
              <w:end w:w="65" w:type="dxa"/>
            </w:tcMar>
            <w:vAlign w:val="center"/>
          </w:tcPr>
          <w:p>
            <w:r>
              <w:rPr>
                <w:sz w:val="14"/>
              </w:rPr>
              <w:t>Law-enforcement/prosecutor video</w:t>
            </w:r>
          </w:p>
        </w:tc>
        <w:tc>
          <w:tcPr>
            <w:tcW w:type="dxa" w:w="2642"/>
            <w:tcMar>
              <w:top w:w="55" w:type="dxa"/>
              <w:start w:w="65" w:type="dxa"/>
              <w:bottom w:w="55" w:type="dxa"/>
              <w:end w:w="65" w:type="dxa"/>
            </w:tcMar>
            <w:vAlign w:val="center"/>
          </w:tcPr>
          <w:p>
            <w:r>
              <w:rPr>
                <w:sz w:val="14"/>
              </w:rPr>
              <w:t>Actual preparation cost; maximum $75 per hour of video produced and $750 total.</w:t>
            </w:r>
          </w:p>
        </w:tc>
        <w:tc>
          <w:tcPr>
            <w:tcW w:type="dxa" w:w="2642"/>
            <w:tcMar>
              <w:top w:w="55" w:type="dxa"/>
              <w:start w:w="65" w:type="dxa"/>
              <w:bottom w:w="55" w:type="dxa"/>
              <w:end w:w="65" w:type="dxa"/>
            </w:tcMar>
            <w:vAlign w:val="center"/>
          </w:tcPr>
          <w:p>
            <w:r>
              <w:rPr>
                <w:sz w:val="14"/>
              </w:rPr>
              <w:t>Estimate/prepayment if adopted in public-records policy.</w:t>
            </w:r>
          </w:p>
        </w:tc>
        <w:tc>
          <w:tcPr>
            <w:tcW w:type="dxa" w:w="2642"/>
            <w:tcMar>
              <w:top w:w="55" w:type="dxa"/>
              <w:start w:w="65" w:type="dxa"/>
              <w:bottom w:w="55" w:type="dxa"/>
              <w:end w:w="65" w:type="dxa"/>
            </w:tcMar>
            <w:vAlign w:val="center"/>
          </w:tcPr>
          <w:p>
            <w:r>
              <w:rPr>
                <w:sz w:val="14"/>
              </w:rPr>
              <w:t>State caps and specialized fee model.</w:t>
            </w:r>
          </w:p>
        </w:tc>
      </w:tr>
      <w:tr>
        <w:trPr>
          <w:cantSplit/>
        </w:trPr>
        <w:tc>
          <w:tcPr>
            <w:tcW w:type="dxa" w:w="2642"/>
            <w:tcMar>
              <w:top w:w="55" w:type="dxa"/>
              <w:start w:w="65" w:type="dxa"/>
              <w:bottom w:w="55" w:type="dxa"/>
              <w:end w:w="65" w:type="dxa"/>
            </w:tcMar>
            <w:vAlign w:val="center"/>
            <w:shd w:fill="F8FAFC"/>
          </w:tcPr>
          <w:p>
            <w:r>
              <w:rPr>
                <w:sz w:val="14"/>
              </w:rPr>
              <w:t>Video estimate</w:t>
            </w:r>
          </w:p>
        </w:tc>
        <w:tc>
          <w:tcPr>
            <w:tcW w:type="dxa" w:w="2642"/>
            <w:tcMar>
              <w:top w:w="55" w:type="dxa"/>
              <w:start w:w="65" w:type="dxa"/>
              <w:bottom w:w="55" w:type="dxa"/>
              <w:end w:w="65" w:type="dxa"/>
            </w:tcMar>
            <w:vAlign w:val="center"/>
            <w:shd w:fill="F8FAFC"/>
          </w:tcPr>
          <w:p>
            <w:r>
              <w:rPr>
                <w:sz w:val="14"/>
              </w:rPr>
              <w:t>Required within five business days when prepayment policy invoked.</w:t>
            </w:r>
          </w:p>
        </w:tc>
        <w:tc>
          <w:tcPr>
            <w:tcW w:type="dxa" w:w="2642"/>
            <w:tcMar>
              <w:top w:w="55" w:type="dxa"/>
              <w:start w:w="65" w:type="dxa"/>
              <w:bottom w:w="55" w:type="dxa"/>
              <w:end w:w="65" w:type="dxa"/>
            </w:tcMar>
            <w:vAlign w:val="center"/>
            <w:shd w:fill="F8FAFC"/>
          </w:tcPr>
          <w:p>
            <w:r>
              <w:rPr>
                <w:sz w:val="14"/>
              </w:rPr>
              <w:t>Full payment opens production obligation.</w:t>
            </w:r>
          </w:p>
        </w:tc>
        <w:tc>
          <w:tcPr>
            <w:tcW w:type="dxa" w:w="2642"/>
            <w:tcMar>
              <w:top w:w="55" w:type="dxa"/>
              <w:start w:w="65" w:type="dxa"/>
              <w:bottom w:w="55" w:type="dxa"/>
              <w:end w:w="65" w:type="dxa"/>
            </w:tcMar>
            <w:vAlign w:val="center"/>
            <w:shd w:fill="F8FAFC"/>
          </w:tcPr>
          <w:p>
            <w:r>
              <w:rPr>
                <w:sz w:val="14"/>
              </w:rPr>
              <w:t>State timer.</w:t>
            </w:r>
          </w:p>
        </w:tc>
      </w:tr>
      <w:tr>
        <w:trPr>
          <w:cantSplit/>
        </w:trPr>
        <w:tc>
          <w:tcPr>
            <w:tcW w:type="dxa" w:w="2642"/>
            <w:tcMar>
              <w:top w:w="55" w:type="dxa"/>
              <w:start w:w="65" w:type="dxa"/>
              <w:bottom w:w="55" w:type="dxa"/>
              <w:end w:w="65" w:type="dxa"/>
            </w:tcMar>
            <w:vAlign w:val="center"/>
          </w:tcPr>
          <w:p>
            <w:r>
              <w:rPr>
                <w:sz w:val="14"/>
              </w:rPr>
              <w:t>Video overage</w:t>
            </w:r>
          </w:p>
        </w:tc>
        <w:tc>
          <w:tcPr>
            <w:tcW w:type="dxa" w:w="2642"/>
            <w:tcMar>
              <w:top w:w="55" w:type="dxa"/>
              <w:start w:w="65" w:type="dxa"/>
              <w:bottom w:w="55" w:type="dxa"/>
              <w:end w:w="65" w:type="dxa"/>
            </w:tcMar>
            <w:vAlign w:val="center"/>
          </w:tcPr>
          <w:p>
            <w:r>
              <w:rPr>
                <w:sz w:val="14"/>
              </w:rPr>
              <w:t>Up to 20% above estimate only with advance notice.</w:t>
            </w:r>
          </w:p>
        </w:tc>
        <w:tc>
          <w:tcPr>
            <w:tcW w:type="dxa" w:w="2642"/>
            <w:tcMar>
              <w:top w:w="55" w:type="dxa"/>
              <w:start w:w="65" w:type="dxa"/>
              <w:bottom w:w="55" w:type="dxa"/>
              <w:end w:w="65" w:type="dxa"/>
            </w:tcMar>
            <w:vAlign w:val="center"/>
          </w:tcPr>
          <w:p>
            <w:r>
              <w:rPr>
                <w:sz w:val="14"/>
              </w:rPr>
              <w:t>At final reconciliation.</w:t>
            </w:r>
          </w:p>
        </w:tc>
        <w:tc>
          <w:tcPr>
            <w:tcW w:type="dxa" w:w="2642"/>
            <w:tcMar>
              <w:top w:w="55" w:type="dxa"/>
              <w:start w:w="65" w:type="dxa"/>
              <w:bottom w:w="55" w:type="dxa"/>
              <w:end w:w="65" w:type="dxa"/>
            </w:tcMar>
            <w:vAlign w:val="center"/>
          </w:tcPr>
          <w:p>
            <w:r>
              <w:rPr>
                <w:sz w:val="14"/>
              </w:rPr>
              <w:t>Hard cap; refund any excess prepayment.</w:t>
            </w:r>
          </w:p>
        </w:tc>
      </w:tr>
      <w:tr>
        <w:trPr>
          <w:cantSplit/>
        </w:trPr>
        <w:tc>
          <w:tcPr>
            <w:tcW w:type="dxa" w:w="2642"/>
            <w:tcMar>
              <w:top w:w="55" w:type="dxa"/>
              <w:start w:w="65" w:type="dxa"/>
              <w:bottom w:w="55" w:type="dxa"/>
              <w:end w:w="65" w:type="dxa"/>
            </w:tcMar>
            <w:vAlign w:val="center"/>
            <w:shd w:fill="F8FAFC"/>
          </w:tcPr>
          <w:p>
            <w:r>
              <w:rPr>
                <w:sz w:val="14"/>
              </w:rPr>
              <w:t>Victim video request</w:t>
            </w:r>
          </w:p>
        </w:tc>
        <w:tc>
          <w:tcPr>
            <w:tcW w:type="dxa" w:w="2642"/>
            <w:tcMar>
              <w:top w:w="55" w:type="dxa"/>
              <w:start w:w="65" w:type="dxa"/>
              <w:bottom w:w="55" w:type="dxa"/>
              <w:end w:w="65" w:type="dxa"/>
            </w:tcMar>
            <w:vAlign w:val="center"/>
            <w:shd w:fill="F8FAFC"/>
          </w:tcPr>
          <w:p>
            <w:r>
              <w:rPr>
                <w:sz w:val="14"/>
              </w:rPr>
              <w:t>No preparation fee for qualifying victim/counsel/insurer with required assertion/affidavit.</w:t>
            </w:r>
          </w:p>
        </w:tc>
        <w:tc>
          <w:tcPr>
            <w:tcW w:type="dxa" w:w="2642"/>
            <w:tcMar>
              <w:top w:w="55" w:type="dxa"/>
              <w:start w:w="65" w:type="dxa"/>
              <w:bottom w:w="55" w:type="dxa"/>
              <w:end w:w="65" w:type="dxa"/>
            </w:tcMar>
            <w:vAlign w:val="center"/>
            <w:shd w:fill="F8FAFC"/>
          </w:tcPr>
          <w:p>
            <w:r>
              <w:rPr>
                <w:sz w:val="14"/>
              </w:rPr>
              <w:t>Waiver validation before invoice.</w:t>
            </w:r>
          </w:p>
        </w:tc>
        <w:tc>
          <w:tcPr>
            <w:tcW w:type="dxa" w:w="2642"/>
            <w:tcMar>
              <w:top w:w="55" w:type="dxa"/>
              <w:start w:w="65" w:type="dxa"/>
              <w:bottom w:w="55" w:type="dxa"/>
              <w:end w:w="65" w:type="dxa"/>
            </w:tcMar>
            <w:vAlign w:val="center"/>
            <w:shd w:fill="F8FAFC"/>
          </w:tcPr>
          <w:p>
            <w:r>
              <w:rPr>
                <w:sz w:val="14"/>
              </w:rPr>
              <w:t>Special statutory classification.</w:t>
            </w:r>
          </w:p>
        </w:tc>
      </w:tr>
    </w:tbl>
    <w:p>
      <w:pPr>
        <w:pStyle w:val="Heading1"/>
      </w:pPr>
      <w:r>
        <w:t>10. Normalized Software Rules</w:t>
      </w:r>
    </w:p>
    <w:tbl>
      <w:tblPr>
        <w:tblStyle w:val="TableGrid"/>
        <w:tblW w:type="auto" w:w="0"/>
        <w:jc w:val="center"/>
        <w:tblLayout w:type="autofit"/>
        <w:tblLook w:firstColumn="1" w:firstRow="1" w:lastColumn="0" w:lastRow="0" w:noHBand="0" w:noVBand="1" w:val="04A0"/>
      </w:tblPr>
      <w:tblGrid>
        <w:gridCol w:w="2114"/>
        <w:gridCol w:w="2114"/>
        <w:gridCol w:w="2114"/>
        <w:gridCol w:w="2114"/>
        <w:gridCol w:w="2114"/>
      </w:tblGrid>
      <w:tr>
        <w:trPr>
          <w:tblHeader w:val="true"/>
          <w:cantSplit/>
        </w:trPr>
        <w:tc>
          <w:tcPr>
            <w:tcW w:type="dxa" w:w="2114"/>
            <w:shd w:fill="17365D"/>
            <w:tcMar>
              <w:top w:w="55" w:type="dxa"/>
              <w:start w:w="65" w:type="dxa"/>
              <w:bottom w:w="55" w:type="dxa"/>
              <w:end w:w="65" w:type="dxa"/>
            </w:tcMar>
          </w:tcPr>
          <w:p>
            <w:pPr>
              <w:jc w:val="center"/>
            </w:pPr>
            <w:r>
              <w:rPr>
                <w:b/>
                <w:color w:val="FFFFFF"/>
                <w:sz w:val="13"/>
              </w:rPr>
              <w:t>Rule</w:t>
            </w:r>
          </w:p>
        </w:tc>
        <w:tc>
          <w:tcPr>
            <w:tcW w:type="dxa" w:w="2114"/>
            <w:shd w:fill="17365D"/>
            <w:tcMar>
              <w:top w:w="55" w:type="dxa"/>
              <w:start w:w="65" w:type="dxa"/>
              <w:bottom w:w="55" w:type="dxa"/>
              <w:end w:w="65" w:type="dxa"/>
            </w:tcMar>
          </w:tcPr>
          <w:p>
            <w:pPr>
              <w:jc w:val="center"/>
            </w:pPr>
            <w:r>
              <w:rPr>
                <w:b/>
                <w:color w:val="FFFFFF"/>
                <w:sz w:val="13"/>
              </w:rPr>
              <w:t>Trigger / conditions</w:t>
            </w:r>
          </w:p>
        </w:tc>
        <w:tc>
          <w:tcPr>
            <w:tcW w:type="dxa" w:w="2114"/>
            <w:shd w:fill="17365D"/>
            <w:tcMar>
              <w:top w:w="55" w:type="dxa"/>
              <w:start w:w="65" w:type="dxa"/>
              <w:bottom w:w="55" w:type="dxa"/>
              <w:end w:w="65" w:type="dxa"/>
            </w:tcMar>
          </w:tcPr>
          <w:p>
            <w:pPr>
              <w:jc w:val="center"/>
            </w:pPr>
            <w:r>
              <w:rPr>
                <w:b/>
                <w:color w:val="FFFFFF"/>
                <w:sz w:val="13"/>
              </w:rPr>
              <w:t>Required action &amp; communication</w:t>
            </w:r>
          </w:p>
        </w:tc>
        <w:tc>
          <w:tcPr>
            <w:tcW w:type="dxa" w:w="2114"/>
            <w:shd w:fill="17365D"/>
            <w:tcMar>
              <w:top w:w="55" w:type="dxa"/>
              <w:start w:w="65" w:type="dxa"/>
              <w:bottom w:w="55" w:type="dxa"/>
              <w:end w:w="65" w:type="dxa"/>
            </w:tcMar>
          </w:tcPr>
          <w:p>
            <w:pPr>
              <w:jc w:val="center"/>
            </w:pPr>
            <w:r>
              <w:rPr>
                <w:b/>
                <w:color w:val="FFFFFF"/>
                <w:sz w:val="13"/>
              </w:rPr>
              <w:t>Deadline / clock effect</w:t>
            </w:r>
          </w:p>
        </w:tc>
        <w:tc>
          <w:tcPr>
            <w:tcW w:type="dxa" w:w="2114"/>
            <w:shd w:fill="17365D"/>
            <w:tcMar>
              <w:top w:w="55" w:type="dxa"/>
              <w:start w:w="65" w:type="dxa"/>
              <w:bottom w:w="55" w:type="dxa"/>
              <w:end w:w="65" w:type="dxa"/>
            </w:tcMar>
          </w:tcPr>
          <w:p>
            <w:pPr>
              <w:jc w:val="center"/>
            </w:pPr>
            <w:r>
              <w:rPr>
                <w:b/>
                <w:color w:val="FFFFFF"/>
                <w:sz w:val="13"/>
              </w:rPr>
              <w:t>Configuration, applicability &amp; authority</w:t>
            </w:r>
          </w:p>
        </w:tc>
      </w:tr>
      <w:tr>
        <w:trPr>
          <w:cantSplit/>
        </w:trPr>
        <w:tc>
          <w:tcPr>
            <w:tcW w:type="dxa" w:w="2114"/>
            <w:tcMar>
              <w:top w:w="55" w:type="dxa"/>
              <w:start w:w="65" w:type="dxa"/>
              <w:bottom w:w="55" w:type="dxa"/>
              <w:end w:w="65" w:type="dxa"/>
            </w:tcMar>
            <w:vAlign w:val="center"/>
          </w:tcPr>
          <w:p>
            <w:r>
              <w:rPr>
                <w:sz w:val="13"/>
              </w:rPr>
              <w:t>OH-INT-01</w:t>
            </w:r>
          </w:p>
        </w:tc>
        <w:tc>
          <w:tcPr>
            <w:tcW w:type="dxa" w:w="2114"/>
            <w:tcMar>
              <w:top w:w="55" w:type="dxa"/>
              <w:start w:w="65" w:type="dxa"/>
              <w:bottom w:w="55" w:type="dxa"/>
              <w:end w:w="65" w:type="dxa"/>
            </w:tcMar>
            <w:vAlign w:val="center"/>
          </w:tcPr>
          <w:p>
            <w:r>
              <w:rPr>
                <w:sz w:val="13"/>
              </w:rPr>
              <w:t>Request received.</w:t>
            </w:r>
          </w:p>
        </w:tc>
        <w:tc>
          <w:tcPr>
            <w:tcW w:type="dxa" w:w="2114"/>
            <w:tcMar>
              <w:top w:w="55" w:type="dxa"/>
              <w:start w:w="65" w:type="dxa"/>
              <w:bottom w:w="55" w:type="dxa"/>
              <w:end w:w="65" w:type="dxa"/>
            </w:tcMar>
            <w:vAlign w:val="center"/>
          </w:tcPr>
          <w:p>
            <w:r>
              <w:rPr>
                <w:sz w:val="13"/>
              </w:rPr>
              <w:t>Do not require writing, identity, or purpose unless authorized; optional questions require disclosures.</w:t>
            </w:r>
          </w:p>
        </w:tc>
        <w:tc>
          <w:tcPr>
            <w:tcW w:type="dxa" w:w="2114"/>
            <w:tcMar>
              <w:top w:w="55" w:type="dxa"/>
              <w:start w:w="65" w:type="dxa"/>
              <w:bottom w:w="55" w:type="dxa"/>
              <w:end w:w="65" w:type="dxa"/>
            </w:tcMar>
            <w:vAlign w:val="center"/>
          </w:tcPr>
          <w:p>
            <w:r>
              <w:rPr>
                <w:sz w:val="13"/>
              </w:rPr>
              <w:t>Immediate.</w:t>
            </w:r>
          </w:p>
        </w:tc>
        <w:tc>
          <w:tcPr>
            <w:tcW w:type="dxa" w:w="2114"/>
            <w:tcMar>
              <w:top w:w="55" w:type="dxa"/>
              <w:start w:w="65" w:type="dxa"/>
              <w:bottom w:w="55" w:type="dxa"/>
              <w:end w:w="65" w:type="dxa"/>
            </w:tcMar>
            <w:vAlign w:val="center"/>
          </w:tcPr>
          <w:p>
            <w:r>
              <w:rPr>
                <w:sz w:val="13"/>
              </w:rPr>
              <w:t>§ 149.43(B)(4)-(5).</w:t>
            </w:r>
          </w:p>
        </w:tc>
      </w:tr>
      <w:tr>
        <w:trPr>
          <w:cantSplit/>
        </w:trPr>
        <w:tc>
          <w:tcPr>
            <w:tcW w:type="dxa" w:w="2114"/>
            <w:tcMar>
              <w:top w:w="55" w:type="dxa"/>
              <w:start w:w="65" w:type="dxa"/>
              <w:bottom w:w="55" w:type="dxa"/>
              <w:end w:w="65" w:type="dxa"/>
            </w:tcMar>
            <w:vAlign w:val="center"/>
            <w:shd w:fill="F8FAFC"/>
          </w:tcPr>
          <w:p>
            <w:r>
              <w:rPr>
                <w:sz w:val="13"/>
              </w:rPr>
              <w:t>OH-ACC-01</w:t>
            </w:r>
          </w:p>
        </w:tc>
        <w:tc>
          <w:tcPr>
            <w:tcW w:type="dxa" w:w="2114"/>
            <w:tcMar>
              <w:top w:w="55" w:type="dxa"/>
              <w:start w:w="65" w:type="dxa"/>
              <w:bottom w:w="55" w:type="dxa"/>
              <w:end w:w="65" w:type="dxa"/>
            </w:tcMar>
            <w:vAlign w:val="center"/>
            <w:shd w:fill="F8FAFC"/>
          </w:tcPr>
          <w:p>
            <w:r>
              <w:rPr>
                <w:sz w:val="13"/>
              </w:rPr>
              <w:t>Identifiable records requested.</w:t>
            </w:r>
          </w:p>
        </w:tc>
        <w:tc>
          <w:tcPr>
            <w:tcW w:type="dxa" w:w="2114"/>
            <w:tcMar>
              <w:top w:w="55" w:type="dxa"/>
              <w:start w:w="65" w:type="dxa"/>
              <w:bottom w:w="55" w:type="dxa"/>
              <w:end w:w="65" w:type="dxa"/>
            </w:tcMar>
            <w:vAlign w:val="center"/>
            <w:shd w:fill="F8FAFC"/>
          </w:tcPr>
          <w:p>
            <w:r>
              <w:rPr>
                <w:sz w:val="13"/>
              </w:rPr>
              <w:t>Promptly prepare for inspection or provide copies at cost within reasonable time.</w:t>
            </w:r>
          </w:p>
        </w:tc>
        <w:tc>
          <w:tcPr>
            <w:tcW w:type="dxa" w:w="2114"/>
            <w:tcMar>
              <w:top w:w="55" w:type="dxa"/>
              <w:start w:w="65" w:type="dxa"/>
              <w:bottom w:w="55" w:type="dxa"/>
              <w:end w:w="65" w:type="dxa"/>
            </w:tcMar>
            <w:vAlign w:val="center"/>
            <w:shd w:fill="F8FAFC"/>
          </w:tcPr>
          <w:p>
            <w:r>
              <w:rPr>
                <w:sz w:val="13"/>
              </w:rPr>
              <w:t>Qualitative.</w:t>
            </w:r>
          </w:p>
        </w:tc>
        <w:tc>
          <w:tcPr>
            <w:tcW w:type="dxa" w:w="2114"/>
            <w:tcMar>
              <w:top w:w="55" w:type="dxa"/>
              <w:start w:w="65" w:type="dxa"/>
              <w:bottom w:w="55" w:type="dxa"/>
              <w:end w:w="65" w:type="dxa"/>
            </w:tcMar>
            <w:vAlign w:val="center"/>
            <w:shd w:fill="F8FAFC"/>
          </w:tcPr>
          <w:p>
            <w:r>
              <w:rPr>
                <w:sz w:val="13"/>
              </w:rPr>
              <w:t>§ 149.43(B)(1).</w:t>
            </w:r>
          </w:p>
        </w:tc>
      </w:tr>
      <w:tr>
        <w:trPr>
          <w:cantSplit/>
        </w:trPr>
        <w:tc>
          <w:tcPr>
            <w:tcW w:type="dxa" w:w="2114"/>
            <w:tcMar>
              <w:top w:w="55" w:type="dxa"/>
              <w:start w:w="65" w:type="dxa"/>
              <w:bottom w:w="55" w:type="dxa"/>
              <w:end w:w="65" w:type="dxa"/>
            </w:tcMar>
            <w:vAlign w:val="center"/>
          </w:tcPr>
          <w:p>
            <w:r>
              <w:rPr>
                <w:sz w:val="13"/>
              </w:rPr>
              <w:t>OH-CLR-01</w:t>
            </w:r>
          </w:p>
        </w:tc>
        <w:tc>
          <w:tcPr>
            <w:tcW w:type="dxa" w:w="2114"/>
            <w:tcMar>
              <w:top w:w="55" w:type="dxa"/>
              <w:start w:w="65" w:type="dxa"/>
              <w:bottom w:w="55" w:type="dxa"/>
              <w:end w:w="65" w:type="dxa"/>
            </w:tcMar>
            <w:vAlign w:val="center"/>
          </w:tcPr>
          <w:p>
            <w:r>
              <w:rPr>
                <w:sz w:val="13"/>
              </w:rPr>
              <w:t>Cannot reasonably identify records due to ambiguity/overbreadth.</w:t>
            </w:r>
          </w:p>
        </w:tc>
        <w:tc>
          <w:tcPr>
            <w:tcW w:type="dxa" w:w="2114"/>
            <w:tcMar>
              <w:top w:w="55" w:type="dxa"/>
              <w:start w:w="65" w:type="dxa"/>
              <w:bottom w:w="55" w:type="dxa"/>
              <w:end w:w="65" w:type="dxa"/>
            </w:tcMar>
            <w:vAlign w:val="center"/>
          </w:tcPr>
          <w:p>
            <w:r>
              <w:rPr>
                <w:sz w:val="13"/>
              </w:rPr>
              <w:t>Inform requester how records are maintained/accessed and allow revision.</w:t>
            </w:r>
          </w:p>
        </w:tc>
        <w:tc>
          <w:tcPr>
            <w:tcW w:type="dxa" w:w="2114"/>
            <w:tcMar>
              <w:top w:w="55" w:type="dxa"/>
              <w:start w:w="65" w:type="dxa"/>
              <w:bottom w:w="55" w:type="dxa"/>
              <w:end w:w="65" w:type="dxa"/>
            </w:tcMar>
            <w:vAlign w:val="center"/>
          </w:tcPr>
          <w:p>
            <w:r>
              <w:rPr>
                <w:sz w:val="13"/>
              </w:rPr>
              <w:t>Before final closure/denial.</w:t>
            </w:r>
          </w:p>
        </w:tc>
        <w:tc>
          <w:tcPr>
            <w:tcW w:type="dxa" w:w="2114"/>
            <w:tcMar>
              <w:top w:w="55" w:type="dxa"/>
              <w:start w:w="65" w:type="dxa"/>
              <w:bottom w:w="55" w:type="dxa"/>
              <w:end w:w="65" w:type="dxa"/>
            </w:tcMar>
            <w:vAlign w:val="center"/>
          </w:tcPr>
          <w:p>
            <w:r>
              <w:rPr>
                <w:sz w:val="13"/>
              </w:rPr>
              <w:t>Mandatory assistance; § 149.43(B)(2).</w:t>
            </w:r>
          </w:p>
        </w:tc>
      </w:tr>
      <w:tr>
        <w:trPr>
          <w:cantSplit/>
        </w:trPr>
        <w:tc>
          <w:tcPr>
            <w:tcW w:type="dxa" w:w="2114"/>
            <w:tcMar>
              <w:top w:w="55" w:type="dxa"/>
              <w:start w:w="65" w:type="dxa"/>
              <w:bottom w:w="55" w:type="dxa"/>
              <w:end w:w="65" w:type="dxa"/>
            </w:tcMar>
            <w:vAlign w:val="center"/>
            <w:shd w:fill="F8FAFC"/>
          </w:tcPr>
          <w:p>
            <w:r>
              <w:rPr>
                <w:sz w:val="13"/>
              </w:rPr>
              <w:t>OH-DEN-01</w:t>
            </w:r>
          </w:p>
        </w:tc>
        <w:tc>
          <w:tcPr>
            <w:tcW w:type="dxa" w:w="2114"/>
            <w:tcMar>
              <w:top w:w="55" w:type="dxa"/>
              <w:start w:w="65" w:type="dxa"/>
              <w:bottom w:w="55" w:type="dxa"/>
              <w:end w:w="65" w:type="dxa"/>
            </w:tcMar>
            <w:vAlign w:val="center"/>
            <w:shd w:fill="F8FAFC"/>
          </w:tcPr>
          <w:p>
            <w:r>
              <w:rPr>
                <w:sz w:val="13"/>
              </w:rPr>
              <w:t>Final full/partial denial.</w:t>
            </w:r>
          </w:p>
        </w:tc>
        <w:tc>
          <w:tcPr>
            <w:tcW w:type="dxa" w:w="2114"/>
            <w:tcMar>
              <w:top w:w="55" w:type="dxa"/>
              <w:start w:w="65" w:type="dxa"/>
              <w:bottom w:w="55" w:type="dxa"/>
              <w:end w:w="65" w:type="dxa"/>
            </w:tcMar>
            <w:vAlign w:val="center"/>
            <w:shd w:fill="F8FAFC"/>
          </w:tcPr>
          <w:p>
            <w:r>
              <w:rPr>
                <w:sz w:val="13"/>
              </w:rPr>
              <w:t>Explain reason and legal authority; written if request written.</w:t>
            </w:r>
          </w:p>
        </w:tc>
        <w:tc>
          <w:tcPr>
            <w:tcW w:type="dxa" w:w="2114"/>
            <w:tcMar>
              <w:top w:w="55" w:type="dxa"/>
              <w:start w:w="65" w:type="dxa"/>
              <w:bottom w:w="55" w:type="dxa"/>
              <w:end w:w="65" w:type="dxa"/>
            </w:tcMar>
            <w:vAlign w:val="center"/>
            <w:shd w:fill="F8FAFC"/>
          </w:tcPr>
          <w:p>
            <w:r>
              <w:rPr>
                <w:sz w:val="13"/>
              </w:rPr>
              <w:t>With denial.</w:t>
            </w:r>
          </w:p>
        </w:tc>
        <w:tc>
          <w:tcPr>
            <w:tcW w:type="dxa" w:w="2114"/>
            <w:tcMar>
              <w:top w:w="55" w:type="dxa"/>
              <w:start w:w="65" w:type="dxa"/>
              <w:bottom w:w="55" w:type="dxa"/>
              <w:end w:w="65" w:type="dxa"/>
            </w:tcMar>
            <w:vAlign w:val="center"/>
            <w:shd w:fill="F8FAFC"/>
          </w:tcPr>
          <w:p>
            <w:r>
              <w:rPr>
                <w:sz w:val="13"/>
              </w:rPr>
              <w:t>§ 149.43(B)(3).</w:t>
            </w:r>
          </w:p>
        </w:tc>
      </w:tr>
      <w:tr>
        <w:trPr>
          <w:cantSplit/>
        </w:trPr>
        <w:tc>
          <w:tcPr>
            <w:tcW w:type="dxa" w:w="2114"/>
            <w:tcMar>
              <w:top w:w="55" w:type="dxa"/>
              <w:start w:w="65" w:type="dxa"/>
              <w:bottom w:w="55" w:type="dxa"/>
              <w:end w:w="65" w:type="dxa"/>
            </w:tcMar>
            <w:vAlign w:val="center"/>
          </w:tcPr>
          <w:p>
            <w:r>
              <w:rPr>
                <w:sz w:val="13"/>
              </w:rPr>
              <w:t>OH-RED-01</w:t>
            </w:r>
          </w:p>
        </w:tc>
        <w:tc>
          <w:tcPr>
            <w:tcW w:type="dxa" w:w="2114"/>
            <w:tcMar>
              <w:top w:w="55" w:type="dxa"/>
              <w:start w:w="65" w:type="dxa"/>
              <w:bottom w:w="55" w:type="dxa"/>
              <w:end w:w="65" w:type="dxa"/>
            </w:tcMar>
            <w:vAlign w:val="center"/>
          </w:tcPr>
          <w:p>
            <w:r>
              <w:rPr>
                <w:sz w:val="13"/>
              </w:rPr>
              <w:t>Exempt information within record.</w:t>
            </w:r>
          </w:p>
        </w:tc>
        <w:tc>
          <w:tcPr>
            <w:tcW w:type="dxa" w:w="2114"/>
            <w:tcMar>
              <w:top w:w="55" w:type="dxa"/>
              <w:start w:w="65" w:type="dxa"/>
              <w:bottom w:w="55" w:type="dxa"/>
              <w:end w:w="65" w:type="dxa"/>
            </w:tcMar>
            <w:vAlign w:val="center"/>
          </w:tcPr>
          <w:p>
            <w:r>
              <w:rPr>
                <w:sz w:val="13"/>
              </w:rPr>
              <w:t>Release nonexempt material and notify/make redaction visible.</w:t>
            </w:r>
          </w:p>
        </w:tc>
        <w:tc>
          <w:tcPr>
            <w:tcW w:type="dxa" w:w="2114"/>
            <w:tcMar>
              <w:top w:w="55" w:type="dxa"/>
              <w:start w:w="65" w:type="dxa"/>
              <w:bottom w:w="55" w:type="dxa"/>
              <w:end w:w="65" w:type="dxa"/>
            </w:tcMar>
            <w:vAlign w:val="center"/>
          </w:tcPr>
          <w:p>
            <w:r>
              <w:rPr>
                <w:sz w:val="13"/>
              </w:rPr>
              <w:t>At production.</w:t>
            </w:r>
          </w:p>
        </w:tc>
        <w:tc>
          <w:tcPr>
            <w:tcW w:type="dxa" w:w="2114"/>
            <w:tcMar>
              <w:top w:w="55" w:type="dxa"/>
              <w:start w:w="65" w:type="dxa"/>
              <w:bottom w:w="55" w:type="dxa"/>
              <w:end w:w="65" w:type="dxa"/>
            </w:tcMar>
            <w:vAlign w:val="center"/>
          </w:tcPr>
          <w:p>
            <w:r>
              <w:rPr>
                <w:sz w:val="13"/>
              </w:rPr>
              <w:t>§ 149.43(B)(1).</w:t>
            </w:r>
          </w:p>
        </w:tc>
      </w:tr>
      <w:tr>
        <w:trPr>
          <w:cantSplit/>
        </w:trPr>
        <w:tc>
          <w:tcPr>
            <w:tcW w:type="dxa" w:w="2114"/>
            <w:tcMar>
              <w:top w:w="55" w:type="dxa"/>
              <w:start w:w="65" w:type="dxa"/>
              <w:bottom w:w="55" w:type="dxa"/>
              <w:end w:w="65" w:type="dxa"/>
            </w:tcMar>
            <w:vAlign w:val="center"/>
            <w:shd w:fill="F8FAFC"/>
          </w:tcPr>
          <w:p>
            <w:r>
              <w:rPr>
                <w:sz w:val="13"/>
              </w:rPr>
              <w:t>OH-VID-01</w:t>
            </w:r>
          </w:p>
        </w:tc>
        <w:tc>
          <w:tcPr>
            <w:tcW w:type="dxa" w:w="2114"/>
            <w:tcMar>
              <w:top w:w="55" w:type="dxa"/>
              <w:start w:w="65" w:type="dxa"/>
              <w:bottom w:w="55" w:type="dxa"/>
              <w:end w:w="65" w:type="dxa"/>
            </w:tcMar>
            <w:vAlign w:val="center"/>
            <w:shd w:fill="F8FAFC"/>
          </w:tcPr>
          <w:p>
            <w:r>
              <w:rPr>
                <w:sz w:val="13"/>
              </w:rPr>
              <w:t>Special video requested and prepayment policy active.</w:t>
            </w:r>
          </w:p>
        </w:tc>
        <w:tc>
          <w:tcPr>
            <w:tcW w:type="dxa" w:w="2114"/>
            <w:tcMar>
              <w:top w:w="55" w:type="dxa"/>
              <w:start w:w="65" w:type="dxa"/>
              <w:bottom w:w="55" w:type="dxa"/>
              <w:end w:w="65" w:type="dxa"/>
            </w:tcMar>
            <w:vAlign w:val="center"/>
            <w:shd w:fill="F8FAFC"/>
          </w:tcPr>
          <w:p>
            <w:r>
              <w:rPr>
                <w:sz w:val="13"/>
              </w:rPr>
              <w:t>Issue estimate and await full payment.</w:t>
            </w:r>
          </w:p>
        </w:tc>
        <w:tc>
          <w:tcPr>
            <w:tcW w:type="dxa" w:w="2114"/>
            <w:tcMar>
              <w:top w:w="55" w:type="dxa"/>
              <w:start w:w="65" w:type="dxa"/>
              <w:bottom w:w="55" w:type="dxa"/>
              <w:end w:w="65" w:type="dxa"/>
            </w:tcMar>
            <w:vAlign w:val="center"/>
            <w:shd w:fill="F8FAFC"/>
          </w:tcPr>
          <w:p>
            <w:r>
              <w:rPr>
                <w:sz w:val="13"/>
              </w:rPr>
              <w:t>Estimate within 5 business days; production obligation after payment.</w:t>
            </w:r>
          </w:p>
        </w:tc>
        <w:tc>
          <w:tcPr>
            <w:tcW w:type="dxa" w:w="2114"/>
            <w:tcMar>
              <w:top w:w="55" w:type="dxa"/>
              <w:start w:w="65" w:type="dxa"/>
              <w:bottom w:w="55" w:type="dxa"/>
              <w:end w:w="65" w:type="dxa"/>
            </w:tcMar>
            <w:vAlign w:val="center"/>
            <w:shd w:fill="F8FAFC"/>
          </w:tcPr>
          <w:p>
            <w:r>
              <w:rPr>
                <w:sz w:val="13"/>
              </w:rPr>
              <w:t>Special track.</w:t>
            </w:r>
          </w:p>
        </w:tc>
      </w:tr>
      <w:tr>
        <w:trPr>
          <w:cantSplit/>
        </w:trPr>
        <w:tc>
          <w:tcPr>
            <w:tcW w:type="dxa" w:w="2114"/>
            <w:tcMar>
              <w:top w:w="55" w:type="dxa"/>
              <w:start w:w="65" w:type="dxa"/>
              <w:bottom w:w="55" w:type="dxa"/>
              <w:end w:w="65" w:type="dxa"/>
            </w:tcMar>
            <w:vAlign w:val="center"/>
          </w:tcPr>
          <w:p>
            <w:r>
              <w:rPr>
                <w:sz w:val="13"/>
              </w:rPr>
              <w:t>OH-VID-02</w:t>
            </w:r>
          </w:p>
        </w:tc>
        <w:tc>
          <w:tcPr>
            <w:tcW w:type="dxa" w:w="2114"/>
            <w:tcMar>
              <w:top w:w="55" w:type="dxa"/>
              <w:start w:w="65" w:type="dxa"/>
              <w:bottom w:w="55" w:type="dxa"/>
              <w:end w:w="65" w:type="dxa"/>
            </w:tcMar>
            <w:vAlign w:val="center"/>
          </w:tcPr>
          <w:p>
            <w:r>
              <w:rPr>
                <w:sz w:val="13"/>
              </w:rPr>
              <w:t>Video actual cost will exceed estimate.</w:t>
            </w:r>
          </w:p>
        </w:tc>
        <w:tc>
          <w:tcPr>
            <w:tcW w:type="dxa" w:w="2114"/>
            <w:tcMar>
              <w:top w:w="55" w:type="dxa"/>
              <w:start w:w="65" w:type="dxa"/>
              <w:bottom w:w="55" w:type="dxa"/>
              <w:end w:w="65" w:type="dxa"/>
            </w:tcMar>
            <w:vAlign w:val="center"/>
          </w:tcPr>
          <w:p>
            <w:r>
              <w:rPr>
                <w:sz w:val="13"/>
              </w:rPr>
              <w:t>Give advance notice; cap difference at 20%.</w:t>
            </w:r>
          </w:p>
        </w:tc>
        <w:tc>
          <w:tcPr>
            <w:tcW w:type="dxa" w:w="2114"/>
            <w:tcMar>
              <w:top w:w="55" w:type="dxa"/>
              <w:start w:w="65" w:type="dxa"/>
              <w:bottom w:w="55" w:type="dxa"/>
              <w:end w:w="65" w:type="dxa"/>
            </w:tcMar>
            <w:vAlign w:val="center"/>
          </w:tcPr>
          <w:p>
            <w:r>
              <w:rPr>
                <w:sz w:val="13"/>
              </w:rPr>
              <w:t>Before fulfillment.</w:t>
            </w:r>
          </w:p>
        </w:tc>
        <w:tc>
          <w:tcPr>
            <w:tcW w:type="dxa" w:w="2114"/>
            <w:tcMar>
              <w:top w:w="55" w:type="dxa"/>
              <w:start w:w="65" w:type="dxa"/>
              <w:bottom w:w="55" w:type="dxa"/>
              <w:end w:w="65" w:type="dxa"/>
            </w:tcMar>
            <w:vAlign w:val="center"/>
          </w:tcPr>
          <w:p>
            <w:r>
              <w:rPr>
                <w:sz w:val="13"/>
              </w:rPr>
              <w:t>State cap.</w:t>
            </w:r>
          </w:p>
        </w:tc>
      </w:tr>
      <w:tr>
        <w:trPr>
          <w:cantSplit/>
        </w:trPr>
        <w:tc>
          <w:tcPr>
            <w:tcW w:type="dxa" w:w="2114"/>
            <w:tcMar>
              <w:top w:w="55" w:type="dxa"/>
              <w:start w:w="65" w:type="dxa"/>
              <w:bottom w:w="55" w:type="dxa"/>
              <w:end w:w="65" w:type="dxa"/>
            </w:tcMar>
            <w:vAlign w:val="center"/>
            <w:shd w:fill="F8FAFC"/>
          </w:tcPr>
          <w:p>
            <w:r>
              <w:rPr>
                <w:sz w:val="13"/>
              </w:rPr>
              <w:t>OH-CURE-01</w:t>
            </w:r>
          </w:p>
        </w:tc>
        <w:tc>
          <w:tcPr>
            <w:tcW w:type="dxa" w:w="2114"/>
            <w:tcMar>
              <w:top w:w="55" w:type="dxa"/>
              <w:start w:w="65" w:type="dxa"/>
              <w:bottom w:w="55" w:type="dxa"/>
              <w:end w:w="65" w:type="dxa"/>
            </w:tcMar>
            <w:vAlign w:val="center"/>
            <w:shd w:fill="F8FAFC"/>
          </w:tcPr>
          <w:p>
            <w:r>
              <w:rPr>
                <w:sz w:val="13"/>
              </w:rPr>
              <w:t>Pre-suit complaint received.</w:t>
            </w:r>
          </w:p>
        </w:tc>
        <w:tc>
          <w:tcPr>
            <w:tcW w:type="dxa" w:w="2114"/>
            <w:tcMar>
              <w:top w:w="55" w:type="dxa"/>
              <w:start w:w="65" w:type="dxa"/>
              <w:bottom w:w="55" w:type="dxa"/>
              <w:end w:w="65" w:type="dxa"/>
            </w:tcMar>
            <w:vAlign w:val="center"/>
            <w:shd w:fill="F8FAFC"/>
          </w:tcPr>
          <w:p>
            <w:r>
              <w:rPr>
                <w:sz w:val="13"/>
              </w:rPr>
              <w:t>Cure or address alleged failure.</w:t>
            </w:r>
          </w:p>
        </w:tc>
        <w:tc>
          <w:tcPr>
            <w:tcW w:type="dxa" w:w="2114"/>
            <w:tcMar>
              <w:top w:w="55" w:type="dxa"/>
              <w:start w:w="65" w:type="dxa"/>
              <w:bottom w:w="55" w:type="dxa"/>
              <w:end w:w="65" w:type="dxa"/>
            </w:tcMar>
            <w:vAlign w:val="center"/>
            <w:shd w:fill="F8FAFC"/>
          </w:tcPr>
          <w:p>
            <w:r>
              <w:rPr>
                <w:sz w:val="13"/>
              </w:rPr>
              <w:t>3 business days.</w:t>
            </w:r>
          </w:p>
        </w:tc>
        <w:tc>
          <w:tcPr>
            <w:tcW w:type="dxa" w:w="2114"/>
            <w:tcMar>
              <w:top w:w="55" w:type="dxa"/>
              <w:start w:w="65" w:type="dxa"/>
              <w:bottom w:w="55" w:type="dxa"/>
              <w:end w:w="65" w:type="dxa"/>
            </w:tcMar>
            <w:vAlign w:val="center"/>
            <w:shd w:fill="F8FAFC"/>
          </w:tcPr>
          <w:p>
            <w:r>
              <w:rPr>
                <w:sz w:val="13"/>
              </w:rPr>
              <w:t>Compliance workflow.</w:t>
            </w:r>
          </w:p>
        </w:tc>
      </w:tr>
    </w:tbl>
    <w:p>
      <w:pPr>
        <w:pStyle w:val="Heading1"/>
      </w:pPr>
      <w:r>
        <w:t>11. Jurisdiction-Configuration Fields</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4"/>
              </w:rPr>
              <w:t>Configuration field</w:t>
            </w:r>
          </w:p>
        </w:tc>
        <w:tc>
          <w:tcPr>
            <w:tcW w:type="dxa" w:w="2642"/>
            <w:shd w:fill="17365D"/>
            <w:tcMar>
              <w:top w:w="55" w:type="dxa"/>
              <w:start w:w="65" w:type="dxa"/>
              <w:bottom w:w="55" w:type="dxa"/>
              <w:end w:w="65" w:type="dxa"/>
            </w:tcMar>
          </w:tcPr>
          <w:p>
            <w:pPr>
              <w:jc w:val="center"/>
            </w:pPr>
            <w:r>
              <w:rPr>
                <w:b/>
                <w:color w:val="FFFFFF"/>
                <w:sz w:val="14"/>
              </w:rPr>
              <w:t>Source type</w:t>
            </w:r>
          </w:p>
        </w:tc>
        <w:tc>
          <w:tcPr>
            <w:tcW w:type="dxa" w:w="2642"/>
            <w:shd w:fill="17365D"/>
            <w:tcMar>
              <w:top w:w="55" w:type="dxa"/>
              <w:start w:w="65" w:type="dxa"/>
              <w:bottom w:w="55" w:type="dxa"/>
              <w:end w:w="65" w:type="dxa"/>
            </w:tcMar>
          </w:tcPr>
          <w:p>
            <w:pPr>
              <w:jc w:val="center"/>
            </w:pPr>
            <w:r>
              <w:rPr>
                <w:b/>
                <w:color w:val="FFFFFF"/>
                <w:sz w:val="14"/>
              </w:rPr>
              <w:t>Value / permitted setting</w:t>
            </w:r>
          </w:p>
        </w:tc>
        <w:tc>
          <w:tcPr>
            <w:tcW w:type="dxa" w:w="2642"/>
            <w:shd w:fill="17365D"/>
            <w:tcMar>
              <w:top w:w="55" w:type="dxa"/>
              <w:start w:w="65" w:type="dxa"/>
              <w:bottom w:w="55" w:type="dxa"/>
              <w:end w:w="65" w:type="dxa"/>
            </w:tcMar>
          </w:tcPr>
          <w:p>
            <w:pPr>
              <w:jc w:val="center"/>
            </w:pPr>
            <w:r>
              <w:rPr>
                <w:b/>
                <w:color w:val="FFFFFF"/>
                <w:sz w:val="14"/>
              </w:rPr>
              <w:t>Implementation note</w:t>
            </w:r>
          </w:p>
        </w:tc>
      </w:tr>
      <w:tr>
        <w:trPr>
          <w:cantSplit/>
        </w:trPr>
        <w:tc>
          <w:tcPr>
            <w:tcW w:type="dxa" w:w="2642"/>
            <w:tcMar>
              <w:top w:w="55" w:type="dxa"/>
              <w:start w:w="65" w:type="dxa"/>
              <w:bottom w:w="55" w:type="dxa"/>
              <w:end w:w="65" w:type="dxa"/>
            </w:tcMar>
            <w:vAlign w:val="center"/>
          </w:tcPr>
          <w:p>
            <w:r>
              <w:rPr>
                <w:sz w:val="14"/>
              </w:rPr>
              <w:t>Public-records policy</w:t>
            </w:r>
          </w:p>
        </w:tc>
        <w:tc>
          <w:tcPr>
            <w:tcW w:type="dxa" w:w="2642"/>
            <w:tcMar>
              <w:top w:w="55" w:type="dxa"/>
              <w:start w:w="65" w:type="dxa"/>
              <w:bottom w:w="55" w:type="dxa"/>
              <w:end w:w="65" w:type="dxa"/>
            </w:tcMar>
            <w:vAlign w:val="center"/>
          </w:tcPr>
          <w:p>
            <w:r>
              <w:rPr>
                <w:sz w:val="14"/>
              </w:rPr>
              <w:t>State law + local policy</w:t>
            </w:r>
          </w:p>
        </w:tc>
        <w:tc>
          <w:tcPr>
            <w:tcW w:type="dxa" w:w="2642"/>
            <w:tcMar>
              <w:top w:w="55" w:type="dxa"/>
              <w:start w:w="65" w:type="dxa"/>
              <w:bottom w:w="55" w:type="dxa"/>
              <w:end w:w="65" w:type="dxa"/>
            </w:tcMar>
            <w:vAlign w:val="center"/>
          </w:tcPr>
          <w:p>
            <w:r>
              <w:rPr>
                <w:sz w:val="14"/>
              </w:rPr>
              <w:t>Required published policy; no impermissible fixed periods.</w:t>
            </w:r>
          </w:p>
        </w:tc>
        <w:tc>
          <w:tcPr>
            <w:tcW w:type="dxa" w:w="2642"/>
            <w:tcMar>
              <w:top w:w="55" w:type="dxa"/>
              <w:start w:w="65" w:type="dxa"/>
              <w:bottom w:w="55" w:type="dxa"/>
              <w:end w:w="65" w:type="dxa"/>
            </w:tcMar>
            <w:vAlign w:val="center"/>
          </w:tcPr>
          <w:p>
            <w:r>
              <w:rPr>
                <w:sz w:val="14"/>
              </w:rPr>
              <w:t>Version and distribute to custodians.</w:t>
            </w:r>
          </w:p>
        </w:tc>
      </w:tr>
      <w:tr>
        <w:trPr>
          <w:cantSplit/>
        </w:trPr>
        <w:tc>
          <w:tcPr>
            <w:tcW w:type="dxa" w:w="2642"/>
            <w:tcMar>
              <w:top w:w="55" w:type="dxa"/>
              <w:start w:w="65" w:type="dxa"/>
              <w:bottom w:w="55" w:type="dxa"/>
              <w:end w:w="65" w:type="dxa"/>
            </w:tcMar>
            <w:vAlign w:val="center"/>
            <w:shd w:fill="F8FAFC"/>
          </w:tcPr>
          <w:p>
            <w:r>
              <w:rPr>
                <w:sz w:val="14"/>
              </w:rPr>
              <w:t>Prompt/reasonable operational goals</w:t>
            </w:r>
          </w:p>
        </w:tc>
        <w:tc>
          <w:tcPr>
            <w:tcW w:type="dxa" w:w="2642"/>
            <w:tcMar>
              <w:top w:w="55" w:type="dxa"/>
              <w:start w:w="65" w:type="dxa"/>
              <w:bottom w:w="55" w:type="dxa"/>
              <w:end w:w="65" w:type="dxa"/>
            </w:tcMar>
            <w:vAlign w:val="center"/>
            <w:shd w:fill="F8FAFC"/>
          </w:tcPr>
          <w:p>
            <w:r>
              <w:rPr>
                <w:sz w:val="14"/>
              </w:rPr>
              <w:t>Operational</w:t>
            </w:r>
          </w:p>
        </w:tc>
        <w:tc>
          <w:tcPr>
            <w:tcW w:type="dxa" w:w="2642"/>
            <w:tcMar>
              <w:top w:w="55" w:type="dxa"/>
              <w:start w:w="65" w:type="dxa"/>
              <w:bottom w:w="55" w:type="dxa"/>
              <w:end w:w="65" w:type="dxa"/>
            </w:tcMar>
            <w:vAlign w:val="center"/>
            <w:shd w:fill="F8FAFC"/>
          </w:tcPr>
          <w:p>
            <w:r>
              <w:rPr>
                <w:sz w:val="14"/>
              </w:rPr>
              <w:t>Internal goals by record type/volume.</w:t>
            </w:r>
          </w:p>
        </w:tc>
        <w:tc>
          <w:tcPr>
            <w:tcW w:type="dxa" w:w="2642"/>
            <w:tcMar>
              <w:top w:w="55" w:type="dxa"/>
              <w:start w:w="65" w:type="dxa"/>
              <w:bottom w:w="55" w:type="dxa"/>
              <w:end w:w="65" w:type="dxa"/>
            </w:tcMar>
            <w:vAlign w:val="center"/>
            <w:shd w:fill="F8FAFC"/>
          </w:tcPr>
          <w:p>
            <w:r>
              <w:rPr>
                <w:sz w:val="14"/>
              </w:rPr>
              <w:t>Never label as statewide deadlines.</w:t>
            </w:r>
          </w:p>
        </w:tc>
      </w:tr>
      <w:tr>
        <w:trPr>
          <w:cantSplit/>
        </w:trPr>
        <w:tc>
          <w:tcPr>
            <w:tcW w:type="dxa" w:w="2642"/>
            <w:tcMar>
              <w:top w:w="55" w:type="dxa"/>
              <w:start w:w="65" w:type="dxa"/>
              <w:bottom w:w="55" w:type="dxa"/>
              <w:end w:w="65" w:type="dxa"/>
            </w:tcMar>
            <w:vAlign w:val="center"/>
          </w:tcPr>
          <w:p>
            <w:r>
              <w:rPr>
                <w:sz w:val="14"/>
              </w:rPr>
              <w:t>Records-maintenance assistance content</w:t>
            </w:r>
          </w:p>
        </w:tc>
        <w:tc>
          <w:tcPr>
            <w:tcW w:type="dxa" w:w="2642"/>
            <w:tcMar>
              <w:top w:w="55" w:type="dxa"/>
              <w:start w:w="65" w:type="dxa"/>
              <w:bottom w:w="55" w:type="dxa"/>
              <w:end w:w="65" w:type="dxa"/>
            </w:tcMar>
            <w:vAlign w:val="center"/>
          </w:tcPr>
          <w:p>
            <w:r>
              <w:rPr>
                <w:sz w:val="14"/>
              </w:rPr>
              <w:t>Local taxonomy + state rule</w:t>
            </w:r>
          </w:p>
        </w:tc>
        <w:tc>
          <w:tcPr>
            <w:tcW w:type="dxa" w:w="2642"/>
            <w:tcMar>
              <w:top w:w="55" w:type="dxa"/>
              <w:start w:w="65" w:type="dxa"/>
              <w:bottom w:w="55" w:type="dxa"/>
              <w:end w:w="65" w:type="dxa"/>
            </w:tcMar>
            <w:vAlign w:val="center"/>
          </w:tcPr>
          <w:p>
            <w:r>
              <w:rPr>
                <w:sz w:val="14"/>
              </w:rPr>
              <w:t>Record series, departments, ordinary access methods.</w:t>
            </w:r>
          </w:p>
        </w:tc>
        <w:tc>
          <w:tcPr>
            <w:tcW w:type="dxa" w:w="2642"/>
            <w:tcMar>
              <w:top w:w="55" w:type="dxa"/>
              <w:start w:w="65" w:type="dxa"/>
              <w:bottom w:w="55" w:type="dxa"/>
              <w:end w:w="65" w:type="dxa"/>
            </w:tcMar>
            <w:vAlign w:val="center"/>
          </w:tcPr>
          <w:p>
            <w:r>
              <w:rPr>
                <w:sz w:val="14"/>
              </w:rPr>
              <w:t>Supports ambiguity response.</w:t>
            </w:r>
          </w:p>
        </w:tc>
      </w:tr>
      <w:tr>
        <w:trPr>
          <w:cantSplit/>
        </w:trPr>
        <w:tc>
          <w:tcPr>
            <w:tcW w:type="dxa" w:w="2642"/>
            <w:tcMar>
              <w:top w:w="55" w:type="dxa"/>
              <w:start w:w="65" w:type="dxa"/>
              <w:bottom w:w="55" w:type="dxa"/>
              <w:end w:w="65" w:type="dxa"/>
            </w:tcMar>
            <w:vAlign w:val="center"/>
            <w:shd w:fill="F8FAFC"/>
          </w:tcPr>
          <w:p>
            <w:r>
              <w:rPr>
                <w:sz w:val="14"/>
              </w:rPr>
              <w:t>General actual-copy costs</w:t>
            </w:r>
          </w:p>
        </w:tc>
        <w:tc>
          <w:tcPr>
            <w:tcW w:type="dxa" w:w="2642"/>
            <w:tcMar>
              <w:top w:w="55" w:type="dxa"/>
              <w:start w:w="65" w:type="dxa"/>
              <w:bottom w:w="55" w:type="dxa"/>
              <w:end w:w="65" w:type="dxa"/>
            </w:tcMar>
            <w:vAlign w:val="center"/>
            <w:shd w:fill="F8FAFC"/>
          </w:tcPr>
          <w:p>
            <w:r>
              <w:rPr>
                <w:sz w:val="14"/>
              </w:rPr>
              <w:t>Local policy</w:t>
            </w:r>
          </w:p>
        </w:tc>
        <w:tc>
          <w:tcPr>
            <w:tcW w:type="dxa" w:w="2642"/>
            <w:tcMar>
              <w:top w:w="55" w:type="dxa"/>
              <w:start w:w="65" w:type="dxa"/>
              <w:bottom w:w="55" w:type="dxa"/>
              <w:end w:w="65" w:type="dxa"/>
            </w:tcMar>
            <w:vAlign w:val="center"/>
            <w:shd w:fill="F8FAFC"/>
          </w:tcPr>
          <w:p>
            <w:r>
              <w:rPr>
                <w:sz w:val="14"/>
              </w:rPr>
              <w:t>Paper, media, postage, delivery, supplies.</w:t>
            </w:r>
          </w:p>
        </w:tc>
        <w:tc>
          <w:tcPr>
            <w:tcW w:type="dxa" w:w="2642"/>
            <w:tcMar>
              <w:top w:w="55" w:type="dxa"/>
              <w:start w:w="65" w:type="dxa"/>
              <w:bottom w:w="55" w:type="dxa"/>
              <w:end w:w="65" w:type="dxa"/>
            </w:tcMar>
            <w:vAlign w:val="center"/>
            <w:shd w:fill="F8FAFC"/>
          </w:tcPr>
          <w:p>
            <w:r>
              <w:rPr>
                <w:sz w:val="14"/>
              </w:rPr>
              <w:t>At-cost only.</w:t>
            </w:r>
          </w:p>
        </w:tc>
      </w:tr>
      <w:tr>
        <w:trPr>
          <w:cantSplit/>
        </w:trPr>
        <w:tc>
          <w:tcPr>
            <w:tcW w:type="dxa" w:w="2642"/>
            <w:tcMar>
              <w:top w:w="55" w:type="dxa"/>
              <w:start w:w="65" w:type="dxa"/>
              <w:bottom w:w="55" w:type="dxa"/>
              <w:end w:w="65" w:type="dxa"/>
            </w:tcMar>
            <w:vAlign w:val="center"/>
          </w:tcPr>
          <w:p>
            <w:r>
              <w:rPr>
                <w:sz w:val="14"/>
              </w:rPr>
              <w:t>Video prepayment policy</w:t>
            </w:r>
          </w:p>
        </w:tc>
        <w:tc>
          <w:tcPr>
            <w:tcW w:type="dxa" w:w="2642"/>
            <w:tcMar>
              <w:top w:w="55" w:type="dxa"/>
              <w:start w:w="65" w:type="dxa"/>
              <w:bottom w:w="55" w:type="dxa"/>
              <w:end w:w="65" w:type="dxa"/>
            </w:tcMar>
            <w:vAlign w:val="center"/>
          </w:tcPr>
          <w:p>
            <w:r>
              <w:rPr>
                <w:sz w:val="14"/>
              </w:rPr>
              <w:t>Local choice under state law</w:t>
            </w:r>
          </w:p>
        </w:tc>
        <w:tc>
          <w:tcPr>
            <w:tcW w:type="dxa" w:w="2642"/>
            <w:tcMar>
              <w:top w:w="55" w:type="dxa"/>
              <w:start w:w="65" w:type="dxa"/>
              <w:bottom w:w="55" w:type="dxa"/>
              <w:end w:w="65" w:type="dxa"/>
            </w:tcMar>
            <w:vAlign w:val="center"/>
          </w:tcPr>
          <w:p>
            <w:r>
              <w:rPr>
                <w:sz w:val="14"/>
              </w:rPr>
              <w:t>Enabled/disabled; notice language.</w:t>
            </w:r>
          </w:p>
        </w:tc>
        <w:tc>
          <w:tcPr>
            <w:tcW w:type="dxa" w:w="2642"/>
            <w:tcMar>
              <w:top w:w="55" w:type="dxa"/>
              <w:start w:w="65" w:type="dxa"/>
              <w:bottom w:w="55" w:type="dxa"/>
              <w:end w:w="65" w:type="dxa"/>
            </w:tcMar>
            <w:vAlign w:val="center"/>
          </w:tcPr>
          <w:p>
            <w:r>
              <w:rPr>
                <w:sz w:val="14"/>
              </w:rPr>
              <w:t>Must be in public-records policy.</w:t>
            </w:r>
          </w:p>
        </w:tc>
      </w:tr>
      <w:tr>
        <w:trPr>
          <w:cantSplit/>
        </w:trPr>
        <w:tc>
          <w:tcPr>
            <w:tcW w:type="dxa" w:w="2642"/>
            <w:tcMar>
              <w:top w:w="55" w:type="dxa"/>
              <w:start w:w="65" w:type="dxa"/>
              <w:bottom w:w="55" w:type="dxa"/>
              <w:end w:w="65" w:type="dxa"/>
            </w:tcMar>
            <w:vAlign w:val="center"/>
            <w:shd w:fill="F8FAFC"/>
          </w:tcPr>
          <w:p>
            <w:r>
              <w:rPr>
                <w:sz w:val="14"/>
              </w:rPr>
              <w:t>Video fee model</w:t>
            </w:r>
          </w:p>
        </w:tc>
        <w:tc>
          <w:tcPr>
            <w:tcW w:type="dxa" w:w="2642"/>
            <w:tcMar>
              <w:top w:w="55" w:type="dxa"/>
              <w:start w:w="65" w:type="dxa"/>
              <w:bottom w:w="55" w:type="dxa"/>
              <w:end w:w="65" w:type="dxa"/>
            </w:tcMar>
            <w:vAlign w:val="center"/>
            <w:shd w:fill="F8FAFC"/>
          </w:tcPr>
          <w:p>
            <w:r>
              <w:rPr>
                <w:sz w:val="14"/>
              </w:rPr>
              <w:t>State law + actuals</w:t>
            </w:r>
          </w:p>
        </w:tc>
        <w:tc>
          <w:tcPr>
            <w:tcW w:type="dxa" w:w="2642"/>
            <w:tcMar>
              <w:top w:w="55" w:type="dxa"/>
              <w:start w:w="65" w:type="dxa"/>
              <w:bottom w:w="55" w:type="dxa"/>
              <w:end w:w="65" w:type="dxa"/>
            </w:tcMar>
            <w:vAlign w:val="center"/>
            <w:shd w:fill="F8FAFC"/>
          </w:tcPr>
          <w:p>
            <w:r>
              <w:rPr>
                <w:sz w:val="14"/>
              </w:rPr>
              <w:t>$75/hour video produced; $750 total; actual components.</w:t>
            </w:r>
          </w:p>
        </w:tc>
        <w:tc>
          <w:tcPr>
            <w:tcW w:type="dxa" w:w="2642"/>
            <w:tcMar>
              <w:top w:w="55" w:type="dxa"/>
              <w:start w:w="65" w:type="dxa"/>
              <w:bottom w:w="55" w:type="dxa"/>
              <w:end w:w="65" w:type="dxa"/>
            </w:tcMar>
            <w:vAlign w:val="center"/>
            <w:shd w:fill="F8FAFC"/>
          </w:tcPr>
          <w:p>
            <w:r>
              <w:rPr>
                <w:sz w:val="14"/>
              </w:rPr>
              <w:t>Noneditable caps.</w:t>
            </w:r>
          </w:p>
        </w:tc>
      </w:tr>
      <w:tr>
        <w:trPr>
          <w:cantSplit/>
        </w:trPr>
        <w:tc>
          <w:tcPr>
            <w:tcW w:type="dxa" w:w="2642"/>
            <w:tcMar>
              <w:top w:w="55" w:type="dxa"/>
              <w:start w:w="65" w:type="dxa"/>
              <w:bottom w:w="55" w:type="dxa"/>
              <w:end w:w="65" w:type="dxa"/>
            </w:tcMar>
            <w:vAlign w:val="center"/>
          </w:tcPr>
          <w:p>
            <w:r>
              <w:rPr>
                <w:sz w:val="14"/>
              </w:rPr>
              <w:t>Victim waiver validation</w:t>
            </w:r>
          </w:p>
        </w:tc>
        <w:tc>
          <w:tcPr>
            <w:tcW w:type="dxa" w:w="2642"/>
            <w:tcMar>
              <w:top w:w="55" w:type="dxa"/>
              <w:start w:w="65" w:type="dxa"/>
              <w:bottom w:w="55" w:type="dxa"/>
              <w:end w:w="65" w:type="dxa"/>
            </w:tcMar>
            <w:vAlign w:val="center"/>
          </w:tcPr>
          <w:p>
            <w:r>
              <w:rPr>
                <w:sz w:val="14"/>
              </w:rPr>
              <w:t>State law + local procedure</w:t>
            </w:r>
          </w:p>
        </w:tc>
        <w:tc>
          <w:tcPr>
            <w:tcW w:type="dxa" w:w="2642"/>
            <w:tcMar>
              <w:top w:w="55" w:type="dxa"/>
              <w:start w:w="65" w:type="dxa"/>
              <w:bottom w:w="55" w:type="dxa"/>
              <w:end w:w="65" w:type="dxa"/>
            </w:tcMar>
            <w:vAlign w:val="center"/>
          </w:tcPr>
          <w:p>
            <w:r>
              <w:rPr>
                <w:sz w:val="14"/>
              </w:rPr>
              <w:t>Required assertion/affidavit and representative proof.</w:t>
            </w:r>
          </w:p>
        </w:tc>
        <w:tc>
          <w:tcPr>
            <w:tcW w:type="dxa" w:w="2642"/>
            <w:tcMar>
              <w:top w:w="55" w:type="dxa"/>
              <w:start w:w="65" w:type="dxa"/>
              <w:bottom w:w="55" w:type="dxa"/>
              <w:end w:w="65" w:type="dxa"/>
            </w:tcMar>
            <w:vAlign w:val="center"/>
          </w:tcPr>
          <w:p>
            <w:r>
              <w:rPr>
                <w:sz w:val="14"/>
              </w:rPr>
              <w:t>Special branch.</w:t>
            </w:r>
          </w:p>
        </w:tc>
      </w:tr>
      <w:tr>
        <w:trPr>
          <w:cantSplit/>
        </w:trPr>
        <w:tc>
          <w:tcPr>
            <w:tcW w:type="dxa" w:w="2642"/>
            <w:tcMar>
              <w:top w:w="55" w:type="dxa"/>
              <w:start w:w="65" w:type="dxa"/>
              <w:bottom w:w="55" w:type="dxa"/>
              <w:end w:w="65" w:type="dxa"/>
            </w:tcMar>
            <w:vAlign w:val="center"/>
            <w:shd w:fill="F8FAFC"/>
          </w:tcPr>
          <w:p>
            <w:r>
              <w:rPr>
                <w:sz w:val="14"/>
              </w:rPr>
              <w:t>Clarification/nonresponse closure</w:t>
            </w:r>
          </w:p>
        </w:tc>
        <w:tc>
          <w:tcPr>
            <w:tcW w:type="dxa" w:w="2642"/>
            <w:tcMar>
              <w:top w:w="55" w:type="dxa"/>
              <w:start w:w="65" w:type="dxa"/>
              <w:bottom w:w="55" w:type="dxa"/>
              <w:end w:w="65" w:type="dxa"/>
            </w:tcMar>
            <w:vAlign w:val="center"/>
            <w:shd w:fill="F8FAFC"/>
          </w:tcPr>
          <w:p>
            <w:r>
              <w:rPr>
                <w:sz w:val="14"/>
              </w:rPr>
              <w:t>Operational</w:t>
            </w:r>
          </w:p>
        </w:tc>
        <w:tc>
          <w:tcPr>
            <w:tcW w:type="dxa" w:w="2642"/>
            <w:tcMar>
              <w:top w:w="55" w:type="dxa"/>
              <w:start w:w="65" w:type="dxa"/>
              <w:bottom w:w="55" w:type="dxa"/>
              <w:end w:w="65" w:type="dxa"/>
            </w:tcMar>
            <w:vAlign w:val="center"/>
            <w:shd w:fill="F8FAFC"/>
          </w:tcPr>
          <w:p>
            <w:r>
              <w:rPr>
                <w:sz w:val="14"/>
              </w:rPr>
              <w:t>Reminder and closure settings.</w:t>
            </w:r>
          </w:p>
        </w:tc>
        <w:tc>
          <w:tcPr>
            <w:tcW w:type="dxa" w:w="2642"/>
            <w:tcMar>
              <w:top w:w="55" w:type="dxa"/>
              <w:start w:w="65" w:type="dxa"/>
              <w:bottom w:w="55" w:type="dxa"/>
              <w:end w:w="65" w:type="dxa"/>
            </w:tcMar>
            <w:vAlign w:val="center"/>
            <w:shd w:fill="F8FAFC"/>
          </w:tcPr>
          <w:p>
            <w:r>
              <w:rPr>
                <w:sz w:val="14"/>
              </w:rPr>
              <w:t>No statewide abandonment value.</w:t>
            </w:r>
          </w:p>
        </w:tc>
      </w:tr>
    </w:tbl>
    <w:p>
      <w:pPr>
        <w:pStyle w:val="Heading1"/>
      </w:pPr>
      <w:r>
        <w:t>12. Recommended Workflow States and Transitions</w:t>
      </w:r>
    </w:p>
    <w:p>
      <w:r>
        <w:rPr>
          <w:b/>
        </w:rPr>
        <w:t xml:space="preserve">Recommended state sequence: </w:t>
      </w:r>
      <w:r>
        <w:t>Received -&gt; Optional-Information Disclosure -&gt; Identifiability Review -&gt; Revision Assistance (if needed) -&gt; General Prompt/Reasonable Fulfillment or Special Video Track -&gt; Estimate/Advance Payment -&gt; Search/Review/Redaction -&gt; Production or Legal-Authority Denial -&gt; Cure/Appeal Risk -&gt; Closed.</w:t>
      </w:r>
    </w:p>
    <w:p>
      <w:pPr>
        <w:pStyle w:val="Heading1"/>
      </w:pPr>
      <w:r>
        <w:t>13. Unresolved Questions and Local-Policy Decisions</w:t>
      </w:r>
    </w:p>
    <w:p>
      <w:pPr>
        <w:pStyle w:val="ListBullet"/>
        <w:spacing w:after="30"/>
      </w:pPr>
      <w:r>
        <w:t>Will the city adopt the special-video estimated-cost prepayment policy?</w:t>
      </w:r>
    </w:p>
    <w:p>
      <w:pPr>
        <w:pStyle w:val="ListBullet"/>
        <w:spacing w:after="30"/>
      </w:pPr>
      <w:r>
        <w:t>How will the taxonomy/retention schedule generate useful revision assistance for ambiguous requests?</w:t>
      </w:r>
    </w:p>
    <w:p>
      <w:pPr>
        <w:pStyle w:val="ListBullet"/>
        <w:spacing w:after="30"/>
      </w:pPr>
      <w:r>
        <w:t>What internal targets will implement “prompt” and “reasonable” without becoming prohibited fixed statutory-looking periods?</w:t>
      </w:r>
    </w:p>
    <w:p>
      <w:pPr>
        <w:pStyle w:val="ListBullet"/>
        <w:spacing w:after="30"/>
      </w:pPr>
      <w:r>
        <w:t>What actual-cost schedule and victim-waiver verification process will be used?</w:t>
      </w:r>
    </w:p>
    <w:p>
      <w:pPr>
        <w:pStyle w:val="Heading1"/>
      </w:pPr>
      <w:r>
        <w:t>14. Suggestion Added During This Review</w:t>
      </w:r>
    </w:p>
    <w:p>
      <w:r>
        <w:rPr>
          <w:b/>
        </w:rPr>
        <w:t>S-025: Model mandatory revision assistance after an ambiguous/overly broad determination and create a specialized law-enforcement-video estimate/prepayment track rather than forcing video into the general copy-fee workflow.</w:t>
      </w:r>
    </w:p>
    <w:p>
      <w:pPr>
        <w:pStyle w:val="IntenseQuote"/>
      </w:pPr>
      <w:r>
        <w:t>This suggestion is recorded for later universal-engine review and does not alter the fixed methodology.</w:t>
      </w:r>
    </w:p>
    <w:p>
      <w:pPr>
        <w:pStyle w:val="Heading1"/>
      </w:pPr>
      <w:r>
        <w:t>15. Primary Sources</w:t>
      </w:r>
    </w:p>
    <w:p>
      <w:pPr>
        <w:pStyle w:val="ListBullet"/>
        <w:spacing w:after="30"/>
      </w:pPr>
      <w:r>
        <w:t>Ohio Rev. Code § 149.43, version effective Sept. 30, 2025: https://codes.ohio.gov/ohio-revised-code/section-149.43/9-30-2025</w:t>
      </w:r>
    </w:p>
    <w:p>
      <w:pPr>
        <w:pStyle w:val="ListBullet"/>
        <w:spacing w:after="30"/>
      </w:pPr>
      <w:r>
        <w:t>Ohio Attorney General Sunshine Laws resources: https://www.ohioattorneygeneral.gov/Legal/Sunshine-Laws</w:t>
      </w:r>
    </w:p>
    <w:p>
      <w:pPr>
        <w:pStyle w:val="ListBullet"/>
        <w:spacing w:after="30"/>
      </w:pPr>
      <w:r>
        <w:t>Ohio Court of Claims public-records dispute process: https://ohiocourtofclaims.gov/public-records-disputes/</w:t>
      </w:r>
    </w:p>
    <w:p>
      <w:r>
        <w:rPr>
          <w:b/>
        </w:rPr>
        <w:t xml:space="preserve">Implementation note: </w:t>
      </w:r>
      <w:r>
        <w:t>This document is a requirements-engineering research artifact, not legal advice. Verify statutes, regulations, cases, and local policy at customer implementation and whenever authority changes.</w:t>
      </w:r>
    </w:p>
    <w:sectPr w:rsidR="00FC693F" w:rsidRPr="0006063C" w:rsidSect="00034616">
      <w:headerReference w:type="default" r:id="rId9"/>
      <w:footerReference w:type="default" r:id="rId10"/>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4"/>
      </w:rPr>
      <w:t>National Open Records Workflow Schema — requirements-engineering research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F5597"/>
        <w:sz w:val="15"/>
      </w:rPr>
      <w:t>Ohio | Public Records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2F5597"/>
      <w:sz w:val="17"/>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