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40"/>
        </w:rPr>
        <w:t>South Carolina Public Records Workflow</w:t>
      </w:r>
    </w:p>
    <w:p>
      <w:pPr>
        <w:spacing w:after="140"/>
        <w:jc w:val="center"/>
      </w:pPr>
      <w:r>
        <w:rPr>
          <w:rFonts w:ascii="Aptos Display" w:hAnsi="Aptos Display"/>
          <w:b/>
          <w:color w:val="2F5597"/>
          <w:sz w:val="23"/>
        </w:rPr>
        <w:t>Initial Processing Reverse-Engineered into Software Configuration Requirements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6"/>
              </w:rPr>
              <w:t>Primary law</w:t>
            </w:r>
          </w:p>
        </w:tc>
        <w:tc>
          <w:tcPr>
            <w:tcW w:type="dxa" w:w="2642"/>
            <w:shd w:fill="17365D"/>
            <w:tcMar>
              <w:top w:w="55" w:type="dxa"/>
              <w:start w:w="65" w:type="dxa"/>
              <w:bottom w:w="55" w:type="dxa"/>
              <w:end w:w="65" w:type="dxa"/>
            </w:tcMar>
          </w:tcPr>
          <w:p>
            <w:pPr>
              <w:jc w:val="center"/>
            </w:pPr>
            <w:r>
              <w:rPr>
                <w:b/>
                <w:color w:val="FFFFFF"/>
                <w:sz w:val="16"/>
              </w:rPr>
              <w:t>South Carolina Freedom of Information Act, S.C. Code §§ 30-4-10 et seq.</w:t>
            </w:r>
          </w:p>
        </w:tc>
        <w:tc>
          <w:tcPr>
            <w:tcW w:type="dxa" w:w="2642"/>
            <w:shd w:fill="17365D"/>
            <w:tcMar>
              <w:top w:w="55" w:type="dxa"/>
              <w:start w:w="65" w:type="dxa"/>
              <w:bottom w:w="55" w:type="dxa"/>
              <w:end w:w="65" w:type="dxa"/>
            </w:tcMar>
          </w:tcPr>
          <w:p>
            <w:pPr>
              <w:jc w:val="center"/>
            </w:pPr>
            <w:r>
              <w:rPr>
                <w:b/>
                <w:color w:val="FFFFFF"/>
                <w:sz w:val="16"/>
              </w:rPr>
              <w:t>Research date</w:t>
            </w:r>
          </w:p>
        </w:tc>
        <w:tc>
          <w:tcPr>
            <w:tcW w:type="dxa" w:w="2642"/>
            <w:shd w:fill="17365D"/>
            <w:tcMar>
              <w:top w:w="55" w:type="dxa"/>
              <w:start w:w="65" w:type="dxa"/>
              <w:bottom w:w="55" w:type="dxa"/>
              <w:end w:w="65" w:type="dxa"/>
            </w:tcMar>
          </w:tcPr>
          <w:p>
            <w:pPr>
              <w:jc w:val="center"/>
            </w:pPr>
            <w:r>
              <w:rPr>
                <w:b/>
                <w:color w:val="FFFFFF"/>
                <w:sz w:val="16"/>
              </w:rPr>
              <w:t>2026-07-22</w:t>
            </w:r>
          </w:p>
        </w:tc>
      </w:tr>
    </w:tbl>
    <w:p>
      <w:pPr>
        <w:pStyle w:val="Heading1"/>
      </w:pPr>
      <w:r>
        <w:t>1. Executive Summary and Applicability</w:t>
      </w:r>
    </w:p>
    <w:p>
      <w:r>
        <w:t>South Carolina separates the initial “final determination” of availability from later document-level processing. For records 24 months old or less, the public body generally has ten business days to notify the requester of its final determination and reasons; for older records, the period is 20 business days.</w:t>
      </w:r>
    </w:p>
    <w:p>
      <w:r>
        <w:t>If access is granted, production generally follows within 30 calendar days after the determination, or 35 calendar days for older records. When a deposit is required, the production period is re-anchored to receipt of the deposit.</w:t>
      </w:r>
    </w:p>
    <w:p>
      <w:r>
        <w:t>The statute expressly says the initial determination need not finally resolve specific redactions. This is an important engine pattern: the early communication can decide general availability while record-by-record exemption and redaction work continues.</w:t>
      </w:r>
    </w:p>
    <w:p>
      <w:r>
        <w:rPr>
          <w:b/>
        </w:rPr>
        <w:t xml:space="preserve">Core engine pattern: </w:t>
      </w:r>
      <w:r>
        <w:t>Age-based 10/20-business-day final-availability determination + 30/35-calendar-day production + deposit-reanchored timer + separate later redaction decisions.</w:t>
      </w:r>
    </w:p>
    <w:p>
      <w:r>
        <w:rPr>
          <w:b/>
        </w:rPr>
        <w:t xml:space="preserve">Scope caution: </w:t>
      </w:r>
      <w:r>
        <w:t>Cities are public bodies. The Act supplies fee principles and requires an online fee schedule, but the city must configure rates, deposit policy up to 25 percent, waiver criteria, extension agreements, and local clarification handling.</w:t>
      </w:r>
    </w:p>
    <w:p>
      <w:pPr>
        <w:pStyle w:val="Heading1"/>
      </w:pPr>
      <w:r>
        <w:t>2. Authority Inventory</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cantSplit/>
        </w:trPr>
        <w:tc>
          <w:tcPr>
            <w:tcW w:type="dxa" w:w="3523"/>
            <w:shd w:fill="17365D"/>
            <w:tcMar>
              <w:top w:w="55" w:type="dxa"/>
              <w:start w:w="65" w:type="dxa"/>
              <w:bottom w:w="55" w:type="dxa"/>
              <w:end w:w="65" w:type="dxa"/>
            </w:tcMar>
          </w:tcPr>
          <w:p>
            <w:pPr>
              <w:jc w:val="center"/>
            </w:pPr>
            <w:r>
              <w:rPr>
                <w:b/>
                <w:color w:val="FFFFFF"/>
                <w:sz w:val="15"/>
              </w:rPr>
              <w:t>Authority</w:t>
            </w:r>
          </w:p>
        </w:tc>
        <w:tc>
          <w:tcPr>
            <w:tcW w:type="dxa" w:w="3523"/>
            <w:shd w:fill="17365D"/>
            <w:tcMar>
              <w:top w:w="55" w:type="dxa"/>
              <w:start w:w="65" w:type="dxa"/>
              <w:bottom w:w="55" w:type="dxa"/>
              <w:end w:w="65" w:type="dxa"/>
            </w:tcMar>
          </w:tcPr>
          <w:p>
            <w:pPr>
              <w:jc w:val="center"/>
            </w:pPr>
            <w:r>
              <w:rPr>
                <w:b/>
                <w:color w:val="FFFFFF"/>
                <w:sz w:val="15"/>
              </w:rPr>
              <w:t>Workflow function</w:t>
            </w:r>
          </w:p>
        </w:tc>
        <w:tc>
          <w:tcPr>
            <w:tcW w:type="dxa" w:w="3523"/>
            <w:shd w:fill="17365D"/>
            <w:tcMar>
              <w:top w:w="55" w:type="dxa"/>
              <w:start w:w="65" w:type="dxa"/>
              <w:bottom w:w="55" w:type="dxa"/>
              <w:end w:w="65" w:type="dxa"/>
            </w:tcMar>
          </w:tcPr>
          <w:p>
            <w:pPr>
              <w:jc w:val="center"/>
            </w:pPr>
            <w:r>
              <w:rPr>
                <w:b/>
                <w:color w:val="FFFFFF"/>
                <w:sz w:val="15"/>
              </w:rPr>
              <w:t>City applicability</w:t>
            </w:r>
          </w:p>
        </w:tc>
      </w:tr>
      <w:tr>
        <w:trPr>
          <w:cantSplit/>
        </w:trPr>
        <w:tc>
          <w:tcPr>
            <w:tcW w:type="dxa" w:w="3523"/>
            <w:tcMar>
              <w:top w:w="55" w:type="dxa"/>
              <w:start w:w="65" w:type="dxa"/>
              <w:bottom w:w="55" w:type="dxa"/>
              <w:end w:w="65" w:type="dxa"/>
            </w:tcMar>
            <w:vAlign w:val="center"/>
          </w:tcPr>
          <w:p>
            <w:r>
              <w:rPr>
                <w:sz w:val="15"/>
              </w:rPr>
              <w:t>S.C. Code § 30-4-30</w:t>
            </w:r>
          </w:p>
        </w:tc>
        <w:tc>
          <w:tcPr>
            <w:tcW w:type="dxa" w:w="3523"/>
            <w:tcMar>
              <w:top w:w="55" w:type="dxa"/>
              <w:start w:w="65" w:type="dxa"/>
              <w:bottom w:w="55" w:type="dxa"/>
              <w:end w:w="65" w:type="dxa"/>
            </w:tcMar>
            <w:vAlign w:val="center"/>
          </w:tcPr>
          <w:p>
            <w:r>
              <w:rPr>
                <w:sz w:val="15"/>
              </w:rPr>
              <w:t>Access, written-request determination/production periods, deposit, fees, schedule, extensions, electronic copies.</w:t>
            </w:r>
          </w:p>
        </w:tc>
        <w:tc>
          <w:tcPr>
            <w:tcW w:type="dxa" w:w="3523"/>
            <w:tcMar>
              <w:top w:w="55" w:type="dxa"/>
              <w:start w:w="65" w:type="dxa"/>
              <w:bottom w:w="55" w:type="dxa"/>
              <w:end w:w="65" w:type="dxa"/>
            </w:tcMar>
            <w:vAlign w:val="center"/>
          </w:tcPr>
          <w:p>
            <w:r>
              <w:rPr>
                <w:sz w:val="15"/>
              </w:rPr>
              <w:t>Core city workflow.</w:t>
            </w:r>
          </w:p>
        </w:tc>
      </w:tr>
      <w:tr>
        <w:trPr>
          <w:cantSplit/>
        </w:trPr>
        <w:tc>
          <w:tcPr>
            <w:tcW w:type="dxa" w:w="3523"/>
            <w:tcMar>
              <w:top w:w="55" w:type="dxa"/>
              <w:start w:w="65" w:type="dxa"/>
              <w:bottom w:w="55" w:type="dxa"/>
              <w:end w:w="65" w:type="dxa"/>
            </w:tcMar>
            <w:vAlign w:val="center"/>
            <w:shd w:fill="F8FAFC"/>
          </w:tcPr>
          <w:p>
            <w:r>
              <w:rPr>
                <w:sz w:val="15"/>
              </w:rPr>
              <w:t>S.C. Code § 30-4-40</w:t>
            </w:r>
          </w:p>
        </w:tc>
        <w:tc>
          <w:tcPr>
            <w:tcW w:type="dxa" w:w="3523"/>
            <w:tcMar>
              <w:top w:w="55" w:type="dxa"/>
              <w:start w:w="65" w:type="dxa"/>
              <w:bottom w:w="55" w:type="dxa"/>
              <w:end w:w="65" w:type="dxa"/>
            </w:tcMar>
            <w:vAlign w:val="center"/>
            <w:shd w:fill="F8FAFC"/>
          </w:tcPr>
          <w:p>
            <w:r>
              <w:rPr>
                <w:sz w:val="15"/>
              </w:rPr>
              <w:t>Exemptions and discretionary withholding categories.</w:t>
            </w:r>
          </w:p>
        </w:tc>
        <w:tc>
          <w:tcPr>
            <w:tcW w:type="dxa" w:w="3523"/>
            <w:tcMar>
              <w:top w:w="55" w:type="dxa"/>
              <w:start w:w="65" w:type="dxa"/>
              <w:bottom w:w="55" w:type="dxa"/>
              <w:end w:w="65" w:type="dxa"/>
            </w:tcMar>
            <w:vAlign w:val="center"/>
            <w:shd w:fill="F8FAFC"/>
          </w:tcPr>
          <w:p>
            <w:r>
              <w:rPr>
                <w:sz w:val="15"/>
              </w:rPr>
              <w:t>Denial/redaction configuration.</w:t>
            </w:r>
          </w:p>
        </w:tc>
      </w:tr>
      <w:tr>
        <w:trPr>
          <w:cantSplit/>
        </w:trPr>
        <w:tc>
          <w:tcPr>
            <w:tcW w:type="dxa" w:w="3523"/>
            <w:tcMar>
              <w:top w:w="55" w:type="dxa"/>
              <w:start w:w="65" w:type="dxa"/>
              <w:bottom w:w="55" w:type="dxa"/>
              <w:end w:w="65" w:type="dxa"/>
            </w:tcMar>
            <w:vAlign w:val="center"/>
          </w:tcPr>
          <w:p>
            <w:r>
              <w:rPr>
                <w:sz w:val="15"/>
              </w:rPr>
              <w:t>S.C. Code § 30-4-100</w:t>
            </w:r>
          </w:p>
        </w:tc>
        <w:tc>
          <w:tcPr>
            <w:tcW w:type="dxa" w:w="3523"/>
            <w:tcMar>
              <w:top w:w="55" w:type="dxa"/>
              <w:start w:w="65" w:type="dxa"/>
              <w:bottom w:w="55" w:type="dxa"/>
              <w:end w:w="65" w:type="dxa"/>
            </w:tcMar>
            <w:vAlign w:val="center"/>
          </w:tcPr>
          <w:p>
            <w:r>
              <w:rPr>
                <w:sz w:val="15"/>
              </w:rPr>
              <w:t>Enforcement and remedies.</w:t>
            </w:r>
          </w:p>
        </w:tc>
        <w:tc>
          <w:tcPr>
            <w:tcW w:type="dxa" w:w="3523"/>
            <w:tcMar>
              <w:top w:w="55" w:type="dxa"/>
              <w:start w:w="65" w:type="dxa"/>
              <w:bottom w:w="55" w:type="dxa"/>
              <w:end w:w="65" w:type="dxa"/>
            </w:tcMar>
            <w:vAlign w:val="center"/>
          </w:tcPr>
          <w:p>
            <w:r>
              <w:rPr>
                <w:sz w:val="15"/>
              </w:rPr>
              <w:t>Compliance escalation.</w:t>
            </w:r>
          </w:p>
        </w:tc>
      </w:tr>
      <w:tr>
        <w:trPr>
          <w:cantSplit/>
        </w:trPr>
        <w:tc>
          <w:tcPr>
            <w:tcW w:type="dxa" w:w="3523"/>
            <w:tcMar>
              <w:top w:w="55" w:type="dxa"/>
              <w:start w:w="65" w:type="dxa"/>
              <w:bottom w:w="55" w:type="dxa"/>
              <w:end w:w="65" w:type="dxa"/>
            </w:tcMar>
            <w:vAlign w:val="center"/>
            <w:shd w:fill="F8FAFC"/>
          </w:tcPr>
          <w:p>
            <w:r>
              <w:rPr>
                <w:sz w:val="15"/>
              </w:rPr>
              <w:t>South Carolina Legislature online Code</w:t>
            </w:r>
          </w:p>
        </w:tc>
        <w:tc>
          <w:tcPr>
            <w:tcW w:type="dxa" w:w="3523"/>
            <w:tcMar>
              <w:top w:w="55" w:type="dxa"/>
              <w:start w:w="65" w:type="dxa"/>
              <w:bottom w:w="55" w:type="dxa"/>
              <w:end w:w="65" w:type="dxa"/>
            </w:tcMar>
            <w:vAlign w:val="center"/>
            <w:shd w:fill="F8FAFC"/>
          </w:tcPr>
          <w:p>
            <w:r>
              <w:rPr>
                <w:sz w:val="15"/>
              </w:rPr>
              <w:t>Current official statutory text.</w:t>
            </w:r>
          </w:p>
        </w:tc>
        <w:tc>
          <w:tcPr>
            <w:tcW w:type="dxa" w:w="3523"/>
            <w:tcMar>
              <w:top w:w="55" w:type="dxa"/>
              <w:start w:w="65" w:type="dxa"/>
              <w:bottom w:w="55" w:type="dxa"/>
              <w:end w:w="65" w:type="dxa"/>
            </w:tcMar>
            <w:vAlign w:val="center"/>
            <w:shd w:fill="F8FAFC"/>
          </w:tcPr>
          <w:p>
            <w:r>
              <w:rPr>
                <w:sz w:val="15"/>
              </w:rPr>
              <w:t>Primary source.</w:t>
            </w:r>
          </w:p>
        </w:tc>
      </w:tr>
    </w:tbl>
    <w:p>
      <w:pPr>
        <w:pStyle w:val="Heading1"/>
      </w:pPr>
      <w:r>
        <w:t>3. Human-Readable Initial Processing Workflow</w:t>
      </w:r>
    </w:p>
    <w:p>
      <w:pPr>
        <w:pStyle w:val="ListNumber"/>
        <w:spacing w:after="30"/>
      </w:pPr>
      <w:r>
        <w:t>Receive the written request and identify record age: Determine whether the requested records are 24 months old or less or older than 24 months because the age selects both determination and production periods.</w:t>
      </w:r>
    </w:p>
    <w:p>
      <w:pPr>
        <w:pStyle w:val="ListNumber"/>
        <w:spacing w:after="30"/>
      </w:pPr>
      <w:r>
        <w:t>Assess general availability: Review custody, scope, exemptions at a category level, anticipated fees, and whether a deposit will be required. Clarify unclear descriptions under local policy without inventing a statutory toll.</w:t>
      </w:r>
    </w:p>
    <w:p>
      <w:pPr>
        <w:pStyle w:val="ListNumber"/>
        <w:spacing w:after="30"/>
      </w:pPr>
      <w:r>
        <w:t>Send the final determination: Within ten or 20 business days, notify whether records are available and state reasons. The determination need not finally decide every specific redaction.</w:t>
      </w:r>
    </w:p>
    <w:p>
      <w:pPr>
        <w:pStyle w:val="ListNumber"/>
        <w:spacing w:after="30"/>
      </w:pPr>
      <w:r>
        <w:t>Estimate and deposit: Calculate reasonable anticipated actual cost for search, retrieval, and redaction using the lowest-paid qualified employee. A deposit of up to 25 percent may be required before search/copy work.</w:t>
      </w:r>
    </w:p>
    <w:p>
      <w:pPr>
        <w:pStyle w:val="ListNumber"/>
        <w:spacing w:after="30"/>
      </w:pPr>
      <w:r>
        <w:t>Produce within the applicable period: Complete search, retrieval, review, redaction, and electronic or paper preparation within 30 or 35 calendar days after the determination, or after deposit receipt if a deposit was required.</w:t>
      </w:r>
    </w:p>
    <w:p>
      <w:pPr>
        <w:pStyle w:val="ListNumber"/>
        <w:spacing w:after="30"/>
      </w:pPr>
      <w:r>
        <w:t>Collect the full cost at production, release nonexempt material, communicate document-level denials/redactions, and close. Extensions require written mutual agreement and may not be unreasonably withheld.</w:t>
      </w:r>
    </w:p>
    <w:p>
      <w:pPr>
        <w:pStyle w:val="Heading1"/>
      </w:pPr>
      <w:r>
        <w:t>4. Deadline and Required-Communication Matrix</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4"/>
              </w:rPr>
              <w:t>Trigger / condition</w:t>
            </w:r>
          </w:p>
        </w:tc>
        <w:tc>
          <w:tcPr>
            <w:tcW w:type="dxa" w:w="2114"/>
            <w:shd w:fill="17365D"/>
            <w:tcMar>
              <w:top w:w="55" w:type="dxa"/>
              <w:start w:w="65" w:type="dxa"/>
              <w:bottom w:w="55" w:type="dxa"/>
              <w:end w:w="65" w:type="dxa"/>
            </w:tcMar>
          </w:tcPr>
          <w:p>
            <w:pPr>
              <w:jc w:val="center"/>
            </w:pPr>
            <w:r>
              <w:rPr>
                <w:b/>
                <w:color w:val="FFFFFF"/>
                <w:sz w:val="14"/>
              </w:rPr>
              <w:t>Deadline or standard</w:t>
            </w:r>
          </w:p>
        </w:tc>
        <w:tc>
          <w:tcPr>
            <w:tcW w:type="dxa" w:w="2114"/>
            <w:shd w:fill="17365D"/>
            <w:tcMar>
              <w:top w:w="55" w:type="dxa"/>
              <w:start w:w="65" w:type="dxa"/>
              <w:bottom w:w="55" w:type="dxa"/>
              <w:end w:w="65" w:type="dxa"/>
            </w:tcMar>
          </w:tcPr>
          <w:p>
            <w:pPr>
              <w:jc w:val="center"/>
            </w:pPr>
            <w:r>
              <w:rPr>
                <w:b/>
                <w:color w:val="FFFFFF"/>
                <w:sz w:val="14"/>
              </w:rPr>
              <w:t>Required communication / action</w:t>
            </w:r>
          </w:p>
        </w:tc>
        <w:tc>
          <w:tcPr>
            <w:tcW w:type="dxa" w:w="2114"/>
            <w:shd w:fill="17365D"/>
            <w:tcMar>
              <w:top w:w="55" w:type="dxa"/>
              <w:start w:w="65" w:type="dxa"/>
              <w:bottom w:w="55" w:type="dxa"/>
              <w:end w:w="65" w:type="dxa"/>
            </w:tcMar>
          </w:tcPr>
          <w:p>
            <w:pPr>
              <w:jc w:val="center"/>
            </w:pPr>
            <w:r>
              <w:rPr>
                <w:b/>
                <w:color w:val="FFFFFF"/>
                <w:sz w:val="14"/>
              </w:rPr>
              <w:t>Clock effect</w:t>
            </w:r>
          </w:p>
        </w:tc>
        <w:tc>
          <w:tcPr>
            <w:tcW w:type="dxa" w:w="2114"/>
            <w:shd w:fill="17365D"/>
            <w:tcMar>
              <w:top w:w="55" w:type="dxa"/>
              <w:start w:w="65" w:type="dxa"/>
              <w:bottom w:w="55" w:type="dxa"/>
              <w:end w:w="65" w:type="dxa"/>
            </w:tcMar>
          </w:tcPr>
          <w:p>
            <w:pPr>
              <w:jc w:val="center"/>
            </w:pPr>
            <w:r>
              <w:rPr>
                <w:b/>
                <w:color w:val="FFFFFF"/>
                <w:sz w:val="14"/>
              </w:rPr>
              <w:t>Authority</w:t>
            </w:r>
          </w:p>
        </w:tc>
      </w:tr>
      <w:tr>
        <w:trPr>
          <w:cantSplit/>
        </w:trPr>
        <w:tc>
          <w:tcPr>
            <w:tcW w:type="dxa" w:w="2114"/>
            <w:tcMar>
              <w:top w:w="55" w:type="dxa"/>
              <w:start w:w="65" w:type="dxa"/>
              <w:bottom w:w="55" w:type="dxa"/>
              <w:end w:w="65" w:type="dxa"/>
            </w:tcMar>
            <w:vAlign w:val="center"/>
          </w:tcPr>
          <w:p>
            <w:r>
              <w:rPr>
                <w:sz w:val="14"/>
              </w:rPr>
              <w:t>Written request for records 24 months old or less</w:t>
            </w:r>
          </w:p>
        </w:tc>
        <w:tc>
          <w:tcPr>
            <w:tcW w:type="dxa" w:w="2114"/>
            <w:tcMar>
              <w:top w:w="55" w:type="dxa"/>
              <w:start w:w="65" w:type="dxa"/>
              <w:bottom w:w="55" w:type="dxa"/>
              <w:end w:w="65" w:type="dxa"/>
            </w:tcMar>
            <w:vAlign w:val="center"/>
          </w:tcPr>
          <w:p>
            <w:r>
              <w:rPr>
                <w:sz w:val="14"/>
              </w:rPr>
              <w:t>10 business days</w:t>
            </w:r>
          </w:p>
        </w:tc>
        <w:tc>
          <w:tcPr>
            <w:tcW w:type="dxa" w:w="2114"/>
            <w:tcMar>
              <w:top w:w="55" w:type="dxa"/>
              <w:start w:w="65" w:type="dxa"/>
              <w:bottom w:w="55" w:type="dxa"/>
              <w:end w:w="65" w:type="dxa"/>
            </w:tcMar>
            <w:vAlign w:val="center"/>
          </w:tcPr>
          <w:p>
            <w:r>
              <w:rPr>
                <w:sz w:val="14"/>
              </w:rPr>
              <w:t>Notify requester of final determination and reasons.</w:t>
            </w:r>
          </w:p>
        </w:tc>
        <w:tc>
          <w:tcPr>
            <w:tcW w:type="dxa" w:w="2114"/>
            <w:tcMar>
              <w:top w:w="55" w:type="dxa"/>
              <w:start w:w="65" w:type="dxa"/>
              <w:bottom w:w="55" w:type="dxa"/>
              <w:end w:w="65" w:type="dxa"/>
            </w:tcMar>
            <w:vAlign w:val="center"/>
          </w:tcPr>
          <w:p>
            <w:r>
              <w:rPr>
                <w:sz w:val="14"/>
              </w:rPr>
              <w:t>Determination timer begins on receipt.</w:t>
            </w:r>
          </w:p>
        </w:tc>
        <w:tc>
          <w:tcPr>
            <w:tcW w:type="dxa" w:w="2114"/>
            <w:tcMar>
              <w:top w:w="55" w:type="dxa"/>
              <w:start w:w="65" w:type="dxa"/>
              <w:bottom w:w="55" w:type="dxa"/>
              <w:end w:w="65" w:type="dxa"/>
            </w:tcMar>
            <w:vAlign w:val="center"/>
          </w:tcPr>
          <w:p>
            <w:r>
              <w:rPr>
                <w:sz w:val="14"/>
              </w:rPr>
              <w:t>§ 30-4-30(c)</w:t>
            </w:r>
          </w:p>
        </w:tc>
      </w:tr>
      <w:tr>
        <w:trPr>
          <w:cantSplit/>
        </w:trPr>
        <w:tc>
          <w:tcPr>
            <w:tcW w:type="dxa" w:w="2114"/>
            <w:tcMar>
              <w:top w:w="55" w:type="dxa"/>
              <w:start w:w="65" w:type="dxa"/>
              <w:bottom w:w="55" w:type="dxa"/>
              <w:end w:w="65" w:type="dxa"/>
            </w:tcMar>
            <w:vAlign w:val="center"/>
            <w:shd w:fill="F8FAFC"/>
          </w:tcPr>
          <w:p>
            <w:r>
              <w:rPr>
                <w:sz w:val="14"/>
              </w:rPr>
              <w:t>Written request for records older than 24 months</w:t>
            </w:r>
          </w:p>
        </w:tc>
        <w:tc>
          <w:tcPr>
            <w:tcW w:type="dxa" w:w="2114"/>
            <w:tcMar>
              <w:top w:w="55" w:type="dxa"/>
              <w:start w:w="65" w:type="dxa"/>
              <w:bottom w:w="55" w:type="dxa"/>
              <w:end w:w="65" w:type="dxa"/>
            </w:tcMar>
            <w:vAlign w:val="center"/>
            <w:shd w:fill="F8FAFC"/>
          </w:tcPr>
          <w:p>
            <w:r>
              <w:rPr>
                <w:sz w:val="14"/>
              </w:rPr>
              <w:t>20 business days</w:t>
            </w:r>
          </w:p>
        </w:tc>
        <w:tc>
          <w:tcPr>
            <w:tcW w:type="dxa" w:w="2114"/>
            <w:tcMar>
              <w:top w:w="55" w:type="dxa"/>
              <w:start w:w="65" w:type="dxa"/>
              <w:bottom w:w="55" w:type="dxa"/>
              <w:end w:w="65" w:type="dxa"/>
            </w:tcMar>
            <w:vAlign w:val="center"/>
            <w:shd w:fill="F8FAFC"/>
          </w:tcPr>
          <w:p>
            <w:r>
              <w:rPr>
                <w:sz w:val="14"/>
              </w:rPr>
              <w:t>Notify requester of final determination and reasons.</w:t>
            </w:r>
          </w:p>
        </w:tc>
        <w:tc>
          <w:tcPr>
            <w:tcW w:type="dxa" w:w="2114"/>
            <w:tcMar>
              <w:top w:w="55" w:type="dxa"/>
              <w:start w:w="65" w:type="dxa"/>
              <w:bottom w:w="55" w:type="dxa"/>
              <w:end w:w="65" w:type="dxa"/>
            </w:tcMar>
            <w:vAlign w:val="center"/>
            <w:shd w:fill="F8FAFC"/>
          </w:tcPr>
          <w:p>
            <w:r>
              <w:rPr>
                <w:sz w:val="14"/>
              </w:rPr>
              <w:t>Older-record determination track.</w:t>
            </w:r>
          </w:p>
        </w:tc>
        <w:tc>
          <w:tcPr>
            <w:tcW w:type="dxa" w:w="2114"/>
            <w:tcMar>
              <w:top w:w="55" w:type="dxa"/>
              <w:start w:w="65" w:type="dxa"/>
              <w:bottom w:w="55" w:type="dxa"/>
              <w:end w:w="65" w:type="dxa"/>
            </w:tcMar>
            <w:vAlign w:val="center"/>
            <w:shd w:fill="F8FAFC"/>
          </w:tcPr>
          <w:p>
            <w:r>
              <w:rPr>
                <w:sz w:val="14"/>
              </w:rPr>
              <w:t>§ 30-4-30(c)</w:t>
            </w:r>
          </w:p>
        </w:tc>
      </w:tr>
      <w:tr>
        <w:trPr>
          <w:cantSplit/>
        </w:trPr>
        <w:tc>
          <w:tcPr>
            <w:tcW w:type="dxa" w:w="2114"/>
            <w:tcMar>
              <w:top w:w="55" w:type="dxa"/>
              <w:start w:w="65" w:type="dxa"/>
              <w:bottom w:w="55" w:type="dxa"/>
              <w:end w:w="65" w:type="dxa"/>
            </w:tcMar>
            <w:vAlign w:val="center"/>
          </w:tcPr>
          <w:p>
            <w:r>
              <w:rPr>
                <w:sz w:val="14"/>
              </w:rPr>
              <w:t>Request granted; no deposit required</w:t>
            </w:r>
          </w:p>
        </w:tc>
        <w:tc>
          <w:tcPr>
            <w:tcW w:type="dxa" w:w="2114"/>
            <w:tcMar>
              <w:top w:w="55" w:type="dxa"/>
              <w:start w:w="65" w:type="dxa"/>
              <w:bottom w:w="55" w:type="dxa"/>
              <w:end w:w="65" w:type="dxa"/>
            </w:tcMar>
            <w:vAlign w:val="center"/>
          </w:tcPr>
          <w:p>
            <w:r>
              <w:rPr>
                <w:sz w:val="14"/>
              </w:rPr>
              <w:t>30 calendar days after determination, or 35 for older records</w:t>
            </w:r>
          </w:p>
        </w:tc>
        <w:tc>
          <w:tcPr>
            <w:tcW w:type="dxa" w:w="2114"/>
            <w:tcMar>
              <w:top w:w="55" w:type="dxa"/>
              <w:start w:w="65" w:type="dxa"/>
              <w:bottom w:w="55" w:type="dxa"/>
              <w:end w:w="65" w:type="dxa"/>
            </w:tcMar>
            <w:vAlign w:val="center"/>
          </w:tcPr>
          <w:p>
            <w:r>
              <w:rPr>
                <w:sz w:val="14"/>
              </w:rPr>
              <w:t>Produce records.</w:t>
            </w:r>
          </w:p>
        </w:tc>
        <w:tc>
          <w:tcPr>
            <w:tcW w:type="dxa" w:w="2114"/>
            <w:tcMar>
              <w:top w:w="55" w:type="dxa"/>
              <w:start w:w="65" w:type="dxa"/>
              <w:bottom w:w="55" w:type="dxa"/>
              <w:end w:w="65" w:type="dxa"/>
            </w:tcMar>
            <w:vAlign w:val="center"/>
          </w:tcPr>
          <w:p>
            <w:r>
              <w:rPr>
                <w:sz w:val="14"/>
              </w:rPr>
              <w:t>Production timer anchored to determination.</w:t>
            </w:r>
          </w:p>
        </w:tc>
        <w:tc>
          <w:tcPr>
            <w:tcW w:type="dxa" w:w="2114"/>
            <w:tcMar>
              <w:top w:w="55" w:type="dxa"/>
              <w:start w:w="65" w:type="dxa"/>
              <w:bottom w:w="55" w:type="dxa"/>
              <w:end w:w="65" w:type="dxa"/>
            </w:tcMar>
            <w:vAlign w:val="center"/>
          </w:tcPr>
          <w:p>
            <w:r>
              <w:rPr>
                <w:sz w:val="14"/>
              </w:rPr>
              <w:t>§ 30-4-30(c)</w:t>
            </w:r>
          </w:p>
        </w:tc>
      </w:tr>
      <w:tr>
        <w:trPr>
          <w:cantSplit/>
        </w:trPr>
        <w:tc>
          <w:tcPr>
            <w:tcW w:type="dxa" w:w="2114"/>
            <w:tcMar>
              <w:top w:w="55" w:type="dxa"/>
              <w:start w:w="65" w:type="dxa"/>
              <w:bottom w:w="55" w:type="dxa"/>
              <w:end w:w="65" w:type="dxa"/>
            </w:tcMar>
            <w:vAlign w:val="center"/>
            <w:shd w:fill="F8FAFC"/>
          </w:tcPr>
          <w:p>
            <w:r>
              <w:rPr>
                <w:sz w:val="14"/>
              </w:rPr>
              <w:t>Deposit required</w:t>
            </w:r>
          </w:p>
        </w:tc>
        <w:tc>
          <w:tcPr>
            <w:tcW w:type="dxa" w:w="2114"/>
            <w:tcMar>
              <w:top w:w="55" w:type="dxa"/>
              <w:start w:w="65" w:type="dxa"/>
              <w:bottom w:w="55" w:type="dxa"/>
              <w:end w:w="65" w:type="dxa"/>
            </w:tcMar>
            <w:vAlign w:val="center"/>
            <w:shd w:fill="F8FAFC"/>
          </w:tcPr>
          <w:p>
            <w:r>
              <w:rPr>
                <w:sz w:val="14"/>
              </w:rPr>
              <w:t>30/35 calendar days after deposit receipt</w:t>
            </w:r>
          </w:p>
        </w:tc>
        <w:tc>
          <w:tcPr>
            <w:tcW w:type="dxa" w:w="2114"/>
            <w:tcMar>
              <w:top w:w="55" w:type="dxa"/>
              <w:start w:w="65" w:type="dxa"/>
              <w:bottom w:w="55" w:type="dxa"/>
              <w:end w:w="65" w:type="dxa"/>
            </w:tcMar>
            <w:vAlign w:val="center"/>
            <w:shd w:fill="F8FAFC"/>
          </w:tcPr>
          <w:p>
            <w:r>
              <w:rPr>
                <w:sz w:val="14"/>
              </w:rPr>
              <w:t>Produce records; full cost due at production.</w:t>
            </w:r>
          </w:p>
        </w:tc>
        <w:tc>
          <w:tcPr>
            <w:tcW w:type="dxa" w:w="2114"/>
            <w:tcMar>
              <w:top w:w="55" w:type="dxa"/>
              <w:start w:w="65" w:type="dxa"/>
              <w:bottom w:w="55" w:type="dxa"/>
              <w:end w:w="65" w:type="dxa"/>
            </w:tcMar>
            <w:vAlign w:val="center"/>
            <w:shd w:fill="F8FAFC"/>
          </w:tcPr>
          <w:p>
            <w:r>
              <w:rPr>
                <w:sz w:val="14"/>
              </w:rPr>
              <w:t>Deposit receipt replaces determination as production anchor.</w:t>
            </w:r>
          </w:p>
        </w:tc>
        <w:tc>
          <w:tcPr>
            <w:tcW w:type="dxa" w:w="2114"/>
            <w:tcMar>
              <w:top w:w="55" w:type="dxa"/>
              <w:start w:w="65" w:type="dxa"/>
              <w:bottom w:w="55" w:type="dxa"/>
              <w:end w:w="65" w:type="dxa"/>
            </w:tcMar>
            <w:vAlign w:val="center"/>
            <w:shd w:fill="F8FAFC"/>
          </w:tcPr>
          <w:p>
            <w:r>
              <w:rPr>
                <w:sz w:val="14"/>
              </w:rPr>
              <w:t>§ 30-4-30(c)</w:t>
            </w:r>
          </w:p>
        </w:tc>
      </w:tr>
      <w:tr>
        <w:trPr>
          <w:cantSplit/>
        </w:trPr>
        <w:tc>
          <w:tcPr>
            <w:tcW w:type="dxa" w:w="2114"/>
            <w:tcMar>
              <w:top w:w="55" w:type="dxa"/>
              <w:start w:w="65" w:type="dxa"/>
              <w:bottom w:w="55" w:type="dxa"/>
              <w:end w:w="65" w:type="dxa"/>
            </w:tcMar>
            <w:vAlign w:val="center"/>
          </w:tcPr>
          <w:p>
            <w:r>
              <w:rPr>
                <w:sz w:val="14"/>
              </w:rPr>
              <w:t>Mutual extension</w:t>
            </w:r>
          </w:p>
        </w:tc>
        <w:tc>
          <w:tcPr>
            <w:tcW w:type="dxa" w:w="2114"/>
            <w:tcMar>
              <w:top w:w="55" w:type="dxa"/>
              <w:start w:w="65" w:type="dxa"/>
              <w:bottom w:w="55" w:type="dxa"/>
              <w:end w:w="65" w:type="dxa"/>
            </w:tcMar>
            <w:vAlign w:val="center"/>
          </w:tcPr>
          <w:p>
            <w:r>
              <w:rPr>
                <w:sz w:val="14"/>
              </w:rPr>
              <w:t>As agreed in writing</w:t>
            </w:r>
          </w:p>
        </w:tc>
        <w:tc>
          <w:tcPr>
            <w:tcW w:type="dxa" w:w="2114"/>
            <w:tcMar>
              <w:top w:w="55" w:type="dxa"/>
              <w:start w:w="65" w:type="dxa"/>
              <w:bottom w:w="55" w:type="dxa"/>
              <w:end w:w="65" w:type="dxa"/>
            </w:tcMar>
            <w:vAlign w:val="center"/>
          </w:tcPr>
          <w:p>
            <w:r>
              <w:rPr>
                <w:sz w:val="14"/>
              </w:rPr>
              <w:t>Record agreed date and scope; agreement may not be unreasonably withheld.</w:t>
            </w:r>
          </w:p>
        </w:tc>
        <w:tc>
          <w:tcPr>
            <w:tcW w:type="dxa" w:w="2114"/>
            <w:tcMar>
              <w:top w:w="55" w:type="dxa"/>
              <w:start w:w="65" w:type="dxa"/>
              <w:bottom w:w="55" w:type="dxa"/>
              <w:end w:w="65" w:type="dxa"/>
            </w:tcMar>
            <w:vAlign w:val="center"/>
          </w:tcPr>
          <w:p>
            <w:r>
              <w:rPr>
                <w:sz w:val="14"/>
              </w:rPr>
              <w:t>Agreed date replaces statutory date.</w:t>
            </w:r>
          </w:p>
        </w:tc>
        <w:tc>
          <w:tcPr>
            <w:tcW w:type="dxa" w:w="2114"/>
            <w:tcMar>
              <w:top w:w="55" w:type="dxa"/>
              <w:start w:w="65" w:type="dxa"/>
              <w:bottom w:w="55" w:type="dxa"/>
              <w:end w:w="65" w:type="dxa"/>
            </w:tcMar>
            <w:vAlign w:val="center"/>
          </w:tcPr>
          <w:p>
            <w:r>
              <w:rPr>
                <w:sz w:val="14"/>
              </w:rPr>
              <w:t>§ 30-4-30(c)</w:t>
            </w:r>
          </w:p>
        </w:tc>
      </w:tr>
      <w:tr>
        <w:trPr>
          <w:cantSplit/>
        </w:trPr>
        <w:tc>
          <w:tcPr>
            <w:tcW w:type="dxa" w:w="2114"/>
            <w:tcMar>
              <w:top w:w="55" w:type="dxa"/>
              <w:start w:w="65" w:type="dxa"/>
              <w:bottom w:w="55" w:type="dxa"/>
              <w:end w:w="65" w:type="dxa"/>
            </w:tcMar>
            <w:vAlign w:val="center"/>
            <w:shd w:fill="F8FAFC"/>
          </w:tcPr>
          <w:p>
            <w:r>
              <w:rPr>
                <w:sz w:val="14"/>
              </w:rPr>
              <w:t>Failure to issue timely determination</w:t>
            </w:r>
          </w:p>
        </w:tc>
        <w:tc>
          <w:tcPr>
            <w:tcW w:type="dxa" w:w="2114"/>
            <w:tcMar>
              <w:top w:w="55" w:type="dxa"/>
              <w:start w:w="65" w:type="dxa"/>
              <w:bottom w:w="55" w:type="dxa"/>
              <w:end w:w="65" w:type="dxa"/>
            </w:tcMar>
            <w:vAlign w:val="center"/>
            <w:shd w:fill="F8FAFC"/>
          </w:tcPr>
          <w:p>
            <w:r>
              <w:rPr>
                <w:sz w:val="14"/>
              </w:rPr>
              <w:t>At expiration of 10/20 days</w:t>
            </w:r>
          </w:p>
        </w:tc>
        <w:tc>
          <w:tcPr>
            <w:tcW w:type="dxa" w:w="2114"/>
            <w:tcMar>
              <w:top w:w="55" w:type="dxa"/>
              <w:start w:w="65" w:type="dxa"/>
              <w:bottom w:w="55" w:type="dxa"/>
              <w:end w:w="65" w:type="dxa"/>
            </w:tcMar>
            <w:vAlign w:val="center"/>
            <w:shd w:fill="F8FAFC"/>
          </w:tcPr>
          <w:p>
            <w:r>
              <w:rPr>
                <w:sz w:val="14"/>
              </w:rPr>
              <w:t>Request deemed approved as to nonexempt records; exemptions are not waived.</w:t>
            </w:r>
          </w:p>
        </w:tc>
        <w:tc>
          <w:tcPr>
            <w:tcW w:type="dxa" w:w="2114"/>
            <w:tcMar>
              <w:top w:w="55" w:type="dxa"/>
              <w:start w:w="65" w:type="dxa"/>
              <w:bottom w:w="55" w:type="dxa"/>
              <w:end w:w="65" w:type="dxa"/>
            </w:tcMar>
            <w:vAlign w:val="center"/>
            <w:shd w:fill="F8FAFC"/>
          </w:tcPr>
          <w:p>
            <w:r>
              <w:rPr>
                <w:sz w:val="14"/>
              </w:rPr>
              <w:t>Compliance-risk/approval consequence.</w:t>
            </w:r>
          </w:p>
        </w:tc>
        <w:tc>
          <w:tcPr>
            <w:tcW w:type="dxa" w:w="2114"/>
            <w:tcMar>
              <w:top w:w="55" w:type="dxa"/>
              <w:start w:w="65" w:type="dxa"/>
              <w:bottom w:w="55" w:type="dxa"/>
              <w:end w:w="65" w:type="dxa"/>
            </w:tcMar>
            <w:vAlign w:val="center"/>
            <w:shd w:fill="F8FAFC"/>
          </w:tcPr>
          <w:p>
            <w:r>
              <w:rPr>
                <w:sz w:val="14"/>
              </w:rPr>
              <w:t>§ 30-4-30(c)</w:t>
            </w:r>
          </w:p>
        </w:tc>
      </w:tr>
    </w:tbl>
    <w:p>
      <w:pPr>
        <w:pStyle w:val="Heading1"/>
      </w:pPr>
      <w:r>
        <w:t>5. Vague, Unclear, or Overly Broad Requests</w:t>
      </w:r>
    </w:p>
    <w:p>
      <w:pPr>
        <w:pStyle w:val="ListBullet"/>
        <w:spacing w:after="30"/>
      </w:pPr>
      <w:r>
        <w:t>The statute does not establish a detailed statewide clarification, tolling, restart, or abandonment procedure.</w:t>
      </w:r>
    </w:p>
    <w:p>
      <w:pPr>
        <w:pStyle w:val="ListBullet"/>
        <w:spacing w:after="30"/>
      </w:pPr>
      <w:r>
        <w:t>The city should seek enough information to identify record series and date ranges and document any mutually agreed extension when clarification affects the ability to determine availability.</w:t>
      </w:r>
    </w:p>
    <w:p>
      <w:pPr>
        <w:pStyle w:val="ListBullet"/>
        <w:spacing w:after="30"/>
      </w:pPr>
      <w:r>
        <w:t>An overly broad request is not automatically invalid merely because it is large; volume affects fees, production work, and potentially a negotiated extension.</w:t>
      </w:r>
    </w:p>
    <w:p>
      <w:pPr>
        <w:pStyle w:val="ListBullet"/>
        <w:spacing w:after="30"/>
      </w:pPr>
      <w:r>
        <w:t>Local closure rules for requester nonresponse must be labeled operational and should preserve the original 10/20-day compliance analysis unless supported by a written agreement.</w:t>
      </w:r>
    </w:p>
    <w:p>
      <w:pPr>
        <w:pStyle w:val="Heading1"/>
      </w:pPr>
      <w:r>
        <w:t>6. Denial and Partial-Denial Process</w:t>
      </w:r>
    </w:p>
    <w:p>
      <w:pPr>
        <w:pStyle w:val="ListBullet"/>
        <w:spacing w:after="30"/>
      </w:pPr>
      <w:r>
        <w:t>The initial determination must state the reasons for the availability decision, but need not finally determine specific redactions.</w:t>
      </w:r>
    </w:p>
    <w:p>
      <w:pPr>
        <w:pStyle w:val="ListBullet"/>
        <w:spacing w:after="30"/>
      </w:pPr>
      <w:r>
        <w:t>Later record-level withholding should identify authority and release reasonably segregable nonexempt portions.</w:t>
      </w:r>
    </w:p>
    <w:p>
      <w:pPr>
        <w:pStyle w:val="ListBullet"/>
        <w:spacing w:after="30"/>
      </w:pPr>
      <w:r>
        <w:t>Failure to make the initial determination on time results in deemed approval only as to nonexempt material; exemptions are not waived.</w:t>
      </w:r>
    </w:p>
    <w:p>
      <w:pPr>
        <w:pStyle w:val="ListBullet"/>
        <w:spacing w:after="30"/>
      </w:pPr>
      <w:r>
        <w:t>The system should separate “availability denied,” “specific information redacted,” “no responsive records,” and “production delayed under written agreement.”</w:t>
      </w:r>
    </w:p>
    <w:p>
      <w:pPr>
        <w:pStyle w:val="Heading1"/>
      </w:pPr>
      <w:r>
        <w:t>7. Legal Classifications, Tracks, and Operational Classifications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Classification / flag</w:t>
            </w:r>
          </w:p>
        </w:tc>
        <w:tc>
          <w:tcPr>
            <w:tcW w:type="dxa" w:w="2642"/>
            <w:shd w:fill="17365D"/>
            <w:tcMar>
              <w:top w:w="55" w:type="dxa"/>
              <w:start w:w="65" w:type="dxa"/>
              <w:bottom w:w="55" w:type="dxa"/>
              <w:end w:w="65" w:type="dxa"/>
            </w:tcMar>
          </w:tcPr>
          <w:p>
            <w:pPr>
              <w:jc w:val="center"/>
            </w:pPr>
            <w:r>
              <w:rPr>
                <w:b/>
                <w:color w:val="FFFFFF"/>
                <w:sz w:val="14"/>
              </w:rPr>
              <w:t>Legal or operational</w:t>
            </w:r>
          </w:p>
        </w:tc>
        <w:tc>
          <w:tcPr>
            <w:tcW w:type="dxa" w:w="2642"/>
            <w:shd w:fill="17365D"/>
            <w:tcMar>
              <w:top w:w="55" w:type="dxa"/>
              <w:start w:w="65" w:type="dxa"/>
              <w:bottom w:w="55" w:type="dxa"/>
              <w:end w:w="65" w:type="dxa"/>
            </w:tcMar>
          </w:tcPr>
          <w:p>
            <w:pPr>
              <w:jc w:val="center"/>
            </w:pPr>
            <w:r>
              <w:rPr>
                <w:b/>
                <w:color w:val="FFFFFF"/>
                <w:sz w:val="14"/>
              </w:rPr>
              <w:t>Workflow effect</w:t>
            </w:r>
          </w:p>
        </w:tc>
        <w:tc>
          <w:tcPr>
            <w:tcW w:type="dxa" w:w="2642"/>
            <w:shd w:fill="17365D"/>
            <w:tcMar>
              <w:top w:w="55" w:type="dxa"/>
              <w:start w:w="65" w:type="dxa"/>
              <w:bottom w:w="55" w:type="dxa"/>
              <w:end w:w="65" w:type="dxa"/>
            </w:tcMar>
          </w:tcPr>
          <w:p>
            <w:pPr>
              <w:jc w:val="center"/>
            </w:pPr>
            <w:r>
              <w:rPr>
                <w:b/>
                <w:color w:val="FFFFFF"/>
                <w:sz w:val="14"/>
              </w:rPr>
              <w:t>Timer / communication effect</w:t>
            </w:r>
          </w:p>
        </w:tc>
      </w:tr>
      <w:tr>
        <w:trPr>
          <w:cantSplit/>
        </w:trPr>
        <w:tc>
          <w:tcPr>
            <w:tcW w:type="dxa" w:w="2642"/>
            <w:tcMar>
              <w:top w:w="55" w:type="dxa"/>
              <w:start w:w="65" w:type="dxa"/>
              <w:bottom w:w="55" w:type="dxa"/>
              <w:end w:w="65" w:type="dxa"/>
            </w:tcMar>
            <w:vAlign w:val="center"/>
          </w:tcPr>
          <w:p>
            <w:r>
              <w:rPr>
                <w:sz w:val="14"/>
              </w:rPr>
              <w:t>Records 24 months old or less</w:t>
            </w:r>
          </w:p>
        </w:tc>
        <w:tc>
          <w:tcPr>
            <w:tcW w:type="dxa" w:w="2642"/>
            <w:tcMar>
              <w:top w:w="55" w:type="dxa"/>
              <w:start w:w="65" w:type="dxa"/>
              <w:bottom w:w="55" w:type="dxa"/>
              <w:end w:w="65" w:type="dxa"/>
            </w:tcMar>
            <w:vAlign w:val="center"/>
          </w:tcPr>
          <w:p>
            <w:r>
              <w:rPr>
                <w:sz w:val="14"/>
              </w:rPr>
              <w:t>Legal age track</w:t>
            </w:r>
          </w:p>
        </w:tc>
        <w:tc>
          <w:tcPr>
            <w:tcW w:type="dxa" w:w="2642"/>
            <w:tcMar>
              <w:top w:w="55" w:type="dxa"/>
              <w:start w:w="65" w:type="dxa"/>
              <w:bottom w:w="55" w:type="dxa"/>
              <w:end w:w="65" w:type="dxa"/>
            </w:tcMar>
            <w:vAlign w:val="center"/>
          </w:tcPr>
          <w:p>
            <w:r>
              <w:rPr>
                <w:sz w:val="14"/>
              </w:rPr>
              <w:t>Shorter determination and production periods.</w:t>
            </w:r>
          </w:p>
        </w:tc>
        <w:tc>
          <w:tcPr>
            <w:tcW w:type="dxa" w:w="2642"/>
            <w:tcMar>
              <w:top w:w="55" w:type="dxa"/>
              <w:start w:w="65" w:type="dxa"/>
              <w:bottom w:w="55" w:type="dxa"/>
              <w:end w:w="65" w:type="dxa"/>
            </w:tcMar>
            <w:vAlign w:val="center"/>
          </w:tcPr>
          <w:p>
            <w:r>
              <w:rPr>
                <w:sz w:val="14"/>
              </w:rPr>
              <w:t>10 business days; 30 calendar days.</w:t>
            </w:r>
          </w:p>
        </w:tc>
      </w:tr>
      <w:tr>
        <w:trPr>
          <w:cantSplit/>
        </w:trPr>
        <w:tc>
          <w:tcPr>
            <w:tcW w:type="dxa" w:w="2642"/>
            <w:tcMar>
              <w:top w:w="55" w:type="dxa"/>
              <w:start w:w="65" w:type="dxa"/>
              <w:bottom w:w="55" w:type="dxa"/>
              <w:end w:w="65" w:type="dxa"/>
            </w:tcMar>
            <w:vAlign w:val="center"/>
            <w:shd w:fill="F8FAFC"/>
          </w:tcPr>
          <w:p>
            <w:r>
              <w:rPr>
                <w:sz w:val="14"/>
              </w:rPr>
              <w:t>Records older than 24 months</w:t>
            </w:r>
          </w:p>
        </w:tc>
        <w:tc>
          <w:tcPr>
            <w:tcW w:type="dxa" w:w="2642"/>
            <w:tcMar>
              <w:top w:w="55" w:type="dxa"/>
              <w:start w:w="65" w:type="dxa"/>
              <w:bottom w:w="55" w:type="dxa"/>
              <w:end w:w="65" w:type="dxa"/>
            </w:tcMar>
            <w:vAlign w:val="center"/>
            <w:shd w:fill="F8FAFC"/>
          </w:tcPr>
          <w:p>
            <w:r>
              <w:rPr>
                <w:sz w:val="14"/>
              </w:rPr>
              <w:t>Legal age track</w:t>
            </w:r>
          </w:p>
        </w:tc>
        <w:tc>
          <w:tcPr>
            <w:tcW w:type="dxa" w:w="2642"/>
            <w:tcMar>
              <w:top w:w="55" w:type="dxa"/>
              <w:start w:w="65" w:type="dxa"/>
              <w:bottom w:w="55" w:type="dxa"/>
              <w:end w:w="65" w:type="dxa"/>
            </w:tcMar>
            <w:vAlign w:val="center"/>
            <w:shd w:fill="F8FAFC"/>
          </w:tcPr>
          <w:p>
            <w:r>
              <w:rPr>
                <w:sz w:val="14"/>
              </w:rPr>
              <w:t>Longer determination and production periods.</w:t>
            </w:r>
          </w:p>
        </w:tc>
        <w:tc>
          <w:tcPr>
            <w:tcW w:type="dxa" w:w="2642"/>
            <w:tcMar>
              <w:top w:w="55" w:type="dxa"/>
              <w:start w:w="65" w:type="dxa"/>
              <w:bottom w:w="55" w:type="dxa"/>
              <w:end w:w="65" w:type="dxa"/>
            </w:tcMar>
            <w:vAlign w:val="center"/>
            <w:shd w:fill="F8FAFC"/>
          </w:tcPr>
          <w:p>
            <w:r>
              <w:rPr>
                <w:sz w:val="14"/>
              </w:rPr>
              <w:t>20 business days; 35 calendar days.</w:t>
            </w:r>
          </w:p>
        </w:tc>
      </w:tr>
      <w:tr>
        <w:trPr>
          <w:cantSplit/>
        </w:trPr>
        <w:tc>
          <w:tcPr>
            <w:tcW w:type="dxa" w:w="2642"/>
            <w:tcMar>
              <w:top w:w="55" w:type="dxa"/>
              <w:start w:w="65" w:type="dxa"/>
              <w:bottom w:w="55" w:type="dxa"/>
              <w:end w:w="65" w:type="dxa"/>
            </w:tcMar>
            <w:vAlign w:val="center"/>
          </w:tcPr>
          <w:p>
            <w:r>
              <w:rPr>
                <w:sz w:val="14"/>
              </w:rPr>
              <w:t>Deposit required</w:t>
            </w:r>
          </w:p>
        </w:tc>
        <w:tc>
          <w:tcPr>
            <w:tcW w:type="dxa" w:w="2642"/>
            <w:tcMar>
              <w:top w:w="55" w:type="dxa"/>
              <w:start w:w="65" w:type="dxa"/>
              <w:bottom w:w="55" w:type="dxa"/>
              <w:end w:w="65" w:type="dxa"/>
            </w:tcMar>
            <w:vAlign w:val="center"/>
          </w:tcPr>
          <w:p>
            <w:r>
              <w:rPr>
                <w:sz w:val="14"/>
              </w:rPr>
              <w:t>Legal/fee branch</w:t>
            </w:r>
          </w:p>
        </w:tc>
        <w:tc>
          <w:tcPr>
            <w:tcW w:type="dxa" w:w="2642"/>
            <w:tcMar>
              <w:top w:w="55" w:type="dxa"/>
              <w:start w:w="65" w:type="dxa"/>
              <w:bottom w:w="55" w:type="dxa"/>
              <w:end w:w="65" w:type="dxa"/>
            </w:tcMar>
            <w:vAlign w:val="center"/>
          </w:tcPr>
          <w:p>
            <w:r>
              <w:rPr>
                <w:sz w:val="14"/>
              </w:rPr>
              <w:t>Production timer re-anchored to deposit receipt.</w:t>
            </w:r>
          </w:p>
        </w:tc>
        <w:tc>
          <w:tcPr>
            <w:tcW w:type="dxa" w:w="2642"/>
            <w:tcMar>
              <w:top w:w="55" w:type="dxa"/>
              <w:start w:w="65" w:type="dxa"/>
              <w:bottom w:w="55" w:type="dxa"/>
              <w:end w:w="65" w:type="dxa"/>
            </w:tcMar>
            <w:vAlign w:val="center"/>
          </w:tcPr>
          <w:p>
            <w:r>
              <w:rPr>
                <w:sz w:val="14"/>
              </w:rPr>
              <w:t>Deposit up to 25%; full payment at production.</w:t>
            </w:r>
          </w:p>
        </w:tc>
      </w:tr>
      <w:tr>
        <w:trPr>
          <w:cantSplit/>
        </w:trPr>
        <w:tc>
          <w:tcPr>
            <w:tcW w:type="dxa" w:w="2642"/>
            <w:tcMar>
              <w:top w:w="55" w:type="dxa"/>
              <w:start w:w="65" w:type="dxa"/>
              <w:bottom w:w="55" w:type="dxa"/>
              <w:end w:w="65" w:type="dxa"/>
            </w:tcMar>
            <w:vAlign w:val="center"/>
            <w:shd w:fill="F8FAFC"/>
          </w:tcPr>
          <w:p>
            <w:r>
              <w:rPr>
                <w:sz w:val="14"/>
              </w:rPr>
              <w:t>Specific redaction unresolved at determination</w:t>
            </w:r>
          </w:p>
        </w:tc>
        <w:tc>
          <w:tcPr>
            <w:tcW w:type="dxa" w:w="2642"/>
            <w:tcMar>
              <w:top w:w="55" w:type="dxa"/>
              <w:start w:w="65" w:type="dxa"/>
              <w:bottom w:w="55" w:type="dxa"/>
              <w:end w:w="65" w:type="dxa"/>
            </w:tcMar>
            <w:vAlign w:val="center"/>
            <w:shd w:fill="F8FAFC"/>
          </w:tcPr>
          <w:p>
            <w:r>
              <w:rPr>
                <w:sz w:val="14"/>
              </w:rPr>
              <w:t>Legal processing status</w:t>
            </w:r>
          </w:p>
        </w:tc>
        <w:tc>
          <w:tcPr>
            <w:tcW w:type="dxa" w:w="2642"/>
            <w:tcMar>
              <w:top w:w="55" w:type="dxa"/>
              <w:start w:w="65" w:type="dxa"/>
              <w:bottom w:w="55" w:type="dxa"/>
              <w:end w:w="65" w:type="dxa"/>
            </w:tcMar>
            <w:vAlign w:val="center"/>
            <w:shd w:fill="F8FAFC"/>
          </w:tcPr>
          <w:p>
            <w:r>
              <w:rPr>
                <w:sz w:val="14"/>
              </w:rPr>
              <w:t>General availability can be decided before document-level redaction.</w:t>
            </w:r>
          </w:p>
        </w:tc>
        <w:tc>
          <w:tcPr>
            <w:tcW w:type="dxa" w:w="2642"/>
            <w:tcMar>
              <w:top w:w="55" w:type="dxa"/>
              <w:start w:w="65" w:type="dxa"/>
              <w:bottom w:w="55" w:type="dxa"/>
              <w:end w:w="65" w:type="dxa"/>
            </w:tcMar>
            <w:vAlign w:val="center"/>
            <w:shd w:fill="F8FAFC"/>
          </w:tcPr>
          <w:p>
            <w:r>
              <w:rPr>
                <w:sz w:val="14"/>
              </w:rPr>
              <w:t>No new statutory class; later notice required.</w:t>
            </w:r>
          </w:p>
        </w:tc>
      </w:tr>
      <w:tr>
        <w:trPr>
          <w:cantSplit/>
        </w:trPr>
        <w:tc>
          <w:tcPr>
            <w:tcW w:type="dxa" w:w="2642"/>
            <w:tcMar>
              <w:top w:w="55" w:type="dxa"/>
              <w:start w:w="65" w:type="dxa"/>
              <w:bottom w:w="55" w:type="dxa"/>
              <w:end w:w="65" w:type="dxa"/>
            </w:tcMar>
            <w:vAlign w:val="center"/>
          </w:tcPr>
          <w:p>
            <w:r>
              <w:rPr>
                <w:sz w:val="14"/>
              </w:rPr>
              <w:t>Simple / complex</w:t>
            </w:r>
          </w:p>
        </w:tc>
        <w:tc>
          <w:tcPr>
            <w:tcW w:type="dxa" w:w="2642"/>
            <w:tcMar>
              <w:top w:w="55" w:type="dxa"/>
              <w:start w:w="65" w:type="dxa"/>
              <w:bottom w:w="55" w:type="dxa"/>
              <w:end w:w="65" w:type="dxa"/>
            </w:tcMar>
            <w:vAlign w:val="center"/>
          </w:tcPr>
          <w:p>
            <w:r>
              <w:rPr>
                <w:sz w:val="14"/>
              </w:rPr>
              <w:t>Operational</w:t>
            </w:r>
          </w:p>
        </w:tc>
        <w:tc>
          <w:tcPr>
            <w:tcW w:type="dxa" w:w="2642"/>
            <w:tcMar>
              <w:top w:w="55" w:type="dxa"/>
              <w:start w:w="65" w:type="dxa"/>
              <w:bottom w:w="55" w:type="dxa"/>
              <w:end w:w="65" w:type="dxa"/>
            </w:tcMar>
            <w:vAlign w:val="center"/>
          </w:tcPr>
          <w:p>
            <w:r>
              <w:rPr>
                <w:sz w:val="14"/>
              </w:rPr>
              <w:t>Resource allocation.</w:t>
            </w:r>
          </w:p>
        </w:tc>
        <w:tc>
          <w:tcPr>
            <w:tcW w:type="dxa" w:w="2642"/>
            <w:tcMar>
              <w:top w:w="55" w:type="dxa"/>
              <w:start w:w="65" w:type="dxa"/>
              <w:bottom w:w="55" w:type="dxa"/>
              <w:end w:w="65" w:type="dxa"/>
            </w:tcMar>
            <w:vAlign w:val="center"/>
          </w:tcPr>
          <w:p>
            <w:r>
              <w:rPr>
                <w:sz w:val="14"/>
              </w:rPr>
              <w:t>Cannot change statutory track without written agreement.</w:t>
            </w:r>
          </w:p>
        </w:tc>
      </w:tr>
    </w:tbl>
    <w:p>
      <w:pPr>
        <w:pStyle w:val="Heading1"/>
      </w:pPr>
      <w:r>
        <w:t>8. Large Volume, Redaction, Programming, and Electronic Records</w:t>
      </w:r>
    </w:p>
    <w:p>
      <w:pPr>
        <w:pStyle w:val="ListBullet"/>
        <w:spacing w:after="30"/>
      </w:pPr>
      <w:r>
        <w:t>Large volume does not itself create a separate statutory extension class; the city may seek a written mutually agreed extension.</w:t>
      </w:r>
    </w:p>
    <w:p>
      <w:pPr>
        <w:pStyle w:val="ListBullet"/>
        <w:spacing w:after="30"/>
      </w:pPr>
      <w:r>
        <w:t>Authorized fees may include actual search, retrieval, and redaction cost, but not the cost of examining/reviewing records merely to determine whether they are subject to disclosure.</w:t>
      </w:r>
    </w:p>
    <w:p>
      <w:pPr>
        <w:pStyle w:val="ListBullet"/>
        <w:spacing w:after="30"/>
      </w:pPr>
      <w:r>
        <w:t>Electronic records cannot be charged a per-page copy fee; staff time to convert paper to electronic format may be charged when authorized.</w:t>
      </w:r>
    </w:p>
    <w:p>
      <w:pPr>
        <w:pStyle w:val="ListBullet"/>
        <w:spacing w:after="30"/>
      </w:pPr>
      <w:r>
        <w:t>The public body should use the lowest-paid employee with necessary skill and training for labor charges and maintain an online fee schedule.</w:t>
      </w:r>
    </w:p>
    <w:p>
      <w:pPr>
        <w:pStyle w:val="Heading1"/>
      </w:pPr>
      <w:r>
        <w:t>9. Fee Estimate, Deposit, Payment, and Reconciliation Workflow</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Fee component / trigger</w:t>
            </w:r>
          </w:p>
        </w:tc>
        <w:tc>
          <w:tcPr>
            <w:tcW w:type="dxa" w:w="2642"/>
            <w:shd w:fill="17365D"/>
            <w:tcMar>
              <w:top w:w="55" w:type="dxa"/>
              <w:start w:w="65" w:type="dxa"/>
              <w:bottom w:w="55" w:type="dxa"/>
              <w:end w:w="65" w:type="dxa"/>
            </w:tcMar>
          </w:tcPr>
          <w:p>
            <w:pPr>
              <w:jc w:val="center"/>
            </w:pPr>
            <w:r>
              <w:rPr>
                <w:b/>
                <w:color w:val="FFFFFF"/>
                <w:sz w:val="14"/>
              </w:rPr>
              <w:t>Statewide rule</w:t>
            </w:r>
          </w:p>
        </w:tc>
        <w:tc>
          <w:tcPr>
            <w:tcW w:type="dxa" w:w="2642"/>
            <w:shd w:fill="17365D"/>
            <w:tcMar>
              <w:top w:w="55" w:type="dxa"/>
              <w:start w:w="65" w:type="dxa"/>
              <w:bottom w:w="55" w:type="dxa"/>
              <w:end w:w="65" w:type="dxa"/>
            </w:tcMar>
          </w:tcPr>
          <w:p>
            <w:pPr>
              <w:jc w:val="center"/>
            </w:pPr>
            <w:r>
              <w:rPr>
                <w:b/>
                <w:color w:val="FFFFFF"/>
                <w:sz w:val="14"/>
              </w:rPr>
              <w:t>Estimate / payment timing</w:t>
            </w:r>
          </w:p>
        </w:tc>
        <w:tc>
          <w:tcPr>
            <w:tcW w:type="dxa" w:w="2642"/>
            <w:shd w:fill="17365D"/>
            <w:tcMar>
              <w:top w:w="55" w:type="dxa"/>
              <w:start w:w="65" w:type="dxa"/>
              <w:bottom w:w="55" w:type="dxa"/>
              <w:end w:w="65" w:type="dxa"/>
            </w:tcMar>
          </w:tcPr>
          <w:p>
            <w:pPr>
              <w:jc w:val="center"/>
            </w:pPr>
            <w:r>
              <w:rPr>
                <w:b/>
                <w:color w:val="FFFFFF"/>
                <w:sz w:val="14"/>
              </w:rPr>
              <w:t>Configuration treatment</w:t>
            </w:r>
          </w:p>
        </w:tc>
      </w:tr>
      <w:tr>
        <w:trPr>
          <w:cantSplit/>
        </w:trPr>
        <w:tc>
          <w:tcPr>
            <w:tcW w:type="dxa" w:w="2642"/>
            <w:tcMar>
              <w:top w:w="55" w:type="dxa"/>
              <w:start w:w="65" w:type="dxa"/>
              <w:bottom w:w="55" w:type="dxa"/>
              <w:end w:w="65" w:type="dxa"/>
            </w:tcMar>
            <w:vAlign w:val="center"/>
          </w:tcPr>
          <w:p>
            <w:r>
              <w:rPr>
                <w:sz w:val="14"/>
              </w:rPr>
              <w:t>Search, retrieval, redaction</w:t>
            </w:r>
          </w:p>
        </w:tc>
        <w:tc>
          <w:tcPr>
            <w:tcW w:type="dxa" w:w="2642"/>
            <w:tcMar>
              <w:top w:w="55" w:type="dxa"/>
              <w:start w:w="65" w:type="dxa"/>
              <w:bottom w:w="55" w:type="dxa"/>
              <w:end w:w="65" w:type="dxa"/>
            </w:tcMar>
            <w:vAlign w:val="center"/>
          </w:tcPr>
          <w:p>
            <w:r>
              <w:rPr>
                <w:sz w:val="14"/>
              </w:rPr>
              <w:t>Reasonable fee not exceeding actual cost; lowest-paid qualified employee.</w:t>
            </w:r>
          </w:p>
        </w:tc>
        <w:tc>
          <w:tcPr>
            <w:tcW w:type="dxa" w:w="2642"/>
            <w:tcMar>
              <w:top w:w="55" w:type="dxa"/>
              <w:start w:w="65" w:type="dxa"/>
              <w:bottom w:w="55" w:type="dxa"/>
              <w:end w:w="65" w:type="dxa"/>
            </w:tcMar>
            <w:vAlign w:val="center"/>
          </w:tcPr>
          <w:p>
            <w:r>
              <w:rPr>
                <w:sz w:val="14"/>
              </w:rPr>
              <w:t>Estimate before deposit; reconcile at production.</w:t>
            </w:r>
          </w:p>
        </w:tc>
        <w:tc>
          <w:tcPr>
            <w:tcW w:type="dxa" w:w="2642"/>
            <w:tcMar>
              <w:top w:w="55" w:type="dxa"/>
              <w:start w:w="65" w:type="dxa"/>
              <w:bottom w:w="55" w:type="dxa"/>
              <w:end w:w="65" w:type="dxa"/>
            </w:tcMar>
            <w:vAlign w:val="center"/>
          </w:tcPr>
          <w:p>
            <w:r>
              <w:rPr>
                <w:sz w:val="14"/>
              </w:rPr>
              <w:t>State standard + local rates.</w:t>
            </w:r>
          </w:p>
        </w:tc>
      </w:tr>
      <w:tr>
        <w:trPr>
          <w:cantSplit/>
        </w:trPr>
        <w:tc>
          <w:tcPr>
            <w:tcW w:type="dxa" w:w="2642"/>
            <w:tcMar>
              <w:top w:w="55" w:type="dxa"/>
              <w:start w:w="65" w:type="dxa"/>
              <w:bottom w:w="55" w:type="dxa"/>
              <w:end w:w="65" w:type="dxa"/>
            </w:tcMar>
            <w:vAlign w:val="center"/>
            <w:shd w:fill="F8FAFC"/>
          </w:tcPr>
          <w:p>
            <w:r>
              <w:rPr>
                <w:sz w:val="14"/>
              </w:rPr>
              <w:t>Disclosure/exemption determination review</w:t>
            </w:r>
          </w:p>
        </w:tc>
        <w:tc>
          <w:tcPr>
            <w:tcW w:type="dxa" w:w="2642"/>
            <w:tcMar>
              <w:top w:w="55" w:type="dxa"/>
              <w:start w:w="65" w:type="dxa"/>
              <w:bottom w:w="55" w:type="dxa"/>
              <w:end w:w="65" w:type="dxa"/>
            </w:tcMar>
            <w:vAlign w:val="center"/>
            <w:shd w:fill="F8FAFC"/>
          </w:tcPr>
          <w:p>
            <w:r>
              <w:rPr>
                <w:sz w:val="14"/>
              </w:rPr>
              <w:t>May not be charged.</w:t>
            </w:r>
          </w:p>
        </w:tc>
        <w:tc>
          <w:tcPr>
            <w:tcW w:type="dxa" w:w="2642"/>
            <w:tcMar>
              <w:top w:w="55" w:type="dxa"/>
              <w:start w:w="65" w:type="dxa"/>
              <w:bottom w:w="55" w:type="dxa"/>
              <w:end w:w="65" w:type="dxa"/>
            </w:tcMar>
            <w:vAlign w:val="center"/>
            <w:shd w:fill="F8FAFC"/>
          </w:tcPr>
          <w:p>
            <w:r>
              <w:rPr>
                <w:sz w:val="14"/>
              </w:rPr>
              <w:t>Exclude from estimate/invoice.</w:t>
            </w:r>
          </w:p>
        </w:tc>
        <w:tc>
          <w:tcPr>
            <w:tcW w:type="dxa" w:w="2642"/>
            <w:tcMar>
              <w:top w:w="55" w:type="dxa"/>
              <w:start w:w="65" w:type="dxa"/>
              <w:bottom w:w="55" w:type="dxa"/>
              <w:end w:w="65" w:type="dxa"/>
            </w:tcMar>
            <w:vAlign w:val="center"/>
            <w:shd w:fill="F8FAFC"/>
          </w:tcPr>
          <w:p>
            <w:r>
              <w:rPr>
                <w:sz w:val="14"/>
              </w:rPr>
              <w:t>Activity-level billability rule.</w:t>
            </w:r>
          </w:p>
        </w:tc>
      </w:tr>
      <w:tr>
        <w:trPr>
          <w:cantSplit/>
        </w:trPr>
        <w:tc>
          <w:tcPr>
            <w:tcW w:type="dxa" w:w="2642"/>
            <w:tcMar>
              <w:top w:w="55" w:type="dxa"/>
              <w:start w:w="65" w:type="dxa"/>
              <w:bottom w:w="55" w:type="dxa"/>
              <w:end w:w="65" w:type="dxa"/>
            </w:tcMar>
            <w:vAlign w:val="center"/>
          </w:tcPr>
          <w:p>
            <w:r>
              <w:rPr>
                <w:sz w:val="14"/>
              </w:rPr>
              <w:t>Paper copy</w:t>
            </w:r>
          </w:p>
        </w:tc>
        <w:tc>
          <w:tcPr>
            <w:tcW w:type="dxa" w:w="2642"/>
            <w:tcMar>
              <w:top w:w="55" w:type="dxa"/>
              <w:start w:w="65" w:type="dxa"/>
              <w:bottom w:w="55" w:type="dxa"/>
              <w:end w:w="65" w:type="dxa"/>
            </w:tcMar>
            <w:vAlign w:val="center"/>
          </w:tcPr>
          <w:p>
            <w:r>
              <w:rPr>
                <w:sz w:val="14"/>
              </w:rPr>
              <w:t>Not more than prevailing commercial rate.</w:t>
            </w:r>
          </w:p>
        </w:tc>
        <w:tc>
          <w:tcPr>
            <w:tcW w:type="dxa" w:w="2642"/>
            <w:tcMar>
              <w:top w:w="55" w:type="dxa"/>
              <w:start w:w="65" w:type="dxa"/>
              <w:bottom w:w="55" w:type="dxa"/>
              <w:end w:w="65" w:type="dxa"/>
            </w:tcMar>
            <w:vAlign w:val="center"/>
          </w:tcPr>
          <w:p>
            <w:r>
              <w:rPr>
                <w:sz w:val="14"/>
              </w:rPr>
              <w:t>At estimate/final invoice.</w:t>
            </w:r>
          </w:p>
        </w:tc>
        <w:tc>
          <w:tcPr>
            <w:tcW w:type="dxa" w:w="2642"/>
            <w:tcMar>
              <w:top w:w="55" w:type="dxa"/>
              <w:start w:w="65" w:type="dxa"/>
              <w:bottom w:w="55" w:type="dxa"/>
              <w:end w:w="65" w:type="dxa"/>
            </w:tcMar>
            <w:vAlign w:val="center"/>
          </w:tcPr>
          <w:p>
            <w:r>
              <w:rPr>
                <w:sz w:val="14"/>
              </w:rPr>
              <w:t>Local rate and evidence.</w:t>
            </w:r>
          </w:p>
        </w:tc>
      </w:tr>
      <w:tr>
        <w:trPr>
          <w:cantSplit/>
        </w:trPr>
        <w:tc>
          <w:tcPr>
            <w:tcW w:type="dxa" w:w="2642"/>
            <w:tcMar>
              <w:top w:w="55" w:type="dxa"/>
              <w:start w:w="65" w:type="dxa"/>
              <w:bottom w:w="55" w:type="dxa"/>
              <w:end w:w="65" w:type="dxa"/>
            </w:tcMar>
            <w:vAlign w:val="center"/>
            <w:shd w:fill="F8FAFC"/>
          </w:tcPr>
          <w:p>
            <w:r>
              <w:rPr>
                <w:sz w:val="14"/>
              </w:rPr>
              <w:t>Electronic copy</w:t>
            </w:r>
          </w:p>
        </w:tc>
        <w:tc>
          <w:tcPr>
            <w:tcW w:type="dxa" w:w="2642"/>
            <w:tcMar>
              <w:top w:w="55" w:type="dxa"/>
              <w:start w:w="65" w:type="dxa"/>
              <w:bottom w:w="55" w:type="dxa"/>
              <w:end w:w="65" w:type="dxa"/>
            </w:tcMar>
            <w:vAlign w:val="center"/>
            <w:shd w:fill="F8FAFC"/>
          </w:tcPr>
          <w:p>
            <w:r>
              <w:rPr>
                <w:sz w:val="14"/>
              </w:rPr>
              <w:t>No per-page copy charge; conversion labor may be charged when paper must be converted.</w:t>
            </w:r>
          </w:p>
        </w:tc>
        <w:tc>
          <w:tcPr>
            <w:tcW w:type="dxa" w:w="2642"/>
            <w:tcMar>
              <w:top w:w="55" w:type="dxa"/>
              <w:start w:w="65" w:type="dxa"/>
              <w:bottom w:w="55" w:type="dxa"/>
              <w:end w:w="65" w:type="dxa"/>
            </w:tcMar>
            <w:vAlign w:val="center"/>
            <w:shd w:fill="F8FAFC"/>
          </w:tcPr>
          <w:p>
            <w:r>
              <w:rPr>
                <w:sz w:val="14"/>
              </w:rPr>
              <w:t>Estimate actual labor when applicable.</w:t>
            </w:r>
          </w:p>
        </w:tc>
        <w:tc>
          <w:tcPr>
            <w:tcW w:type="dxa" w:w="2642"/>
            <w:tcMar>
              <w:top w:w="55" w:type="dxa"/>
              <w:start w:w="65" w:type="dxa"/>
              <w:bottom w:w="55" w:type="dxa"/>
              <w:end w:w="65" w:type="dxa"/>
            </w:tcMar>
            <w:vAlign w:val="center"/>
            <w:shd w:fill="F8FAFC"/>
          </w:tcPr>
          <w:p>
            <w:r>
              <w:rPr>
                <w:sz w:val="14"/>
              </w:rPr>
              <w:t>Medium-specific rule.</w:t>
            </w:r>
          </w:p>
        </w:tc>
      </w:tr>
      <w:tr>
        <w:trPr>
          <w:cantSplit/>
        </w:trPr>
        <w:tc>
          <w:tcPr>
            <w:tcW w:type="dxa" w:w="2642"/>
            <w:tcMar>
              <w:top w:w="55" w:type="dxa"/>
              <w:start w:w="65" w:type="dxa"/>
              <w:bottom w:w="55" w:type="dxa"/>
              <w:end w:w="65" w:type="dxa"/>
            </w:tcMar>
            <w:vAlign w:val="center"/>
          </w:tcPr>
          <w:p>
            <w:r>
              <w:rPr>
                <w:sz w:val="14"/>
              </w:rPr>
              <w:t>Deposit</w:t>
            </w:r>
          </w:p>
        </w:tc>
        <w:tc>
          <w:tcPr>
            <w:tcW w:type="dxa" w:w="2642"/>
            <w:tcMar>
              <w:top w:w="55" w:type="dxa"/>
              <w:start w:w="65" w:type="dxa"/>
              <w:bottom w:w="55" w:type="dxa"/>
              <w:end w:w="65" w:type="dxa"/>
            </w:tcMar>
            <w:vAlign w:val="center"/>
          </w:tcPr>
          <w:p>
            <w:r>
              <w:rPr>
                <w:sz w:val="14"/>
              </w:rPr>
              <w:t>May require up to 25% of reasonably anticipated cost.</w:t>
            </w:r>
          </w:p>
        </w:tc>
        <w:tc>
          <w:tcPr>
            <w:tcW w:type="dxa" w:w="2642"/>
            <w:tcMar>
              <w:top w:w="55" w:type="dxa"/>
              <w:start w:w="65" w:type="dxa"/>
              <w:bottom w:w="55" w:type="dxa"/>
              <w:end w:w="65" w:type="dxa"/>
            </w:tcMar>
            <w:vAlign w:val="center"/>
          </w:tcPr>
          <w:p>
            <w:r>
              <w:rPr>
                <w:sz w:val="14"/>
              </w:rPr>
              <w:t>Before search/copy; production timer begins on receipt.</w:t>
            </w:r>
          </w:p>
        </w:tc>
        <w:tc>
          <w:tcPr>
            <w:tcW w:type="dxa" w:w="2642"/>
            <w:tcMar>
              <w:top w:w="55" w:type="dxa"/>
              <w:start w:w="65" w:type="dxa"/>
              <w:bottom w:w="55" w:type="dxa"/>
              <w:end w:w="65" w:type="dxa"/>
            </w:tcMar>
            <w:vAlign w:val="center"/>
          </w:tcPr>
          <w:p>
            <w:r>
              <w:rPr>
                <w:sz w:val="14"/>
              </w:rPr>
              <w:t>Local policy within state cap.</w:t>
            </w:r>
          </w:p>
        </w:tc>
      </w:tr>
      <w:tr>
        <w:trPr>
          <w:cantSplit/>
        </w:trPr>
        <w:tc>
          <w:tcPr>
            <w:tcW w:type="dxa" w:w="2642"/>
            <w:tcMar>
              <w:top w:w="55" w:type="dxa"/>
              <w:start w:w="65" w:type="dxa"/>
              <w:bottom w:w="55" w:type="dxa"/>
              <w:end w:w="65" w:type="dxa"/>
            </w:tcMar>
            <w:vAlign w:val="center"/>
            <w:shd w:fill="F8FAFC"/>
          </w:tcPr>
          <w:p>
            <w:r>
              <w:rPr>
                <w:sz w:val="14"/>
              </w:rPr>
              <w:t>Full payment</w:t>
            </w:r>
          </w:p>
        </w:tc>
        <w:tc>
          <w:tcPr>
            <w:tcW w:type="dxa" w:w="2642"/>
            <w:tcMar>
              <w:top w:w="55" w:type="dxa"/>
              <w:start w:w="65" w:type="dxa"/>
              <w:bottom w:w="55" w:type="dxa"/>
              <w:end w:w="65" w:type="dxa"/>
            </w:tcMar>
            <w:vAlign w:val="center"/>
            <w:shd w:fill="F8FAFC"/>
          </w:tcPr>
          <w:p>
            <w:r>
              <w:rPr>
                <w:sz w:val="14"/>
              </w:rPr>
              <w:t>Due when records are produced.</w:t>
            </w:r>
          </w:p>
        </w:tc>
        <w:tc>
          <w:tcPr>
            <w:tcW w:type="dxa" w:w="2642"/>
            <w:tcMar>
              <w:top w:w="55" w:type="dxa"/>
              <w:start w:w="65" w:type="dxa"/>
              <w:bottom w:w="55" w:type="dxa"/>
              <w:end w:w="65" w:type="dxa"/>
            </w:tcMar>
            <w:vAlign w:val="center"/>
            <w:shd w:fill="F8FAFC"/>
          </w:tcPr>
          <w:p>
            <w:r>
              <w:rPr>
                <w:sz w:val="14"/>
              </w:rPr>
              <w:t>At production/release.</w:t>
            </w:r>
          </w:p>
        </w:tc>
        <w:tc>
          <w:tcPr>
            <w:tcW w:type="dxa" w:w="2642"/>
            <w:tcMar>
              <w:top w:w="55" w:type="dxa"/>
              <w:start w:w="65" w:type="dxa"/>
              <w:bottom w:w="55" w:type="dxa"/>
              <w:end w:w="65" w:type="dxa"/>
            </w:tcMar>
            <w:vAlign w:val="center"/>
            <w:shd w:fill="F8FAFC"/>
          </w:tcPr>
          <w:p>
            <w:r>
              <w:rPr>
                <w:sz w:val="14"/>
              </w:rPr>
              <w:t>Final reconciliation and refund/amount due.</w:t>
            </w:r>
          </w:p>
        </w:tc>
      </w:tr>
      <w:tr>
        <w:trPr>
          <w:cantSplit/>
        </w:trPr>
        <w:tc>
          <w:tcPr>
            <w:tcW w:type="dxa" w:w="2642"/>
            <w:tcMar>
              <w:top w:w="55" w:type="dxa"/>
              <w:start w:w="65" w:type="dxa"/>
              <w:bottom w:w="55" w:type="dxa"/>
              <w:end w:w="65" w:type="dxa"/>
            </w:tcMar>
            <w:vAlign w:val="center"/>
          </w:tcPr>
          <w:p>
            <w:r>
              <w:rPr>
                <w:sz w:val="14"/>
              </w:rPr>
              <w:t>Waiver/reduction</w:t>
            </w:r>
          </w:p>
        </w:tc>
        <w:tc>
          <w:tcPr>
            <w:tcW w:type="dxa" w:w="2642"/>
            <w:tcMar>
              <w:top w:w="55" w:type="dxa"/>
              <w:start w:w="65" w:type="dxa"/>
              <w:bottom w:w="55" w:type="dxa"/>
              <w:end w:w="65" w:type="dxa"/>
            </w:tcMar>
            <w:vAlign w:val="center"/>
          </w:tcPr>
          <w:p>
            <w:r>
              <w:rPr>
                <w:sz w:val="14"/>
              </w:rPr>
              <w:t>May waive or reduce when disclosure primarily benefits general public.</w:t>
            </w:r>
          </w:p>
        </w:tc>
        <w:tc>
          <w:tcPr>
            <w:tcW w:type="dxa" w:w="2642"/>
            <w:tcMar>
              <w:top w:w="55" w:type="dxa"/>
              <w:start w:w="65" w:type="dxa"/>
              <w:bottom w:w="55" w:type="dxa"/>
              <w:end w:w="65" w:type="dxa"/>
            </w:tcMar>
            <w:vAlign w:val="center"/>
          </w:tcPr>
          <w:p>
            <w:r>
              <w:rPr>
                <w:sz w:val="14"/>
              </w:rPr>
              <w:t>Before payment.</w:t>
            </w:r>
          </w:p>
        </w:tc>
        <w:tc>
          <w:tcPr>
            <w:tcW w:type="dxa" w:w="2642"/>
            <w:tcMar>
              <w:top w:w="55" w:type="dxa"/>
              <w:start w:w="65" w:type="dxa"/>
              <w:bottom w:w="55" w:type="dxa"/>
              <w:end w:w="65" w:type="dxa"/>
            </w:tcMar>
            <w:vAlign w:val="center"/>
          </w:tcPr>
          <w:p>
            <w:r>
              <w:rPr>
                <w:sz w:val="14"/>
              </w:rPr>
              <w:t>Human determination.</w:t>
            </w:r>
          </w:p>
        </w:tc>
      </w:tr>
    </w:tbl>
    <w:p>
      <w:pPr>
        <w:pStyle w:val="Heading1"/>
      </w:pPr>
      <w:r>
        <w:t>10. Normalized Software Rules</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3"/>
              </w:rPr>
              <w:t>Rule</w:t>
            </w:r>
          </w:p>
        </w:tc>
        <w:tc>
          <w:tcPr>
            <w:tcW w:type="dxa" w:w="2114"/>
            <w:shd w:fill="17365D"/>
            <w:tcMar>
              <w:top w:w="55" w:type="dxa"/>
              <w:start w:w="65" w:type="dxa"/>
              <w:bottom w:w="55" w:type="dxa"/>
              <w:end w:w="65" w:type="dxa"/>
            </w:tcMar>
          </w:tcPr>
          <w:p>
            <w:pPr>
              <w:jc w:val="center"/>
            </w:pPr>
            <w:r>
              <w:rPr>
                <w:b/>
                <w:color w:val="FFFFFF"/>
                <w:sz w:val="13"/>
              </w:rPr>
              <w:t>Trigger / conditions</w:t>
            </w:r>
          </w:p>
        </w:tc>
        <w:tc>
          <w:tcPr>
            <w:tcW w:type="dxa" w:w="2114"/>
            <w:shd w:fill="17365D"/>
            <w:tcMar>
              <w:top w:w="55" w:type="dxa"/>
              <w:start w:w="65" w:type="dxa"/>
              <w:bottom w:w="55" w:type="dxa"/>
              <w:end w:w="65" w:type="dxa"/>
            </w:tcMar>
          </w:tcPr>
          <w:p>
            <w:pPr>
              <w:jc w:val="center"/>
            </w:pPr>
            <w:r>
              <w:rPr>
                <w:b/>
                <w:color w:val="FFFFFF"/>
                <w:sz w:val="13"/>
              </w:rPr>
              <w:t>Required action &amp; communication</w:t>
            </w:r>
          </w:p>
        </w:tc>
        <w:tc>
          <w:tcPr>
            <w:tcW w:type="dxa" w:w="2114"/>
            <w:shd w:fill="17365D"/>
            <w:tcMar>
              <w:top w:w="55" w:type="dxa"/>
              <w:start w:w="65" w:type="dxa"/>
              <w:bottom w:w="55" w:type="dxa"/>
              <w:end w:w="65" w:type="dxa"/>
            </w:tcMar>
          </w:tcPr>
          <w:p>
            <w:pPr>
              <w:jc w:val="center"/>
            </w:pPr>
            <w:r>
              <w:rPr>
                <w:b/>
                <w:color w:val="FFFFFF"/>
                <w:sz w:val="13"/>
              </w:rPr>
              <w:t>Deadline / clock effect</w:t>
            </w:r>
          </w:p>
        </w:tc>
        <w:tc>
          <w:tcPr>
            <w:tcW w:type="dxa" w:w="2114"/>
            <w:shd w:fill="17365D"/>
            <w:tcMar>
              <w:top w:w="55" w:type="dxa"/>
              <w:start w:w="65" w:type="dxa"/>
              <w:bottom w:w="55" w:type="dxa"/>
              <w:end w:w="65" w:type="dxa"/>
            </w:tcMar>
          </w:tcPr>
          <w:p>
            <w:pPr>
              <w:jc w:val="center"/>
            </w:pPr>
            <w:r>
              <w:rPr>
                <w:b/>
                <w:color w:val="FFFFFF"/>
                <w:sz w:val="13"/>
              </w:rPr>
              <w:t>Configuration, applicability &amp; authority</w:t>
            </w:r>
          </w:p>
        </w:tc>
      </w:tr>
      <w:tr>
        <w:trPr>
          <w:cantSplit/>
        </w:trPr>
        <w:tc>
          <w:tcPr>
            <w:tcW w:type="dxa" w:w="2114"/>
            <w:tcMar>
              <w:top w:w="55" w:type="dxa"/>
              <w:start w:w="65" w:type="dxa"/>
              <w:bottom w:w="55" w:type="dxa"/>
              <w:end w:w="65" w:type="dxa"/>
            </w:tcMar>
            <w:vAlign w:val="center"/>
          </w:tcPr>
          <w:p>
            <w:r>
              <w:rPr>
                <w:sz w:val="13"/>
              </w:rPr>
              <w:t>SC-CLS-01</w:t>
            </w:r>
          </w:p>
        </w:tc>
        <w:tc>
          <w:tcPr>
            <w:tcW w:type="dxa" w:w="2114"/>
            <w:tcMar>
              <w:top w:w="55" w:type="dxa"/>
              <w:start w:w="65" w:type="dxa"/>
              <w:bottom w:w="55" w:type="dxa"/>
              <w:end w:w="65" w:type="dxa"/>
            </w:tcMar>
            <w:vAlign w:val="center"/>
          </w:tcPr>
          <w:p>
            <w:r>
              <w:rPr>
                <w:sz w:val="13"/>
              </w:rPr>
              <w:t>Written request received.</w:t>
            </w:r>
          </w:p>
        </w:tc>
        <w:tc>
          <w:tcPr>
            <w:tcW w:type="dxa" w:w="2114"/>
            <w:tcMar>
              <w:top w:w="55" w:type="dxa"/>
              <w:start w:w="65" w:type="dxa"/>
              <w:bottom w:w="55" w:type="dxa"/>
              <w:end w:w="65" w:type="dxa"/>
            </w:tcMar>
            <w:vAlign w:val="center"/>
          </w:tcPr>
          <w:p>
            <w:r>
              <w:rPr>
                <w:sz w:val="13"/>
              </w:rPr>
              <w:t>Determine whether records are &lt;=24 months or older.</w:t>
            </w:r>
          </w:p>
        </w:tc>
        <w:tc>
          <w:tcPr>
            <w:tcW w:type="dxa" w:w="2114"/>
            <w:tcMar>
              <w:top w:w="55" w:type="dxa"/>
              <w:start w:w="65" w:type="dxa"/>
              <w:bottom w:w="55" w:type="dxa"/>
              <w:end w:w="65" w:type="dxa"/>
            </w:tcMar>
            <w:vAlign w:val="center"/>
          </w:tcPr>
          <w:p>
            <w:r>
              <w:rPr>
                <w:sz w:val="13"/>
              </w:rPr>
              <w:t>At intake before timer creation.</w:t>
            </w:r>
          </w:p>
        </w:tc>
        <w:tc>
          <w:tcPr>
            <w:tcW w:type="dxa" w:w="2114"/>
            <w:tcMar>
              <w:top w:w="55" w:type="dxa"/>
              <w:start w:w="65" w:type="dxa"/>
              <w:bottom w:w="55" w:type="dxa"/>
              <w:end w:w="65" w:type="dxa"/>
            </w:tcMar>
            <w:vAlign w:val="center"/>
          </w:tcPr>
          <w:p>
            <w:r>
              <w:rPr>
                <w:sz w:val="13"/>
              </w:rPr>
              <w:t>State age classification; cities.</w:t>
            </w:r>
          </w:p>
        </w:tc>
      </w:tr>
      <w:tr>
        <w:trPr>
          <w:cantSplit/>
        </w:trPr>
        <w:tc>
          <w:tcPr>
            <w:tcW w:type="dxa" w:w="2114"/>
            <w:tcMar>
              <w:top w:w="55" w:type="dxa"/>
              <w:start w:w="65" w:type="dxa"/>
              <w:bottom w:w="55" w:type="dxa"/>
              <w:end w:w="65" w:type="dxa"/>
            </w:tcMar>
            <w:vAlign w:val="center"/>
            <w:shd w:fill="F8FAFC"/>
          </w:tcPr>
          <w:p>
            <w:r>
              <w:rPr>
                <w:sz w:val="13"/>
              </w:rPr>
              <w:t>SC-DET-01</w:t>
            </w:r>
          </w:p>
        </w:tc>
        <w:tc>
          <w:tcPr>
            <w:tcW w:type="dxa" w:w="2114"/>
            <w:tcMar>
              <w:top w:w="55" w:type="dxa"/>
              <w:start w:w="65" w:type="dxa"/>
              <w:bottom w:w="55" w:type="dxa"/>
              <w:end w:w="65" w:type="dxa"/>
            </w:tcMar>
            <w:vAlign w:val="center"/>
            <w:shd w:fill="F8FAFC"/>
          </w:tcPr>
          <w:p>
            <w:r>
              <w:rPr>
                <w:sz w:val="13"/>
              </w:rPr>
              <w:t>Records &lt;=24 months.</w:t>
            </w:r>
          </w:p>
        </w:tc>
        <w:tc>
          <w:tcPr>
            <w:tcW w:type="dxa" w:w="2114"/>
            <w:tcMar>
              <w:top w:w="55" w:type="dxa"/>
              <w:start w:w="65" w:type="dxa"/>
              <w:bottom w:w="55" w:type="dxa"/>
              <w:end w:w="65" w:type="dxa"/>
            </w:tcMar>
            <w:vAlign w:val="center"/>
            <w:shd w:fill="F8FAFC"/>
          </w:tcPr>
          <w:p>
            <w:r>
              <w:rPr>
                <w:sz w:val="13"/>
              </w:rPr>
              <w:t>Send final availability determination and reasons.</w:t>
            </w:r>
          </w:p>
        </w:tc>
        <w:tc>
          <w:tcPr>
            <w:tcW w:type="dxa" w:w="2114"/>
            <w:tcMar>
              <w:top w:w="55" w:type="dxa"/>
              <w:start w:w="65" w:type="dxa"/>
              <w:bottom w:w="55" w:type="dxa"/>
              <w:end w:w="65" w:type="dxa"/>
            </w:tcMar>
            <w:vAlign w:val="center"/>
            <w:shd w:fill="F8FAFC"/>
          </w:tcPr>
          <w:p>
            <w:r>
              <w:rPr>
                <w:sz w:val="13"/>
              </w:rPr>
              <w:t>Within 10 business days.</w:t>
            </w:r>
          </w:p>
        </w:tc>
        <w:tc>
          <w:tcPr>
            <w:tcW w:type="dxa" w:w="2114"/>
            <w:tcMar>
              <w:top w:w="55" w:type="dxa"/>
              <w:start w:w="65" w:type="dxa"/>
              <w:bottom w:w="55" w:type="dxa"/>
              <w:end w:w="65" w:type="dxa"/>
            </w:tcMar>
            <w:vAlign w:val="center"/>
            <w:shd w:fill="F8FAFC"/>
          </w:tcPr>
          <w:p>
            <w:r>
              <w:rPr>
                <w:sz w:val="13"/>
              </w:rPr>
              <w:t>§ 30-4-30(c).</w:t>
            </w:r>
          </w:p>
        </w:tc>
      </w:tr>
      <w:tr>
        <w:trPr>
          <w:cantSplit/>
        </w:trPr>
        <w:tc>
          <w:tcPr>
            <w:tcW w:type="dxa" w:w="2114"/>
            <w:tcMar>
              <w:top w:w="55" w:type="dxa"/>
              <w:start w:w="65" w:type="dxa"/>
              <w:bottom w:w="55" w:type="dxa"/>
              <w:end w:w="65" w:type="dxa"/>
            </w:tcMar>
            <w:vAlign w:val="center"/>
          </w:tcPr>
          <w:p>
            <w:r>
              <w:rPr>
                <w:sz w:val="13"/>
              </w:rPr>
              <w:t>SC-DET-02</w:t>
            </w:r>
          </w:p>
        </w:tc>
        <w:tc>
          <w:tcPr>
            <w:tcW w:type="dxa" w:w="2114"/>
            <w:tcMar>
              <w:top w:w="55" w:type="dxa"/>
              <w:start w:w="65" w:type="dxa"/>
              <w:bottom w:w="55" w:type="dxa"/>
              <w:end w:w="65" w:type="dxa"/>
            </w:tcMar>
            <w:vAlign w:val="center"/>
          </w:tcPr>
          <w:p>
            <w:r>
              <w:rPr>
                <w:sz w:val="13"/>
              </w:rPr>
              <w:t>Records &gt;24 months.</w:t>
            </w:r>
          </w:p>
        </w:tc>
        <w:tc>
          <w:tcPr>
            <w:tcW w:type="dxa" w:w="2114"/>
            <w:tcMar>
              <w:top w:w="55" w:type="dxa"/>
              <w:start w:w="65" w:type="dxa"/>
              <w:bottom w:w="55" w:type="dxa"/>
              <w:end w:w="65" w:type="dxa"/>
            </w:tcMar>
            <w:vAlign w:val="center"/>
          </w:tcPr>
          <w:p>
            <w:r>
              <w:rPr>
                <w:sz w:val="13"/>
              </w:rPr>
              <w:t>Send final availability determination and reasons.</w:t>
            </w:r>
          </w:p>
        </w:tc>
        <w:tc>
          <w:tcPr>
            <w:tcW w:type="dxa" w:w="2114"/>
            <w:tcMar>
              <w:top w:w="55" w:type="dxa"/>
              <w:start w:w="65" w:type="dxa"/>
              <w:bottom w:w="55" w:type="dxa"/>
              <w:end w:w="65" w:type="dxa"/>
            </w:tcMar>
            <w:vAlign w:val="center"/>
          </w:tcPr>
          <w:p>
            <w:r>
              <w:rPr>
                <w:sz w:val="13"/>
              </w:rPr>
              <w:t>Within 20 business days.</w:t>
            </w:r>
          </w:p>
        </w:tc>
        <w:tc>
          <w:tcPr>
            <w:tcW w:type="dxa" w:w="2114"/>
            <w:tcMar>
              <w:top w:w="55" w:type="dxa"/>
              <w:start w:w="65" w:type="dxa"/>
              <w:bottom w:w="55" w:type="dxa"/>
              <w:end w:w="65" w:type="dxa"/>
            </w:tcMar>
            <w:vAlign w:val="center"/>
          </w:tcPr>
          <w:p>
            <w:r>
              <w:rPr>
                <w:sz w:val="13"/>
              </w:rPr>
              <w:t>§ 30-4-30(c).</w:t>
            </w:r>
          </w:p>
        </w:tc>
      </w:tr>
      <w:tr>
        <w:trPr>
          <w:cantSplit/>
        </w:trPr>
        <w:tc>
          <w:tcPr>
            <w:tcW w:type="dxa" w:w="2114"/>
            <w:tcMar>
              <w:top w:w="55" w:type="dxa"/>
              <w:start w:w="65" w:type="dxa"/>
              <w:bottom w:w="55" w:type="dxa"/>
              <w:end w:w="65" w:type="dxa"/>
            </w:tcMar>
            <w:vAlign w:val="center"/>
            <w:shd w:fill="F8FAFC"/>
          </w:tcPr>
          <w:p>
            <w:r>
              <w:rPr>
                <w:sz w:val="13"/>
              </w:rPr>
              <w:t>SC-DEP-01</w:t>
            </w:r>
          </w:p>
        </w:tc>
        <w:tc>
          <w:tcPr>
            <w:tcW w:type="dxa" w:w="2114"/>
            <w:tcMar>
              <w:top w:w="55" w:type="dxa"/>
              <w:start w:w="65" w:type="dxa"/>
              <w:bottom w:w="55" w:type="dxa"/>
              <w:end w:w="65" w:type="dxa"/>
            </w:tcMar>
            <w:vAlign w:val="center"/>
            <w:shd w:fill="F8FAFC"/>
          </w:tcPr>
          <w:p>
            <w:r>
              <w:rPr>
                <w:sz w:val="13"/>
              </w:rPr>
              <w:t>City requires deposit.</w:t>
            </w:r>
          </w:p>
        </w:tc>
        <w:tc>
          <w:tcPr>
            <w:tcW w:type="dxa" w:w="2114"/>
            <w:tcMar>
              <w:top w:w="55" w:type="dxa"/>
              <w:start w:w="65" w:type="dxa"/>
              <w:bottom w:w="55" w:type="dxa"/>
              <w:end w:w="65" w:type="dxa"/>
            </w:tcMar>
            <w:vAlign w:val="center"/>
            <w:shd w:fill="F8FAFC"/>
          </w:tcPr>
          <w:p>
            <w:r>
              <w:rPr>
                <w:sz w:val="13"/>
              </w:rPr>
              <w:t>Issue estimate/deposit request up to 25%; re-anchor production timer to receipt.</w:t>
            </w:r>
          </w:p>
        </w:tc>
        <w:tc>
          <w:tcPr>
            <w:tcW w:type="dxa" w:w="2114"/>
            <w:tcMar>
              <w:top w:w="55" w:type="dxa"/>
              <w:start w:w="65" w:type="dxa"/>
              <w:bottom w:w="55" w:type="dxa"/>
              <w:end w:w="65" w:type="dxa"/>
            </w:tcMar>
            <w:vAlign w:val="center"/>
            <w:shd w:fill="F8FAFC"/>
          </w:tcPr>
          <w:p>
            <w:r>
              <w:rPr>
                <w:sz w:val="13"/>
              </w:rPr>
              <w:t>Before search/copy.</w:t>
            </w:r>
          </w:p>
        </w:tc>
        <w:tc>
          <w:tcPr>
            <w:tcW w:type="dxa" w:w="2114"/>
            <w:tcMar>
              <w:top w:w="55" w:type="dxa"/>
              <w:start w:w="65" w:type="dxa"/>
              <w:bottom w:w="55" w:type="dxa"/>
              <w:end w:w="65" w:type="dxa"/>
            </w:tcMar>
            <w:vAlign w:val="center"/>
            <w:shd w:fill="F8FAFC"/>
          </w:tcPr>
          <w:p>
            <w:r>
              <w:rPr>
                <w:sz w:val="13"/>
              </w:rPr>
              <w:t>Discretionary local policy.</w:t>
            </w:r>
          </w:p>
        </w:tc>
      </w:tr>
      <w:tr>
        <w:trPr>
          <w:cantSplit/>
        </w:trPr>
        <w:tc>
          <w:tcPr>
            <w:tcW w:type="dxa" w:w="2114"/>
            <w:tcMar>
              <w:top w:w="55" w:type="dxa"/>
              <w:start w:w="65" w:type="dxa"/>
              <w:bottom w:w="55" w:type="dxa"/>
              <w:end w:w="65" w:type="dxa"/>
            </w:tcMar>
            <w:vAlign w:val="center"/>
          </w:tcPr>
          <w:p>
            <w:r>
              <w:rPr>
                <w:sz w:val="13"/>
              </w:rPr>
              <w:t>SC-PROD-01</w:t>
            </w:r>
          </w:p>
        </w:tc>
        <w:tc>
          <w:tcPr>
            <w:tcW w:type="dxa" w:w="2114"/>
            <w:tcMar>
              <w:top w:w="55" w:type="dxa"/>
              <w:start w:w="65" w:type="dxa"/>
              <w:bottom w:w="55" w:type="dxa"/>
              <w:end w:w="65" w:type="dxa"/>
            </w:tcMar>
            <w:vAlign w:val="center"/>
          </w:tcPr>
          <w:p>
            <w:r>
              <w:rPr>
                <w:sz w:val="13"/>
              </w:rPr>
              <w:t>Access granted and applicable anchor occurs.</w:t>
            </w:r>
          </w:p>
        </w:tc>
        <w:tc>
          <w:tcPr>
            <w:tcW w:type="dxa" w:w="2114"/>
            <w:tcMar>
              <w:top w:w="55" w:type="dxa"/>
              <w:start w:w="65" w:type="dxa"/>
              <w:bottom w:w="55" w:type="dxa"/>
              <w:end w:w="65" w:type="dxa"/>
            </w:tcMar>
            <w:vAlign w:val="center"/>
          </w:tcPr>
          <w:p>
            <w:r>
              <w:rPr>
                <w:sz w:val="13"/>
              </w:rPr>
              <w:t>Complete production.</w:t>
            </w:r>
          </w:p>
        </w:tc>
        <w:tc>
          <w:tcPr>
            <w:tcW w:type="dxa" w:w="2114"/>
            <w:tcMar>
              <w:top w:w="55" w:type="dxa"/>
              <w:start w:w="65" w:type="dxa"/>
              <w:bottom w:w="55" w:type="dxa"/>
              <w:end w:w="65" w:type="dxa"/>
            </w:tcMar>
            <w:vAlign w:val="center"/>
          </w:tcPr>
          <w:p>
            <w:r>
              <w:rPr>
                <w:sz w:val="13"/>
              </w:rPr>
              <w:t>30 calendar days; 35 for older records.</w:t>
            </w:r>
          </w:p>
        </w:tc>
        <w:tc>
          <w:tcPr>
            <w:tcW w:type="dxa" w:w="2114"/>
            <w:tcMar>
              <w:top w:w="55" w:type="dxa"/>
              <w:start w:w="65" w:type="dxa"/>
              <w:bottom w:w="55" w:type="dxa"/>
              <w:end w:w="65" w:type="dxa"/>
            </w:tcMar>
            <w:vAlign w:val="center"/>
          </w:tcPr>
          <w:p>
            <w:r>
              <w:rPr>
                <w:sz w:val="13"/>
              </w:rPr>
              <w:t>State timer.</w:t>
            </w:r>
          </w:p>
        </w:tc>
      </w:tr>
      <w:tr>
        <w:trPr>
          <w:cantSplit/>
        </w:trPr>
        <w:tc>
          <w:tcPr>
            <w:tcW w:type="dxa" w:w="2114"/>
            <w:tcMar>
              <w:top w:w="55" w:type="dxa"/>
              <w:start w:w="65" w:type="dxa"/>
              <w:bottom w:w="55" w:type="dxa"/>
              <w:end w:w="65" w:type="dxa"/>
            </w:tcMar>
            <w:vAlign w:val="center"/>
            <w:shd w:fill="F8FAFC"/>
          </w:tcPr>
          <w:p>
            <w:r>
              <w:rPr>
                <w:sz w:val="13"/>
              </w:rPr>
              <w:t>SC-EXT-01</w:t>
            </w:r>
          </w:p>
        </w:tc>
        <w:tc>
          <w:tcPr>
            <w:tcW w:type="dxa" w:w="2114"/>
            <w:tcMar>
              <w:top w:w="55" w:type="dxa"/>
              <w:start w:w="65" w:type="dxa"/>
              <w:bottom w:w="55" w:type="dxa"/>
              <w:end w:w="65" w:type="dxa"/>
            </w:tcMar>
            <w:vAlign w:val="center"/>
            <w:shd w:fill="F8FAFC"/>
          </w:tcPr>
          <w:p>
            <w:r>
              <w:rPr>
                <w:sz w:val="13"/>
              </w:rPr>
              <w:t>Additional time needed and requester agrees.</w:t>
            </w:r>
          </w:p>
        </w:tc>
        <w:tc>
          <w:tcPr>
            <w:tcW w:type="dxa" w:w="2114"/>
            <w:tcMar>
              <w:top w:w="55" w:type="dxa"/>
              <w:start w:w="65" w:type="dxa"/>
              <w:bottom w:w="55" w:type="dxa"/>
              <w:end w:w="65" w:type="dxa"/>
            </w:tcMar>
            <w:vAlign w:val="center"/>
            <w:shd w:fill="F8FAFC"/>
          </w:tcPr>
          <w:p>
            <w:r>
              <w:rPr>
                <w:sz w:val="13"/>
              </w:rPr>
              <w:t>Create written mutual extension.</w:t>
            </w:r>
          </w:p>
        </w:tc>
        <w:tc>
          <w:tcPr>
            <w:tcW w:type="dxa" w:w="2114"/>
            <w:tcMar>
              <w:top w:w="55" w:type="dxa"/>
              <w:start w:w="65" w:type="dxa"/>
              <w:bottom w:w="55" w:type="dxa"/>
              <w:end w:w="65" w:type="dxa"/>
            </w:tcMar>
            <w:vAlign w:val="center"/>
            <w:shd w:fill="F8FAFC"/>
          </w:tcPr>
          <w:p>
            <w:r>
              <w:rPr>
                <w:sz w:val="13"/>
              </w:rPr>
              <w:t>Agreed date.</w:t>
            </w:r>
          </w:p>
        </w:tc>
        <w:tc>
          <w:tcPr>
            <w:tcW w:type="dxa" w:w="2114"/>
            <w:tcMar>
              <w:top w:w="55" w:type="dxa"/>
              <w:start w:w="65" w:type="dxa"/>
              <w:bottom w:w="55" w:type="dxa"/>
              <w:end w:w="65" w:type="dxa"/>
            </w:tcMar>
            <w:vAlign w:val="center"/>
            <w:shd w:fill="F8FAFC"/>
          </w:tcPr>
          <w:p>
            <w:r>
              <w:rPr>
                <w:sz w:val="13"/>
              </w:rPr>
              <w:t>Cannot be unreasonably withheld.</w:t>
            </w:r>
          </w:p>
        </w:tc>
      </w:tr>
      <w:tr>
        <w:trPr>
          <w:cantSplit/>
        </w:trPr>
        <w:tc>
          <w:tcPr>
            <w:tcW w:type="dxa" w:w="2114"/>
            <w:tcMar>
              <w:top w:w="55" w:type="dxa"/>
              <w:start w:w="65" w:type="dxa"/>
              <w:bottom w:w="55" w:type="dxa"/>
              <w:end w:w="65" w:type="dxa"/>
            </w:tcMar>
            <w:vAlign w:val="center"/>
          </w:tcPr>
          <w:p>
            <w:r>
              <w:rPr>
                <w:sz w:val="13"/>
              </w:rPr>
              <w:t>SC-FEE-01</w:t>
            </w:r>
          </w:p>
        </w:tc>
        <w:tc>
          <w:tcPr>
            <w:tcW w:type="dxa" w:w="2114"/>
            <w:tcMar>
              <w:top w:w="55" w:type="dxa"/>
              <w:start w:w="65" w:type="dxa"/>
              <w:bottom w:w="55" w:type="dxa"/>
              <w:end w:w="65" w:type="dxa"/>
            </w:tcMar>
            <w:vAlign w:val="center"/>
          </w:tcPr>
          <w:p>
            <w:r>
              <w:rPr>
                <w:sz w:val="13"/>
              </w:rPr>
              <w:t>Labor charges calculated.</w:t>
            </w:r>
          </w:p>
        </w:tc>
        <w:tc>
          <w:tcPr>
            <w:tcW w:type="dxa" w:w="2114"/>
            <w:tcMar>
              <w:top w:w="55" w:type="dxa"/>
              <w:start w:w="65" w:type="dxa"/>
              <w:bottom w:w="55" w:type="dxa"/>
              <w:end w:w="65" w:type="dxa"/>
            </w:tcMar>
            <w:vAlign w:val="center"/>
          </w:tcPr>
          <w:p>
            <w:r>
              <w:rPr>
                <w:sz w:val="13"/>
              </w:rPr>
              <w:t>Use lowest-paid qualified employee; exclude disclosure-determination review.</w:t>
            </w:r>
          </w:p>
        </w:tc>
        <w:tc>
          <w:tcPr>
            <w:tcW w:type="dxa" w:w="2114"/>
            <w:tcMar>
              <w:top w:w="55" w:type="dxa"/>
              <w:start w:w="65" w:type="dxa"/>
              <w:bottom w:w="55" w:type="dxa"/>
              <w:end w:w="65" w:type="dxa"/>
            </w:tcMar>
            <w:vAlign w:val="center"/>
          </w:tcPr>
          <w:p>
            <w:r>
              <w:rPr>
                <w:sz w:val="13"/>
              </w:rPr>
              <w:t>Estimate and actual.</w:t>
            </w:r>
          </w:p>
        </w:tc>
        <w:tc>
          <w:tcPr>
            <w:tcW w:type="dxa" w:w="2114"/>
            <w:tcMar>
              <w:top w:w="55" w:type="dxa"/>
              <w:start w:w="65" w:type="dxa"/>
              <w:bottom w:w="55" w:type="dxa"/>
              <w:end w:w="65" w:type="dxa"/>
            </w:tcMar>
            <w:vAlign w:val="center"/>
          </w:tcPr>
          <w:p>
            <w:r>
              <w:rPr>
                <w:sz w:val="13"/>
              </w:rPr>
              <w:t>§ 30-4-30.</w:t>
            </w:r>
          </w:p>
        </w:tc>
      </w:tr>
      <w:tr>
        <w:trPr>
          <w:cantSplit/>
        </w:trPr>
        <w:tc>
          <w:tcPr>
            <w:tcW w:type="dxa" w:w="2114"/>
            <w:tcMar>
              <w:top w:w="55" w:type="dxa"/>
              <w:start w:w="65" w:type="dxa"/>
              <w:bottom w:w="55" w:type="dxa"/>
              <w:end w:w="65" w:type="dxa"/>
            </w:tcMar>
            <w:vAlign w:val="center"/>
            <w:shd w:fill="F8FAFC"/>
          </w:tcPr>
          <w:p>
            <w:r>
              <w:rPr>
                <w:sz w:val="13"/>
              </w:rPr>
              <w:t>SC-RISK-01</w:t>
            </w:r>
          </w:p>
        </w:tc>
        <w:tc>
          <w:tcPr>
            <w:tcW w:type="dxa" w:w="2114"/>
            <w:tcMar>
              <w:top w:w="55" w:type="dxa"/>
              <w:start w:w="65" w:type="dxa"/>
              <w:bottom w:w="55" w:type="dxa"/>
              <w:end w:w="65" w:type="dxa"/>
            </w:tcMar>
            <w:vAlign w:val="center"/>
            <w:shd w:fill="F8FAFC"/>
          </w:tcPr>
          <w:p>
            <w:r>
              <w:rPr>
                <w:sz w:val="13"/>
              </w:rPr>
              <w:t>No timely final determination.</w:t>
            </w:r>
          </w:p>
        </w:tc>
        <w:tc>
          <w:tcPr>
            <w:tcW w:type="dxa" w:w="2114"/>
            <w:tcMar>
              <w:top w:w="55" w:type="dxa"/>
              <w:start w:w="65" w:type="dxa"/>
              <w:bottom w:w="55" w:type="dxa"/>
              <w:end w:w="65" w:type="dxa"/>
            </w:tcMar>
            <w:vAlign w:val="center"/>
            <w:shd w:fill="F8FAFC"/>
          </w:tcPr>
          <w:p>
            <w:r>
              <w:rPr>
                <w:sz w:val="13"/>
              </w:rPr>
              <w:t>Flag deemed approval for nonexempt material; preserve exemptions.</w:t>
            </w:r>
          </w:p>
        </w:tc>
        <w:tc>
          <w:tcPr>
            <w:tcW w:type="dxa" w:w="2114"/>
            <w:tcMar>
              <w:top w:w="55" w:type="dxa"/>
              <w:start w:w="65" w:type="dxa"/>
              <w:bottom w:w="55" w:type="dxa"/>
              <w:end w:w="65" w:type="dxa"/>
            </w:tcMar>
            <w:vAlign w:val="center"/>
            <w:shd w:fill="F8FAFC"/>
          </w:tcPr>
          <w:p>
            <w:r>
              <w:rPr>
                <w:sz w:val="13"/>
              </w:rPr>
              <w:t>At 10/20-day expiration.</w:t>
            </w:r>
          </w:p>
        </w:tc>
        <w:tc>
          <w:tcPr>
            <w:tcW w:type="dxa" w:w="2114"/>
            <w:tcMar>
              <w:top w:w="55" w:type="dxa"/>
              <w:start w:w="65" w:type="dxa"/>
              <w:bottom w:w="55" w:type="dxa"/>
              <w:end w:w="65" w:type="dxa"/>
            </w:tcMar>
            <w:vAlign w:val="center"/>
            <w:shd w:fill="F8FAFC"/>
          </w:tcPr>
          <w:p>
            <w:r>
              <w:rPr>
                <w:sz w:val="13"/>
              </w:rPr>
              <w:t>Compliance consequence.</w:t>
            </w:r>
          </w:p>
        </w:tc>
      </w:tr>
    </w:tbl>
    <w:p>
      <w:pPr>
        <w:pStyle w:val="Heading1"/>
      </w:pPr>
      <w:r>
        <w:t>11. Jurisdiction-Configuration Fields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Configuration field</w:t>
            </w:r>
          </w:p>
        </w:tc>
        <w:tc>
          <w:tcPr>
            <w:tcW w:type="dxa" w:w="2642"/>
            <w:shd w:fill="17365D"/>
            <w:tcMar>
              <w:top w:w="55" w:type="dxa"/>
              <w:start w:w="65" w:type="dxa"/>
              <w:bottom w:w="55" w:type="dxa"/>
              <w:end w:w="65" w:type="dxa"/>
            </w:tcMar>
          </w:tcPr>
          <w:p>
            <w:pPr>
              <w:jc w:val="center"/>
            </w:pPr>
            <w:r>
              <w:rPr>
                <w:b/>
                <w:color w:val="FFFFFF"/>
                <w:sz w:val="14"/>
              </w:rPr>
              <w:t>Source type</w:t>
            </w:r>
          </w:p>
        </w:tc>
        <w:tc>
          <w:tcPr>
            <w:tcW w:type="dxa" w:w="2642"/>
            <w:shd w:fill="17365D"/>
            <w:tcMar>
              <w:top w:w="55" w:type="dxa"/>
              <w:start w:w="65" w:type="dxa"/>
              <w:bottom w:w="55" w:type="dxa"/>
              <w:end w:w="65" w:type="dxa"/>
            </w:tcMar>
          </w:tcPr>
          <w:p>
            <w:pPr>
              <w:jc w:val="center"/>
            </w:pPr>
            <w:r>
              <w:rPr>
                <w:b/>
                <w:color w:val="FFFFFF"/>
                <w:sz w:val="14"/>
              </w:rPr>
              <w:t>Value / permitted setting</w:t>
            </w:r>
          </w:p>
        </w:tc>
        <w:tc>
          <w:tcPr>
            <w:tcW w:type="dxa" w:w="2642"/>
            <w:shd w:fill="17365D"/>
            <w:tcMar>
              <w:top w:w="55" w:type="dxa"/>
              <w:start w:w="65" w:type="dxa"/>
              <w:bottom w:w="55" w:type="dxa"/>
              <w:end w:w="65" w:type="dxa"/>
            </w:tcMar>
          </w:tcPr>
          <w:p>
            <w:pPr>
              <w:jc w:val="center"/>
            </w:pPr>
            <w:r>
              <w:rPr>
                <w:b/>
                <w:color w:val="FFFFFF"/>
                <w:sz w:val="14"/>
              </w:rPr>
              <w:t>Implementation note</w:t>
            </w:r>
          </w:p>
        </w:tc>
      </w:tr>
      <w:tr>
        <w:trPr>
          <w:cantSplit/>
        </w:trPr>
        <w:tc>
          <w:tcPr>
            <w:tcW w:type="dxa" w:w="2642"/>
            <w:tcMar>
              <w:top w:w="55" w:type="dxa"/>
              <w:start w:w="65" w:type="dxa"/>
              <w:bottom w:w="55" w:type="dxa"/>
              <w:end w:w="65" w:type="dxa"/>
            </w:tcMar>
            <w:vAlign w:val="center"/>
          </w:tcPr>
          <w:p>
            <w:r>
              <w:rPr>
                <w:sz w:val="14"/>
              </w:rPr>
              <w:t>Record-age calculation</w:t>
            </w:r>
          </w:p>
        </w:tc>
        <w:tc>
          <w:tcPr>
            <w:tcW w:type="dxa" w:w="2642"/>
            <w:tcMar>
              <w:top w:w="55" w:type="dxa"/>
              <w:start w:w="65" w:type="dxa"/>
              <w:bottom w:w="55" w:type="dxa"/>
              <w:end w:w="65" w:type="dxa"/>
            </w:tcMar>
            <w:vAlign w:val="center"/>
          </w:tcPr>
          <w:p>
            <w:r>
              <w:rPr>
                <w:sz w:val="14"/>
              </w:rPr>
              <w:t>State law</w:t>
            </w:r>
          </w:p>
        </w:tc>
        <w:tc>
          <w:tcPr>
            <w:tcW w:type="dxa" w:w="2642"/>
            <w:tcMar>
              <w:top w:w="55" w:type="dxa"/>
              <w:start w:w="65" w:type="dxa"/>
              <w:bottom w:w="55" w:type="dxa"/>
              <w:end w:w="65" w:type="dxa"/>
            </w:tcMar>
            <w:vAlign w:val="center"/>
          </w:tcPr>
          <w:p>
            <w:r>
              <w:rPr>
                <w:sz w:val="14"/>
              </w:rPr>
              <w:t>Creation/record date and 24-month boundary.</w:t>
            </w:r>
          </w:p>
        </w:tc>
        <w:tc>
          <w:tcPr>
            <w:tcW w:type="dxa" w:w="2642"/>
            <w:tcMar>
              <w:top w:w="55" w:type="dxa"/>
              <w:start w:w="65" w:type="dxa"/>
              <w:bottom w:w="55" w:type="dxa"/>
              <w:end w:w="65" w:type="dxa"/>
            </w:tcMar>
            <w:vAlign w:val="center"/>
          </w:tcPr>
          <w:p>
            <w:r>
              <w:rPr>
                <w:sz w:val="14"/>
              </w:rPr>
              <w:t>Selects legal track per child item/record set.</w:t>
            </w:r>
          </w:p>
        </w:tc>
      </w:tr>
      <w:tr>
        <w:trPr>
          <w:cantSplit/>
        </w:trPr>
        <w:tc>
          <w:tcPr>
            <w:tcW w:type="dxa" w:w="2642"/>
            <w:tcMar>
              <w:top w:w="55" w:type="dxa"/>
              <w:start w:w="65" w:type="dxa"/>
              <w:bottom w:w="55" w:type="dxa"/>
              <w:end w:w="65" w:type="dxa"/>
            </w:tcMar>
            <w:vAlign w:val="center"/>
            <w:shd w:fill="F8FAFC"/>
          </w:tcPr>
          <w:p>
            <w:r>
              <w:rPr>
                <w:sz w:val="14"/>
              </w:rPr>
              <w:t>Business/calendar-day rules</w:t>
            </w:r>
          </w:p>
        </w:tc>
        <w:tc>
          <w:tcPr>
            <w:tcW w:type="dxa" w:w="2642"/>
            <w:tcMar>
              <w:top w:w="55" w:type="dxa"/>
              <w:start w:w="65" w:type="dxa"/>
              <w:bottom w:w="55" w:type="dxa"/>
              <w:end w:w="65" w:type="dxa"/>
            </w:tcMar>
            <w:vAlign w:val="center"/>
            <w:shd w:fill="F8FAFC"/>
          </w:tcPr>
          <w:p>
            <w:r>
              <w:rPr>
                <w:sz w:val="14"/>
              </w:rPr>
              <w:t>State law + calendar</w:t>
            </w:r>
          </w:p>
        </w:tc>
        <w:tc>
          <w:tcPr>
            <w:tcW w:type="dxa" w:w="2642"/>
            <w:tcMar>
              <w:top w:w="55" w:type="dxa"/>
              <w:start w:w="65" w:type="dxa"/>
              <w:bottom w:w="55" w:type="dxa"/>
              <w:end w:w="65" w:type="dxa"/>
            </w:tcMar>
            <w:vAlign w:val="center"/>
            <w:shd w:fill="F8FAFC"/>
          </w:tcPr>
          <w:p>
            <w:r>
              <w:rPr>
                <w:sz w:val="14"/>
              </w:rPr>
              <w:t>10/20 business; 30/35 calendar.</w:t>
            </w:r>
          </w:p>
        </w:tc>
        <w:tc>
          <w:tcPr>
            <w:tcW w:type="dxa" w:w="2642"/>
            <w:tcMar>
              <w:top w:w="55" w:type="dxa"/>
              <w:start w:w="65" w:type="dxa"/>
              <w:bottom w:w="55" w:type="dxa"/>
              <w:end w:w="65" w:type="dxa"/>
            </w:tcMar>
            <w:vAlign w:val="center"/>
            <w:shd w:fill="F8FAFC"/>
          </w:tcPr>
          <w:p>
            <w:r>
              <w:rPr>
                <w:sz w:val="14"/>
              </w:rPr>
              <w:t>Separate timer units.</w:t>
            </w:r>
          </w:p>
        </w:tc>
      </w:tr>
      <w:tr>
        <w:trPr>
          <w:cantSplit/>
        </w:trPr>
        <w:tc>
          <w:tcPr>
            <w:tcW w:type="dxa" w:w="2642"/>
            <w:tcMar>
              <w:top w:w="55" w:type="dxa"/>
              <w:start w:w="65" w:type="dxa"/>
              <w:bottom w:w="55" w:type="dxa"/>
              <w:end w:w="65" w:type="dxa"/>
            </w:tcMar>
            <w:vAlign w:val="center"/>
          </w:tcPr>
          <w:p>
            <w:r>
              <w:rPr>
                <w:sz w:val="14"/>
              </w:rPr>
              <w:t>Fee schedule URL and version</w:t>
            </w:r>
          </w:p>
        </w:tc>
        <w:tc>
          <w:tcPr>
            <w:tcW w:type="dxa" w:w="2642"/>
            <w:tcMar>
              <w:top w:w="55" w:type="dxa"/>
              <w:start w:w="65" w:type="dxa"/>
              <w:bottom w:w="55" w:type="dxa"/>
              <w:end w:w="65" w:type="dxa"/>
            </w:tcMar>
            <w:vAlign w:val="center"/>
          </w:tcPr>
          <w:p>
            <w:r>
              <w:rPr>
                <w:sz w:val="14"/>
              </w:rPr>
              <w:t>State law + local policy</w:t>
            </w:r>
          </w:p>
        </w:tc>
        <w:tc>
          <w:tcPr>
            <w:tcW w:type="dxa" w:w="2642"/>
            <w:tcMar>
              <w:top w:w="55" w:type="dxa"/>
              <w:start w:w="65" w:type="dxa"/>
              <w:bottom w:w="55" w:type="dxa"/>
              <w:end w:w="65" w:type="dxa"/>
            </w:tcMar>
            <w:vAlign w:val="center"/>
          </w:tcPr>
          <w:p>
            <w:r>
              <w:rPr>
                <w:sz w:val="14"/>
              </w:rPr>
              <w:t>Online rates and effective date.</w:t>
            </w:r>
          </w:p>
        </w:tc>
        <w:tc>
          <w:tcPr>
            <w:tcW w:type="dxa" w:w="2642"/>
            <w:tcMar>
              <w:top w:w="55" w:type="dxa"/>
              <w:start w:w="65" w:type="dxa"/>
              <w:bottom w:w="55" w:type="dxa"/>
              <w:end w:w="65" w:type="dxa"/>
            </w:tcMar>
            <w:vAlign w:val="center"/>
          </w:tcPr>
          <w:p>
            <w:r>
              <w:rPr>
                <w:sz w:val="14"/>
              </w:rPr>
              <w:t>Mandatory public schedule.</w:t>
            </w:r>
          </w:p>
        </w:tc>
      </w:tr>
      <w:tr>
        <w:trPr>
          <w:cantSplit/>
        </w:trPr>
        <w:tc>
          <w:tcPr>
            <w:tcW w:type="dxa" w:w="2642"/>
            <w:tcMar>
              <w:top w:w="55" w:type="dxa"/>
              <w:start w:w="65" w:type="dxa"/>
              <w:bottom w:w="55" w:type="dxa"/>
              <w:end w:w="65" w:type="dxa"/>
            </w:tcMar>
            <w:vAlign w:val="center"/>
            <w:shd w:fill="F8FAFC"/>
          </w:tcPr>
          <w:p>
            <w:r>
              <w:rPr>
                <w:sz w:val="14"/>
              </w:rPr>
              <w:t>Deposit policy</w:t>
            </w:r>
          </w:p>
        </w:tc>
        <w:tc>
          <w:tcPr>
            <w:tcW w:type="dxa" w:w="2642"/>
            <w:tcMar>
              <w:top w:w="55" w:type="dxa"/>
              <w:start w:w="65" w:type="dxa"/>
              <w:bottom w:w="55" w:type="dxa"/>
              <w:end w:w="65" w:type="dxa"/>
            </w:tcMar>
            <w:vAlign w:val="center"/>
            <w:shd w:fill="F8FAFC"/>
          </w:tcPr>
          <w:p>
            <w:r>
              <w:rPr>
                <w:sz w:val="14"/>
              </w:rPr>
              <w:t>Local choice</w:t>
            </w:r>
          </w:p>
        </w:tc>
        <w:tc>
          <w:tcPr>
            <w:tcW w:type="dxa" w:w="2642"/>
            <w:tcMar>
              <w:top w:w="55" w:type="dxa"/>
              <w:start w:w="65" w:type="dxa"/>
              <w:bottom w:w="55" w:type="dxa"/>
              <w:end w:w="65" w:type="dxa"/>
            </w:tcMar>
            <w:vAlign w:val="center"/>
            <w:shd w:fill="F8FAFC"/>
          </w:tcPr>
          <w:p>
            <w:r>
              <w:rPr>
                <w:sz w:val="14"/>
              </w:rPr>
              <w:t>0–25%; threshold and approver.</w:t>
            </w:r>
          </w:p>
        </w:tc>
        <w:tc>
          <w:tcPr>
            <w:tcW w:type="dxa" w:w="2642"/>
            <w:tcMar>
              <w:top w:w="55" w:type="dxa"/>
              <w:start w:w="65" w:type="dxa"/>
              <w:bottom w:w="55" w:type="dxa"/>
              <w:end w:w="65" w:type="dxa"/>
            </w:tcMar>
            <w:vAlign w:val="center"/>
            <w:shd w:fill="F8FAFC"/>
          </w:tcPr>
          <w:p>
            <w:r>
              <w:rPr>
                <w:sz w:val="14"/>
              </w:rPr>
              <w:t>Deposit receipt re-anchors timer.</w:t>
            </w:r>
          </w:p>
        </w:tc>
      </w:tr>
      <w:tr>
        <w:trPr>
          <w:cantSplit/>
        </w:trPr>
        <w:tc>
          <w:tcPr>
            <w:tcW w:type="dxa" w:w="2642"/>
            <w:tcMar>
              <w:top w:w="55" w:type="dxa"/>
              <w:start w:w="65" w:type="dxa"/>
              <w:bottom w:w="55" w:type="dxa"/>
              <w:end w:w="65" w:type="dxa"/>
            </w:tcMar>
            <w:vAlign w:val="center"/>
          </w:tcPr>
          <w:p>
            <w:r>
              <w:rPr>
                <w:sz w:val="14"/>
              </w:rPr>
              <w:t>Lowest-paid qualified roles/rates</w:t>
            </w:r>
          </w:p>
        </w:tc>
        <w:tc>
          <w:tcPr>
            <w:tcW w:type="dxa" w:w="2642"/>
            <w:tcMar>
              <w:top w:w="55" w:type="dxa"/>
              <w:start w:w="65" w:type="dxa"/>
              <w:bottom w:w="55" w:type="dxa"/>
              <w:end w:w="65" w:type="dxa"/>
            </w:tcMar>
            <w:vAlign w:val="center"/>
          </w:tcPr>
          <w:p>
            <w:r>
              <w:rPr>
                <w:sz w:val="14"/>
              </w:rPr>
              <w:t>Local policy</w:t>
            </w:r>
          </w:p>
        </w:tc>
        <w:tc>
          <w:tcPr>
            <w:tcW w:type="dxa" w:w="2642"/>
            <w:tcMar>
              <w:top w:w="55" w:type="dxa"/>
              <w:start w:w="65" w:type="dxa"/>
              <w:bottom w:w="55" w:type="dxa"/>
              <w:end w:w="65" w:type="dxa"/>
            </w:tcMar>
            <w:vAlign w:val="center"/>
          </w:tcPr>
          <w:p>
            <w:r>
              <w:rPr>
                <w:sz w:val="14"/>
              </w:rPr>
              <w:t>Search, retrieval, redaction roles.</w:t>
            </w:r>
          </w:p>
        </w:tc>
        <w:tc>
          <w:tcPr>
            <w:tcW w:type="dxa" w:w="2642"/>
            <w:tcMar>
              <w:top w:w="55" w:type="dxa"/>
              <w:start w:w="65" w:type="dxa"/>
              <w:bottom w:w="55" w:type="dxa"/>
              <w:end w:w="65" w:type="dxa"/>
            </w:tcMar>
            <w:vAlign w:val="center"/>
          </w:tcPr>
          <w:p>
            <w:r>
              <w:rPr>
                <w:sz w:val="14"/>
              </w:rPr>
              <w:t>Exclude benefits/nonbillable review.</w:t>
            </w:r>
          </w:p>
        </w:tc>
      </w:tr>
      <w:tr>
        <w:trPr>
          <w:cantSplit/>
        </w:trPr>
        <w:tc>
          <w:tcPr>
            <w:tcW w:type="dxa" w:w="2642"/>
            <w:tcMar>
              <w:top w:w="55" w:type="dxa"/>
              <w:start w:w="65" w:type="dxa"/>
              <w:bottom w:w="55" w:type="dxa"/>
              <w:end w:w="65" w:type="dxa"/>
            </w:tcMar>
            <w:vAlign w:val="center"/>
            <w:shd w:fill="F8FAFC"/>
          </w:tcPr>
          <w:p>
            <w:r>
              <w:rPr>
                <w:sz w:val="14"/>
              </w:rPr>
              <w:t>Written extension agreement</w:t>
            </w:r>
          </w:p>
        </w:tc>
        <w:tc>
          <w:tcPr>
            <w:tcW w:type="dxa" w:w="2642"/>
            <w:tcMar>
              <w:top w:w="55" w:type="dxa"/>
              <w:start w:w="65" w:type="dxa"/>
              <w:bottom w:w="55" w:type="dxa"/>
              <w:end w:w="65" w:type="dxa"/>
            </w:tcMar>
            <w:vAlign w:val="center"/>
            <w:shd w:fill="F8FAFC"/>
          </w:tcPr>
          <w:p>
            <w:r>
              <w:rPr>
                <w:sz w:val="14"/>
              </w:rPr>
              <w:t>State law + template</w:t>
            </w:r>
          </w:p>
        </w:tc>
        <w:tc>
          <w:tcPr>
            <w:tcW w:type="dxa" w:w="2642"/>
            <w:tcMar>
              <w:top w:w="55" w:type="dxa"/>
              <w:start w:w="65" w:type="dxa"/>
              <w:bottom w:w="55" w:type="dxa"/>
              <w:end w:w="65" w:type="dxa"/>
            </w:tcMar>
            <w:vAlign w:val="center"/>
            <w:shd w:fill="F8FAFC"/>
          </w:tcPr>
          <w:p>
            <w:r>
              <w:rPr>
                <w:sz w:val="14"/>
              </w:rPr>
              <w:t>Proposed date, reason, acceptance evidence.</w:t>
            </w:r>
          </w:p>
        </w:tc>
        <w:tc>
          <w:tcPr>
            <w:tcW w:type="dxa" w:w="2642"/>
            <w:tcMar>
              <w:top w:w="55" w:type="dxa"/>
              <w:start w:w="65" w:type="dxa"/>
              <w:bottom w:w="55" w:type="dxa"/>
              <w:end w:w="65" w:type="dxa"/>
            </w:tcMar>
            <w:vAlign w:val="center"/>
            <w:shd w:fill="F8FAFC"/>
          </w:tcPr>
          <w:p>
            <w:r>
              <w:rPr>
                <w:sz w:val="14"/>
              </w:rPr>
              <w:t>Mutual agreement required.</w:t>
            </w:r>
          </w:p>
        </w:tc>
      </w:tr>
      <w:tr>
        <w:trPr>
          <w:cantSplit/>
        </w:trPr>
        <w:tc>
          <w:tcPr>
            <w:tcW w:type="dxa" w:w="2642"/>
            <w:tcMar>
              <w:top w:w="55" w:type="dxa"/>
              <w:start w:w="65" w:type="dxa"/>
              <w:bottom w:w="55" w:type="dxa"/>
              <w:end w:w="65" w:type="dxa"/>
            </w:tcMar>
            <w:vAlign w:val="center"/>
          </w:tcPr>
          <w:p>
            <w:r>
              <w:rPr>
                <w:sz w:val="14"/>
              </w:rPr>
              <w:t>Document-level redaction notice</w:t>
            </w:r>
          </w:p>
        </w:tc>
        <w:tc>
          <w:tcPr>
            <w:tcW w:type="dxa" w:w="2642"/>
            <w:tcMar>
              <w:top w:w="55" w:type="dxa"/>
              <w:start w:w="65" w:type="dxa"/>
              <w:bottom w:w="55" w:type="dxa"/>
              <w:end w:w="65" w:type="dxa"/>
            </w:tcMar>
            <w:vAlign w:val="center"/>
          </w:tcPr>
          <w:p>
            <w:r>
              <w:rPr>
                <w:sz w:val="14"/>
              </w:rPr>
              <w:t>Local template + exemptions</w:t>
            </w:r>
          </w:p>
        </w:tc>
        <w:tc>
          <w:tcPr>
            <w:tcW w:type="dxa" w:w="2642"/>
            <w:tcMar>
              <w:top w:w="55" w:type="dxa"/>
              <w:start w:w="65" w:type="dxa"/>
              <w:bottom w:w="55" w:type="dxa"/>
              <w:end w:w="65" w:type="dxa"/>
            </w:tcMar>
            <w:vAlign w:val="center"/>
          </w:tcPr>
          <w:p>
            <w:r>
              <w:rPr>
                <w:sz w:val="14"/>
              </w:rPr>
              <w:t>Authority and released portions.</w:t>
            </w:r>
          </w:p>
        </w:tc>
        <w:tc>
          <w:tcPr>
            <w:tcW w:type="dxa" w:w="2642"/>
            <w:tcMar>
              <w:top w:w="55" w:type="dxa"/>
              <w:start w:w="65" w:type="dxa"/>
              <w:bottom w:w="55" w:type="dxa"/>
              <w:end w:w="65" w:type="dxa"/>
            </w:tcMar>
            <w:vAlign w:val="center"/>
          </w:tcPr>
          <w:p>
            <w:r>
              <w:rPr>
                <w:sz w:val="14"/>
              </w:rPr>
              <w:t>Can occur after general determination.</w:t>
            </w:r>
          </w:p>
        </w:tc>
      </w:tr>
      <w:tr>
        <w:trPr>
          <w:cantSplit/>
        </w:trPr>
        <w:tc>
          <w:tcPr>
            <w:tcW w:type="dxa" w:w="2642"/>
            <w:tcMar>
              <w:top w:w="55" w:type="dxa"/>
              <w:start w:w="65" w:type="dxa"/>
              <w:bottom w:w="55" w:type="dxa"/>
              <w:end w:w="65" w:type="dxa"/>
            </w:tcMar>
            <w:vAlign w:val="center"/>
            <w:shd w:fill="F8FAFC"/>
          </w:tcPr>
          <w:p>
            <w:r>
              <w:rPr>
                <w:sz w:val="14"/>
              </w:rPr>
              <w:t>Clarification/nonresponse practice</w:t>
            </w:r>
          </w:p>
        </w:tc>
        <w:tc>
          <w:tcPr>
            <w:tcW w:type="dxa" w:w="2642"/>
            <w:tcMar>
              <w:top w:w="55" w:type="dxa"/>
              <w:start w:w="65" w:type="dxa"/>
              <w:bottom w:w="55" w:type="dxa"/>
              <w:end w:w="65" w:type="dxa"/>
            </w:tcMar>
            <w:vAlign w:val="center"/>
            <w:shd w:fill="F8FAFC"/>
          </w:tcPr>
          <w:p>
            <w:r>
              <w:rPr>
                <w:sz w:val="14"/>
              </w:rPr>
              <w:t>Operational</w:t>
            </w:r>
          </w:p>
        </w:tc>
        <w:tc>
          <w:tcPr>
            <w:tcW w:type="dxa" w:w="2642"/>
            <w:tcMar>
              <w:top w:w="55" w:type="dxa"/>
              <w:start w:w="65" w:type="dxa"/>
              <w:bottom w:w="55" w:type="dxa"/>
              <w:end w:w="65" w:type="dxa"/>
            </w:tcMar>
            <w:vAlign w:val="center"/>
            <w:shd w:fill="F8FAFC"/>
          </w:tcPr>
          <w:p>
            <w:r>
              <w:rPr>
                <w:sz w:val="14"/>
              </w:rPr>
              <w:t>Reminders, closure, scope version.</w:t>
            </w:r>
          </w:p>
        </w:tc>
        <w:tc>
          <w:tcPr>
            <w:tcW w:type="dxa" w:w="2642"/>
            <w:tcMar>
              <w:top w:w="55" w:type="dxa"/>
              <w:start w:w="65" w:type="dxa"/>
              <w:bottom w:w="55" w:type="dxa"/>
              <w:end w:w="65" w:type="dxa"/>
            </w:tcMar>
            <w:vAlign w:val="center"/>
            <w:shd w:fill="F8FAFC"/>
          </w:tcPr>
          <w:p>
            <w:r>
              <w:rPr>
                <w:sz w:val="14"/>
              </w:rPr>
              <w:t>No statewide toll/abandonment value.</w:t>
            </w:r>
          </w:p>
        </w:tc>
      </w:tr>
    </w:tbl>
    <w:p>
      <w:pPr>
        <w:pStyle w:val="Heading1"/>
      </w:pPr>
      <w:r>
        <w:t>12. Recommended Workflow States and Transitions</w:t>
      </w:r>
    </w:p>
    <w:p>
      <w:r>
        <w:rPr>
          <w:b/>
        </w:rPr>
        <w:t xml:space="preserve">Recommended state sequence: </w:t>
      </w:r>
      <w:r>
        <w:t>Received -&gt; Age Classification -&gt; General Availability/Cost Assessment -&gt; 10/20-Day Final Determination -&gt; Deposit Requested/Received (optional) -&gt; 30/35-Day Search/Review/Redaction/Production -&gt; Document-Level Redaction/Denial Notice -&gt; Full Payment/Release -&gt; Closed; written agreed extension may replace due date.</w:t>
      </w:r>
    </w:p>
    <w:p>
      <w:pPr>
        <w:pStyle w:val="Heading1"/>
      </w:pPr>
      <w:r>
        <w:t>13. Unresolved Questions and Local-Policy Decisions</w:t>
      </w:r>
    </w:p>
    <w:p>
      <w:pPr>
        <w:pStyle w:val="ListBullet"/>
        <w:spacing w:after="30"/>
      </w:pPr>
      <w:r>
        <w:t>How will age be calculated for mixed record sets or continuing databases?</w:t>
      </w:r>
    </w:p>
    <w:p>
      <w:pPr>
        <w:pStyle w:val="ListBullet"/>
        <w:spacing w:after="30"/>
      </w:pPr>
      <w:r>
        <w:t>When will the city require a deposit and at what percentage up to 25%?</w:t>
      </w:r>
    </w:p>
    <w:p>
      <w:pPr>
        <w:pStyle w:val="ListBullet"/>
        <w:spacing w:after="30"/>
      </w:pPr>
      <w:r>
        <w:t>Which activities are categorized as nonbillable disclosure-determination review versus billable search/redaction?</w:t>
      </w:r>
    </w:p>
    <w:p>
      <w:pPr>
        <w:pStyle w:val="ListBullet"/>
        <w:spacing w:after="30"/>
      </w:pPr>
      <w:r>
        <w:t>What process will obtain and preserve written mutual extensions?</w:t>
      </w:r>
    </w:p>
    <w:p>
      <w:pPr>
        <w:pStyle w:val="Heading1"/>
      </w:pPr>
      <w:r>
        <w:t>14. Suggestion Added During This Review</w:t>
      </w:r>
    </w:p>
    <w:p>
      <w:r>
        <w:rPr>
          <w:b/>
        </w:rPr>
        <w:t>S-026: Separate the final general availability determination from later document-level redaction decisions, and support age-based deadline tracks with a production timer that re-anchors to deposit receipt.</w:t>
      </w:r>
    </w:p>
    <w:p>
      <w:pPr>
        <w:pStyle w:val="IntenseQuote"/>
      </w:pPr>
      <w:r>
        <w:t>This suggestion is recorded for later universal-engine review and does not alter the fixed methodology.</w:t>
      </w:r>
    </w:p>
    <w:p>
      <w:pPr>
        <w:pStyle w:val="Heading1"/>
      </w:pPr>
      <w:r>
        <w:t>15. Primary Sources</w:t>
      </w:r>
    </w:p>
    <w:p>
      <w:pPr>
        <w:pStyle w:val="ListBullet"/>
        <w:spacing w:after="30"/>
      </w:pPr>
      <w:r>
        <w:t>South Carolina Code Chapter 4, Title 30 (official): https://www.scstatehouse.gov/code/t30c004.php</w:t>
      </w:r>
    </w:p>
    <w:p>
      <w:pPr>
        <w:pStyle w:val="ListBullet"/>
        <w:spacing w:after="30"/>
      </w:pPr>
      <w:r>
        <w:t>South Carolina Attorney General FOIA resources: https://www.scag.gov/inside-the-office/legal-services-division/freedom-of-information-act/</w:t>
      </w:r>
    </w:p>
    <w:p>
      <w:r>
        <w:rPr>
          <w:b/>
        </w:rPr>
        <w:t xml:space="preserve">Implementation note: </w:t>
      </w:r>
      <w:r>
        <w:t>This document is a requirements-engineering research artifact, not legal advice. Verify statutes, regulations, cases, and local policy at customer implementation and whenever authority changes.</w:t>
      </w:r>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4"/>
      </w:rPr>
      <w:t>National Open Records Workflow Schema — requirements-engineering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5"/>
      </w:rPr>
      <w:t>South Carolina | Public Records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2F5597"/>
      <w:sz w:val="17"/>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