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ptos Display" w:hAnsi="Aptos Display"/>
          <w:b/>
          <w:color w:val="17365D"/>
          <w:sz w:val="40"/>
        </w:rPr>
        <w:t>Oregon Public Records Workflow</w:t>
      </w:r>
    </w:p>
    <w:p>
      <w:pPr>
        <w:spacing w:after="140"/>
        <w:jc w:val="center"/>
      </w:pPr>
      <w:r>
        <w:rPr>
          <w:rFonts w:ascii="Aptos Display" w:hAnsi="Aptos Display"/>
          <w:b/>
          <w:color w:val="2F5597"/>
          <w:sz w:val="23"/>
        </w:rPr>
        <w:t>Initial Processing Reverse-Engineered into Software Configuration Requirements</w:t>
      </w:r>
    </w:p>
    <w:tbl>
      <w:tblPr>
        <w:tblStyle w:val="TableGrid"/>
        <w:tblW w:type="auto" w:w="0"/>
        <w:jc w:val="center"/>
        <w:tblLayout w:type="autofit"/>
        <w:tblLook w:firstColumn="1" w:firstRow="1" w:lastColumn="0" w:lastRow="0" w:noHBand="0" w:noVBand="1" w:val="04A0"/>
      </w:tblPr>
      <w:tblGrid>
        <w:gridCol w:w="2642"/>
        <w:gridCol w:w="2642"/>
        <w:gridCol w:w="2642"/>
        <w:gridCol w:w="2642"/>
      </w:tblGrid>
      <w:tr>
        <w:trPr>
          <w:tblHeader w:val="true"/>
          <w:cantSplit/>
        </w:trPr>
        <w:tc>
          <w:tcPr>
            <w:tcW w:type="dxa" w:w="2642"/>
            <w:shd w:fill="17365D"/>
            <w:tcMar>
              <w:top w:w="55" w:type="dxa"/>
              <w:start w:w="65" w:type="dxa"/>
              <w:bottom w:w="55" w:type="dxa"/>
              <w:end w:w="65" w:type="dxa"/>
            </w:tcMar>
          </w:tcPr>
          <w:p>
            <w:pPr>
              <w:jc w:val="center"/>
            </w:pPr>
            <w:r>
              <w:rPr>
                <w:b/>
                <w:color w:val="FFFFFF"/>
                <w:sz w:val="16"/>
              </w:rPr>
              <w:t>Primary law</w:t>
            </w:r>
          </w:p>
        </w:tc>
        <w:tc>
          <w:tcPr>
            <w:tcW w:type="dxa" w:w="2642"/>
            <w:shd w:fill="17365D"/>
            <w:tcMar>
              <w:top w:w="55" w:type="dxa"/>
              <w:start w:w="65" w:type="dxa"/>
              <w:bottom w:w="55" w:type="dxa"/>
              <w:end w:w="65" w:type="dxa"/>
            </w:tcMar>
          </w:tcPr>
          <w:p>
            <w:pPr>
              <w:jc w:val="center"/>
            </w:pPr>
            <w:r>
              <w:rPr>
                <w:b/>
                <w:color w:val="FFFFFF"/>
                <w:sz w:val="16"/>
              </w:rPr>
              <w:t>Oregon Public Records Law, ORS 192.311 through 192.478</w:t>
            </w:r>
          </w:p>
        </w:tc>
        <w:tc>
          <w:tcPr>
            <w:tcW w:type="dxa" w:w="2642"/>
            <w:shd w:fill="17365D"/>
            <w:tcMar>
              <w:top w:w="55" w:type="dxa"/>
              <w:start w:w="65" w:type="dxa"/>
              <w:bottom w:w="55" w:type="dxa"/>
              <w:end w:w="65" w:type="dxa"/>
            </w:tcMar>
          </w:tcPr>
          <w:p>
            <w:pPr>
              <w:jc w:val="center"/>
            </w:pPr>
            <w:r>
              <w:rPr>
                <w:b/>
                <w:color w:val="FFFFFF"/>
                <w:sz w:val="16"/>
              </w:rPr>
              <w:t>Research date</w:t>
            </w:r>
          </w:p>
        </w:tc>
        <w:tc>
          <w:tcPr>
            <w:tcW w:type="dxa" w:w="2642"/>
            <w:shd w:fill="17365D"/>
            <w:tcMar>
              <w:top w:w="55" w:type="dxa"/>
              <w:start w:w="65" w:type="dxa"/>
              <w:bottom w:w="55" w:type="dxa"/>
              <w:end w:w="65" w:type="dxa"/>
            </w:tcMar>
          </w:tcPr>
          <w:p>
            <w:pPr>
              <w:jc w:val="center"/>
            </w:pPr>
            <w:r>
              <w:rPr>
                <w:b/>
                <w:color w:val="FFFFFF"/>
                <w:sz w:val="16"/>
              </w:rPr>
              <w:t>2026-07-22</w:t>
            </w:r>
          </w:p>
        </w:tc>
      </w:tr>
    </w:tbl>
    <w:p>
      <w:pPr>
        <w:pStyle w:val="Heading1"/>
      </w:pPr>
      <w:r>
        <w:t>1. Executive Summary and Applicability</w:t>
      </w:r>
    </w:p>
    <w:p>
      <w:r>
        <w:t>Oregon uses a two-milestone response model. A written request received by the individual designated in the public body’s procedure must be acknowledged or completed within five business days. The complete response is due as soon as practicable and without unreasonable delay; no later than ten business days after the acknowledgment deadline, the body must either complete or give a written processing statement with a reasonable estimated completion date.</w:t>
      </w:r>
    </w:p>
    <w:p>
      <w:r>
        <w:t>Oregon expressly suspends the obligation to complete while awaiting payment of an authorized fee or a good-faith clarification response, and requires closure after 60 days of nonpayment or clarification nonresponse.</w:t>
      </w:r>
    </w:p>
    <w:p>
      <w:r>
        <w:t>The system therefore needs separate acknowledgment, complete-response, suspension, estimated-date, and mandatory-closure events—not a single due date.</w:t>
      </w:r>
    </w:p>
    <w:p>
      <w:r>
        <w:rPr>
          <w:b/>
        </w:rPr>
        <w:t xml:space="preserve">Core engine pattern: </w:t>
      </w:r>
      <w:r>
        <w:t>Five-business-day acknowledgment + ten-business-day complete-or-estimated-date milestone + fee/clarification suspensions + 60-day mandatory closure.</w:t>
      </w:r>
    </w:p>
    <w:p>
      <w:r>
        <w:rPr>
          <w:b/>
        </w:rPr>
        <w:t xml:space="preserve">Scope caution: </w:t>
      </w:r>
      <w:r>
        <w:t>Cities are public bodies. The official online ORS is the 2025 edition and flags 2026 changes to Chapter 192; implementation must check the 2026 update/session laws. The core §§ 192.324 and 192.329 workflow quoted in the current official page remains the basis of this analysis.</w:t>
      </w:r>
    </w:p>
    <w:p>
      <w:pPr>
        <w:pStyle w:val="Heading1"/>
      </w:pPr>
      <w:r>
        <w:t>2. Authority Inventory</w:t>
      </w:r>
    </w:p>
    <w:tbl>
      <w:tblPr>
        <w:tblStyle w:val="TableGrid"/>
        <w:tblW w:type="auto" w:w="0"/>
        <w:jc w:val="center"/>
        <w:tblLayout w:type="autofit"/>
        <w:tblLook w:firstColumn="1" w:firstRow="1" w:lastColumn="0" w:lastRow="0" w:noHBand="0" w:noVBand="1" w:val="04A0"/>
      </w:tblPr>
      <w:tblGrid>
        <w:gridCol w:w="3523"/>
        <w:gridCol w:w="3523"/>
        <w:gridCol w:w="3523"/>
      </w:tblGrid>
      <w:tr>
        <w:trPr>
          <w:tblHeader w:val="true"/>
          <w:cantSplit/>
        </w:trPr>
        <w:tc>
          <w:tcPr>
            <w:tcW w:type="dxa" w:w="3523"/>
            <w:shd w:fill="17365D"/>
            <w:tcMar>
              <w:top w:w="55" w:type="dxa"/>
              <w:start w:w="65" w:type="dxa"/>
              <w:bottom w:w="55" w:type="dxa"/>
              <w:end w:w="65" w:type="dxa"/>
            </w:tcMar>
          </w:tcPr>
          <w:p>
            <w:pPr>
              <w:jc w:val="center"/>
            </w:pPr>
            <w:r>
              <w:rPr>
                <w:b/>
                <w:color w:val="FFFFFF"/>
                <w:sz w:val="15"/>
              </w:rPr>
              <w:t>Authority</w:t>
            </w:r>
          </w:p>
        </w:tc>
        <w:tc>
          <w:tcPr>
            <w:tcW w:type="dxa" w:w="3523"/>
            <w:shd w:fill="17365D"/>
            <w:tcMar>
              <w:top w:w="55" w:type="dxa"/>
              <w:start w:w="65" w:type="dxa"/>
              <w:bottom w:w="55" w:type="dxa"/>
              <w:end w:w="65" w:type="dxa"/>
            </w:tcMar>
          </w:tcPr>
          <w:p>
            <w:pPr>
              <w:jc w:val="center"/>
            </w:pPr>
            <w:r>
              <w:rPr>
                <w:b/>
                <w:color w:val="FFFFFF"/>
                <w:sz w:val="15"/>
              </w:rPr>
              <w:t>Workflow function</w:t>
            </w:r>
          </w:p>
        </w:tc>
        <w:tc>
          <w:tcPr>
            <w:tcW w:type="dxa" w:w="3523"/>
            <w:shd w:fill="17365D"/>
            <w:tcMar>
              <w:top w:w="55" w:type="dxa"/>
              <w:start w:w="65" w:type="dxa"/>
              <w:bottom w:w="55" w:type="dxa"/>
              <w:end w:w="65" w:type="dxa"/>
            </w:tcMar>
          </w:tcPr>
          <w:p>
            <w:pPr>
              <w:jc w:val="center"/>
            </w:pPr>
            <w:r>
              <w:rPr>
                <w:b/>
                <w:color w:val="FFFFFF"/>
                <w:sz w:val="15"/>
              </w:rPr>
              <w:t>City applicability</w:t>
            </w:r>
          </w:p>
        </w:tc>
      </w:tr>
      <w:tr>
        <w:trPr>
          <w:cantSplit/>
        </w:trPr>
        <w:tc>
          <w:tcPr>
            <w:tcW w:type="dxa" w:w="3523"/>
            <w:tcMar>
              <w:top w:w="55" w:type="dxa"/>
              <w:start w:w="65" w:type="dxa"/>
              <w:bottom w:w="55" w:type="dxa"/>
              <w:end w:w="65" w:type="dxa"/>
            </w:tcMar>
            <w:vAlign w:val="center"/>
          </w:tcPr>
          <w:p>
            <w:r>
              <w:rPr>
                <w:sz w:val="15"/>
              </w:rPr>
              <w:t>ORS 192.324</w:t>
            </w:r>
          </w:p>
        </w:tc>
        <w:tc>
          <w:tcPr>
            <w:tcW w:type="dxa" w:w="3523"/>
            <w:tcMar>
              <w:top w:w="55" w:type="dxa"/>
              <w:start w:w="65" w:type="dxa"/>
              <w:bottom w:w="55" w:type="dxa"/>
              <w:end w:w="65" w:type="dxa"/>
            </w:tcMar>
            <w:vAlign w:val="center"/>
          </w:tcPr>
          <w:p>
            <w:r>
              <w:rPr>
                <w:sz w:val="15"/>
              </w:rPr>
              <w:t>Copies/inspection, five-day acknowledgment, fees, estimate threshold, and written procedure.</w:t>
            </w:r>
          </w:p>
        </w:tc>
        <w:tc>
          <w:tcPr>
            <w:tcW w:type="dxa" w:w="3523"/>
            <w:tcMar>
              <w:top w:w="55" w:type="dxa"/>
              <w:start w:w="65" w:type="dxa"/>
              <w:bottom w:w="55" w:type="dxa"/>
              <w:end w:w="65" w:type="dxa"/>
            </w:tcMar>
            <w:vAlign w:val="center"/>
          </w:tcPr>
          <w:p>
            <w:r>
              <w:rPr>
                <w:sz w:val="15"/>
              </w:rPr>
              <w:t>Core city intake and fee rules.</w:t>
            </w:r>
          </w:p>
        </w:tc>
      </w:tr>
      <w:tr>
        <w:trPr>
          <w:cantSplit/>
        </w:trPr>
        <w:tc>
          <w:tcPr>
            <w:tcW w:type="dxa" w:w="3523"/>
            <w:tcMar>
              <w:top w:w="55" w:type="dxa"/>
              <w:start w:w="65" w:type="dxa"/>
              <w:bottom w:w="55" w:type="dxa"/>
              <w:end w:w="65" w:type="dxa"/>
            </w:tcMar>
            <w:vAlign w:val="center"/>
            <w:shd w:fill="F8FAFC"/>
          </w:tcPr>
          <w:p>
            <w:r>
              <w:rPr>
                <w:sz w:val="15"/>
              </w:rPr>
              <w:t>ORS 192.329</w:t>
            </w:r>
          </w:p>
        </w:tc>
        <w:tc>
          <w:tcPr>
            <w:tcW w:type="dxa" w:w="3523"/>
            <w:tcMar>
              <w:top w:w="55" w:type="dxa"/>
              <w:start w:w="65" w:type="dxa"/>
              <w:bottom w:w="55" w:type="dxa"/>
              <w:end w:w="65" w:type="dxa"/>
            </w:tcMar>
            <w:vAlign w:val="center"/>
            <w:shd w:fill="F8FAFC"/>
          </w:tcPr>
          <w:p>
            <w:r>
              <w:rPr>
                <w:sz w:val="15"/>
              </w:rPr>
              <w:t>Complete response, ten-day milestone, fee/clarification suspensions, 60-day closure.</w:t>
            </w:r>
          </w:p>
        </w:tc>
        <w:tc>
          <w:tcPr>
            <w:tcW w:type="dxa" w:w="3523"/>
            <w:tcMar>
              <w:top w:w="55" w:type="dxa"/>
              <w:start w:w="65" w:type="dxa"/>
              <w:bottom w:w="55" w:type="dxa"/>
              <w:end w:w="65" w:type="dxa"/>
            </w:tcMar>
            <w:vAlign w:val="center"/>
            <w:shd w:fill="F8FAFC"/>
          </w:tcPr>
          <w:p>
            <w:r>
              <w:rPr>
                <w:sz w:val="15"/>
              </w:rPr>
              <w:t>Core city timer state machine.</w:t>
            </w:r>
          </w:p>
        </w:tc>
      </w:tr>
      <w:tr>
        <w:trPr>
          <w:cantSplit/>
        </w:trPr>
        <w:tc>
          <w:tcPr>
            <w:tcW w:type="dxa" w:w="3523"/>
            <w:tcMar>
              <w:top w:w="55" w:type="dxa"/>
              <w:start w:w="65" w:type="dxa"/>
              <w:bottom w:w="55" w:type="dxa"/>
              <w:end w:w="65" w:type="dxa"/>
            </w:tcMar>
            <w:vAlign w:val="center"/>
          </w:tcPr>
          <w:p>
            <w:r>
              <w:rPr>
                <w:sz w:val="15"/>
              </w:rPr>
              <w:t>ORS 192.338</w:t>
            </w:r>
          </w:p>
        </w:tc>
        <w:tc>
          <w:tcPr>
            <w:tcW w:type="dxa" w:w="3523"/>
            <w:tcMar>
              <w:top w:w="55" w:type="dxa"/>
              <w:start w:w="65" w:type="dxa"/>
              <w:bottom w:w="55" w:type="dxa"/>
              <w:end w:w="65" w:type="dxa"/>
            </w:tcMar>
            <w:vAlign w:val="center"/>
          </w:tcPr>
          <w:p>
            <w:r>
              <w:rPr>
                <w:sz w:val="15"/>
              </w:rPr>
              <w:t>Segregation of exempt and nonexempt material.</w:t>
            </w:r>
          </w:p>
        </w:tc>
        <w:tc>
          <w:tcPr>
            <w:tcW w:type="dxa" w:w="3523"/>
            <w:tcMar>
              <w:top w:w="55" w:type="dxa"/>
              <w:start w:w="65" w:type="dxa"/>
              <w:bottom w:w="55" w:type="dxa"/>
              <w:end w:w="65" w:type="dxa"/>
            </w:tcMar>
            <w:vAlign w:val="center"/>
          </w:tcPr>
          <w:p>
            <w:r>
              <w:rPr>
                <w:sz w:val="15"/>
              </w:rPr>
              <w:t>Partial-release rule.</w:t>
            </w:r>
          </w:p>
        </w:tc>
      </w:tr>
      <w:tr>
        <w:trPr>
          <w:cantSplit/>
        </w:trPr>
        <w:tc>
          <w:tcPr>
            <w:tcW w:type="dxa" w:w="3523"/>
            <w:tcMar>
              <w:top w:w="55" w:type="dxa"/>
              <w:start w:w="65" w:type="dxa"/>
              <w:bottom w:w="55" w:type="dxa"/>
              <w:end w:w="65" w:type="dxa"/>
            </w:tcMar>
            <w:vAlign w:val="center"/>
            <w:shd w:fill="F8FAFC"/>
          </w:tcPr>
          <w:p>
            <w:r>
              <w:rPr>
                <w:sz w:val="15"/>
              </w:rPr>
              <w:t>ORS 192.407 and appeal sections</w:t>
            </w:r>
          </w:p>
        </w:tc>
        <w:tc>
          <w:tcPr>
            <w:tcW w:type="dxa" w:w="3523"/>
            <w:tcMar>
              <w:top w:w="55" w:type="dxa"/>
              <w:start w:w="65" w:type="dxa"/>
              <w:bottom w:w="55" w:type="dxa"/>
              <w:end w:w="65" w:type="dxa"/>
            </w:tcMar>
            <w:vAlign w:val="center"/>
            <w:shd w:fill="F8FAFC"/>
          </w:tcPr>
          <w:p>
            <w:r>
              <w:rPr>
                <w:sz w:val="15"/>
              </w:rPr>
              <w:t>Review of untimely response or unreasonable estimated completion date.</w:t>
            </w:r>
          </w:p>
        </w:tc>
        <w:tc>
          <w:tcPr>
            <w:tcW w:type="dxa" w:w="3523"/>
            <w:tcMar>
              <w:top w:w="55" w:type="dxa"/>
              <w:start w:w="65" w:type="dxa"/>
              <w:bottom w:w="55" w:type="dxa"/>
              <w:end w:w="65" w:type="dxa"/>
            </w:tcMar>
            <w:vAlign w:val="center"/>
            <w:shd w:fill="F8FAFC"/>
          </w:tcPr>
          <w:p>
            <w:r>
              <w:rPr>
                <w:sz w:val="15"/>
              </w:rPr>
              <w:t>Compliance escalation.</w:t>
            </w:r>
          </w:p>
        </w:tc>
      </w:tr>
      <w:tr>
        <w:trPr>
          <w:cantSplit/>
        </w:trPr>
        <w:tc>
          <w:tcPr>
            <w:tcW w:type="dxa" w:w="3523"/>
            <w:tcMar>
              <w:top w:w="55" w:type="dxa"/>
              <w:start w:w="65" w:type="dxa"/>
              <w:bottom w:w="55" w:type="dxa"/>
              <w:end w:w="65" w:type="dxa"/>
            </w:tcMar>
            <w:vAlign w:val="center"/>
          </w:tcPr>
          <w:p>
            <w:r>
              <w:rPr>
                <w:sz w:val="15"/>
              </w:rPr>
              <w:t>Oregon DOJ Public Records Manual</w:t>
            </w:r>
          </w:p>
        </w:tc>
        <w:tc>
          <w:tcPr>
            <w:tcW w:type="dxa" w:w="3523"/>
            <w:tcMar>
              <w:top w:w="55" w:type="dxa"/>
              <w:start w:w="65" w:type="dxa"/>
              <w:bottom w:w="55" w:type="dxa"/>
              <w:end w:w="65" w:type="dxa"/>
            </w:tcMar>
            <w:vAlign w:val="center"/>
          </w:tcPr>
          <w:p>
            <w:r>
              <w:rPr>
                <w:sz w:val="15"/>
              </w:rPr>
              <w:t>Official interpretive guidance.</w:t>
            </w:r>
          </w:p>
        </w:tc>
        <w:tc>
          <w:tcPr>
            <w:tcW w:type="dxa" w:w="3523"/>
            <w:tcMar>
              <w:top w:w="55" w:type="dxa"/>
              <w:start w:w="65" w:type="dxa"/>
              <w:bottom w:w="55" w:type="dxa"/>
              <w:end w:w="65" w:type="dxa"/>
            </w:tcMar>
            <w:vAlign w:val="center"/>
          </w:tcPr>
          <w:p>
            <w:r>
              <w:rPr>
                <w:sz w:val="15"/>
              </w:rPr>
              <w:t>Guidance; confirm current law.</w:t>
            </w:r>
          </w:p>
        </w:tc>
      </w:tr>
    </w:tbl>
    <w:p>
      <w:pPr>
        <w:pStyle w:val="Heading1"/>
      </w:pPr>
      <w:r>
        <w:t>3. Human-Readable Initial Processing Workflow</w:t>
      </w:r>
    </w:p>
    <w:p>
      <w:pPr>
        <w:pStyle w:val="ListNumber"/>
        <w:spacing w:after="30"/>
      </w:pPr>
      <w:r>
        <w:t>Receive through the designated individual: Start the statutory process only when the written request reaches the person identified in the public body’s published procedure.</w:t>
      </w:r>
    </w:p>
    <w:p>
      <w:pPr>
        <w:pStyle w:val="ListNumber"/>
        <w:spacing w:after="30"/>
      </w:pPr>
      <w:r>
        <w:t>Acknowledge or complete: Within five business days, complete the response or acknowledge by confirming custody, stating noncustody, or stating uncertainty and that a search is underway, as the statute permits.</w:t>
      </w:r>
    </w:p>
    <w:p>
      <w:pPr>
        <w:pStyle w:val="ListNumber"/>
        <w:spacing w:after="30"/>
      </w:pPr>
      <w:r>
        <w:t>Assess scope, exemptions, and fees: Search enough to determine custody, likely workload, and applicable fees. If estimated fees exceed $25, provide a written estimate and obtain requester confirmation before proceeding.</w:t>
      </w:r>
    </w:p>
    <w:p>
      <w:pPr>
        <w:pStyle w:val="ListNumber"/>
        <w:spacing w:after="30"/>
      </w:pPr>
      <w:r>
        <w:t>Complete or provide an estimated date: As soon as reasonably possible but no later than ten business days after the acknowledgment deadline, complete the response or state in writing that processing continues and provide a reasonable estimated completion date.</w:t>
      </w:r>
    </w:p>
    <w:p>
      <w:pPr>
        <w:pStyle w:val="ListNumber"/>
        <w:spacing w:after="30"/>
      </w:pPr>
      <w:r>
        <w:t>Suspend when authorized: Pause the completion obligation while awaiting payment/waiver determination or a good-faith clarification response. Close after 60 days of nonpayment or nonresponse.</w:t>
      </w:r>
    </w:p>
    <w:p>
      <w:pPr>
        <w:pStyle w:val="ListNumber"/>
        <w:spacing w:after="30"/>
      </w:pPr>
      <w:r>
        <w:t>Complete response: Provide all nonexempt records or public locations, assert exemptions and required citations, segregate material, state noncustody where applicable, and include review rights for withheld records.</w:t>
      </w:r>
    </w:p>
    <w:p>
      <w:pPr>
        <w:pStyle w:val="Heading1"/>
      </w:pPr>
      <w:r>
        <w:t>4. Deadline and Required-Communication Matrix</w:t>
      </w:r>
    </w:p>
    <w:tbl>
      <w:tblPr>
        <w:tblStyle w:val="TableGrid"/>
        <w:tblW w:type="auto" w:w="0"/>
        <w:jc w:val="center"/>
        <w:tblLayout w:type="autofit"/>
        <w:tblLook w:firstColumn="1" w:firstRow="1" w:lastColumn="0" w:lastRow="0" w:noHBand="0" w:noVBand="1" w:val="04A0"/>
      </w:tblPr>
      <w:tblGrid>
        <w:gridCol w:w="2114"/>
        <w:gridCol w:w="2114"/>
        <w:gridCol w:w="2114"/>
        <w:gridCol w:w="2114"/>
        <w:gridCol w:w="2114"/>
      </w:tblGrid>
      <w:tr>
        <w:trPr>
          <w:tblHeader w:val="true"/>
          <w:cantSplit/>
        </w:trPr>
        <w:tc>
          <w:tcPr>
            <w:tcW w:type="dxa" w:w="2114"/>
            <w:shd w:fill="17365D"/>
            <w:tcMar>
              <w:top w:w="55" w:type="dxa"/>
              <w:start w:w="65" w:type="dxa"/>
              <w:bottom w:w="55" w:type="dxa"/>
              <w:end w:w="65" w:type="dxa"/>
            </w:tcMar>
          </w:tcPr>
          <w:p>
            <w:pPr>
              <w:jc w:val="center"/>
            </w:pPr>
            <w:r>
              <w:rPr>
                <w:b/>
                <w:color w:val="FFFFFF"/>
                <w:sz w:val="14"/>
              </w:rPr>
              <w:t>Trigger / condition</w:t>
            </w:r>
          </w:p>
        </w:tc>
        <w:tc>
          <w:tcPr>
            <w:tcW w:type="dxa" w:w="2114"/>
            <w:shd w:fill="17365D"/>
            <w:tcMar>
              <w:top w:w="55" w:type="dxa"/>
              <w:start w:w="65" w:type="dxa"/>
              <w:bottom w:w="55" w:type="dxa"/>
              <w:end w:w="65" w:type="dxa"/>
            </w:tcMar>
          </w:tcPr>
          <w:p>
            <w:pPr>
              <w:jc w:val="center"/>
            </w:pPr>
            <w:r>
              <w:rPr>
                <w:b/>
                <w:color w:val="FFFFFF"/>
                <w:sz w:val="14"/>
              </w:rPr>
              <w:t>Deadline or standard</w:t>
            </w:r>
          </w:p>
        </w:tc>
        <w:tc>
          <w:tcPr>
            <w:tcW w:type="dxa" w:w="2114"/>
            <w:shd w:fill="17365D"/>
            <w:tcMar>
              <w:top w:w="55" w:type="dxa"/>
              <w:start w:w="65" w:type="dxa"/>
              <w:bottom w:w="55" w:type="dxa"/>
              <w:end w:w="65" w:type="dxa"/>
            </w:tcMar>
          </w:tcPr>
          <w:p>
            <w:pPr>
              <w:jc w:val="center"/>
            </w:pPr>
            <w:r>
              <w:rPr>
                <w:b/>
                <w:color w:val="FFFFFF"/>
                <w:sz w:val="14"/>
              </w:rPr>
              <w:t>Required communication / action</w:t>
            </w:r>
          </w:p>
        </w:tc>
        <w:tc>
          <w:tcPr>
            <w:tcW w:type="dxa" w:w="2114"/>
            <w:shd w:fill="17365D"/>
            <w:tcMar>
              <w:top w:w="55" w:type="dxa"/>
              <w:start w:w="65" w:type="dxa"/>
              <w:bottom w:w="55" w:type="dxa"/>
              <w:end w:w="65" w:type="dxa"/>
            </w:tcMar>
          </w:tcPr>
          <w:p>
            <w:pPr>
              <w:jc w:val="center"/>
            </w:pPr>
            <w:r>
              <w:rPr>
                <w:b/>
                <w:color w:val="FFFFFF"/>
                <w:sz w:val="14"/>
              </w:rPr>
              <w:t>Clock effect</w:t>
            </w:r>
          </w:p>
        </w:tc>
        <w:tc>
          <w:tcPr>
            <w:tcW w:type="dxa" w:w="2114"/>
            <w:shd w:fill="17365D"/>
            <w:tcMar>
              <w:top w:w="55" w:type="dxa"/>
              <w:start w:w="65" w:type="dxa"/>
              <w:bottom w:w="55" w:type="dxa"/>
              <w:end w:w="65" w:type="dxa"/>
            </w:tcMar>
          </w:tcPr>
          <w:p>
            <w:pPr>
              <w:jc w:val="center"/>
            </w:pPr>
            <w:r>
              <w:rPr>
                <w:b/>
                <w:color w:val="FFFFFF"/>
                <w:sz w:val="14"/>
              </w:rPr>
              <w:t>Authority</w:t>
            </w:r>
          </w:p>
        </w:tc>
      </w:tr>
      <w:tr>
        <w:trPr>
          <w:cantSplit/>
        </w:trPr>
        <w:tc>
          <w:tcPr>
            <w:tcW w:type="dxa" w:w="2114"/>
            <w:tcMar>
              <w:top w:w="55" w:type="dxa"/>
              <w:start w:w="65" w:type="dxa"/>
              <w:bottom w:w="55" w:type="dxa"/>
              <w:end w:w="65" w:type="dxa"/>
            </w:tcMar>
            <w:vAlign w:val="center"/>
          </w:tcPr>
          <w:p>
            <w:r>
              <w:rPr>
                <w:sz w:val="14"/>
              </w:rPr>
              <w:t>Written request reaches designated individual</w:t>
            </w:r>
          </w:p>
        </w:tc>
        <w:tc>
          <w:tcPr>
            <w:tcW w:type="dxa" w:w="2114"/>
            <w:tcMar>
              <w:top w:w="55" w:type="dxa"/>
              <w:start w:w="65" w:type="dxa"/>
              <w:bottom w:w="55" w:type="dxa"/>
              <w:end w:w="65" w:type="dxa"/>
            </w:tcMar>
            <w:vAlign w:val="center"/>
          </w:tcPr>
          <w:p>
            <w:r>
              <w:rPr>
                <w:sz w:val="14"/>
              </w:rPr>
              <w:t>5 business days</w:t>
            </w:r>
          </w:p>
        </w:tc>
        <w:tc>
          <w:tcPr>
            <w:tcW w:type="dxa" w:w="2114"/>
            <w:tcMar>
              <w:top w:w="55" w:type="dxa"/>
              <w:start w:w="65" w:type="dxa"/>
              <w:bottom w:w="55" w:type="dxa"/>
              <w:end w:w="65" w:type="dxa"/>
            </w:tcMar>
            <w:vAlign w:val="center"/>
          </w:tcPr>
          <w:p>
            <w:r>
              <w:rPr>
                <w:sz w:val="14"/>
              </w:rPr>
              <w:t>Acknowledge or complete response; acknowledgment states custody/noncustody/uncertainty and search status as applicable.</w:t>
            </w:r>
          </w:p>
        </w:tc>
        <w:tc>
          <w:tcPr>
            <w:tcW w:type="dxa" w:w="2114"/>
            <w:tcMar>
              <w:top w:w="55" w:type="dxa"/>
              <w:start w:w="65" w:type="dxa"/>
              <w:bottom w:w="55" w:type="dxa"/>
              <w:end w:w="65" w:type="dxa"/>
            </w:tcMar>
            <w:vAlign w:val="center"/>
          </w:tcPr>
          <w:p>
            <w:r>
              <w:rPr>
                <w:sz w:val="14"/>
              </w:rPr>
              <w:t>Acknowledgment timer begins on effective receipt.</w:t>
            </w:r>
          </w:p>
        </w:tc>
        <w:tc>
          <w:tcPr>
            <w:tcW w:type="dxa" w:w="2114"/>
            <w:tcMar>
              <w:top w:w="55" w:type="dxa"/>
              <w:start w:w="65" w:type="dxa"/>
              <w:bottom w:w="55" w:type="dxa"/>
              <w:end w:w="65" w:type="dxa"/>
            </w:tcMar>
            <w:vAlign w:val="center"/>
          </w:tcPr>
          <w:p>
            <w:r>
              <w:rPr>
                <w:sz w:val="14"/>
              </w:rPr>
              <w:t>ORS 192.324(2)</w:t>
            </w:r>
          </w:p>
        </w:tc>
      </w:tr>
      <w:tr>
        <w:trPr>
          <w:cantSplit/>
        </w:trPr>
        <w:tc>
          <w:tcPr>
            <w:tcW w:type="dxa" w:w="2114"/>
            <w:tcMar>
              <w:top w:w="55" w:type="dxa"/>
              <w:start w:w="65" w:type="dxa"/>
              <w:bottom w:w="55" w:type="dxa"/>
              <w:end w:w="65" w:type="dxa"/>
            </w:tcMar>
            <w:vAlign w:val="center"/>
            <w:shd w:fill="F8FAFC"/>
          </w:tcPr>
          <w:p>
            <w:r>
              <w:rPr>
                <w:sz w:val="14"/>
              </w:rPr>
              <w:t>Acknowledgment deadline passes</w:t>
            </w:r>
          </w:p>
        </w:tc>
        <w:tc>
          <w:tcPr>
            <w:tcW w:type="dxa" w:w="2114"/>
            <w:tcMar>
              <w:top w:w="55" w:type="dxa"/>
              <w:start w:w="65" w:type="dxa"/>
              <w:bottom w:w="55" w:type="dxa"/>
              <w:end w:w="65" w:type="dxa"/>
            </w:tcMar>
            <w:vAlign w:val="center"/>
            <w:shd w:fill="F8FAFC"/>
          </w:tcPr>
          <w:p>
            <w:r>
              <w:rPr>
                <w:sz w:val="14"/>
              </w:rPr>
              <w:t>As soon as reasonably possible; no later than 10 business days after acknowledgment deadline</w:t>
            </w:r>
          </w:p>
        </w:tc>
        <w:tc>
          <w:tcPr>
            <w:tcW w:type="dxa" w:w="2114"/>
            <w:tcMar>
              <w:top w:w="55" w:type="dxa"/>
              <w:start w:w="65" w:type="dxa"/>
              <w:bottom w:w="55" w:type="dxa"/>
              <w:end w:w="65" w:type="dxa"/>
            </w:tcMar>
            <w:vAlign w:val="center"/>
            <w:shd w:fill="F8FAFC"/>
          </w:tcPr>
          <w:p>
            <w:r>
              <w:rPr>
                <w:sz w:val="14"/>
              </w:rPr>
              <w:t>Complete response or written statement still processing with reasonable estimated completion date.</w:t>
            </w:r>
          </w:p>
        </w:tc>
        <w:tc>
          <w:tcPr>
            <w:tcW w:type="dxa" w:w="2114"/>
            <w:tcMar>
              <w:top w:w="55" w:type="dxa"/>
              <w:start w:w="65" w:type="dxa"/>
              <w:bottom w:w="55" w:type="dxa"/>
              <w:end w:w="65" w:type="dxa"/>
            </w:tcMar>
            <w:vAlign w:val="center"/>
            <w:shd w:fill="F8FAFC"/>
          </w:tcPr>
          <w:p>
            <w:r>
              <w:rPr>
                <w:sz w:val="14"/>
              </w:rPr>
              <w:t>Second statutory milestone.</w:t>
            </w:r>
          </w:p>
        </w:tc>
        <w:tc>
          <w:tcPr>
            <w:tcW w:type="dxa" w:w="2114"/>
            <w:tcMar>
              <w:top w:w="55" w:type="dxa"/>
              <w:start w:w="65" w:type="dxa"/>
              <w:bottom w:w="55" w:type="dxa"/>
              <w:end w:w="65" w:type="dxa"/>
            </w:tcMar>
            <w:vAlign w:val="center"/>
            <w:shd w:fill="F8FAFC"/>
          </w:tcPr>
          <w:p>
            <w:r>
              <w:rPr>
                <w:sz w:val="14"/>
              </w:rPr>
              <w:t>ORS 192.329(5)</w:t>
            </w:r>
          </w:p>
        </w:tc>
      </w:tr>
      <w:tr>
        <w:trPr>
          <w:cantSplit/>
        </w:trPr>
        <w:tc>
          <w:tcPr>
            <w:tcW w:type="dxa" w:w="2114"/>
            <w:tcMar>
              <w:top w:w="55" w:type="dxa"/>
              <w:start w:w="65" w:type="dxa"/>
              <w:bottom w:w="55" w:type="dxa"/>
              <w:end w:w="65" w:type="dxa"/>
            </w:tcMar>
            <w:vAlign w:val="center"/>
          </w:tcPr>
          <w:p>
            <w:r>
              <w:rPr>
                <w:sz w:val="14"/>
              </w:rPr>
              <w:t>Fee communicated</w:t>
            </w:r>
          </w:p>
        </w:tc>
        <w:tc>
          <w:tcPr>
            <w:tcW w:type="dxa" w:w="2114"/>
            <w:tcMar>
              <w:top w:w="55" w:type="dxa"/>
              <w:start w:w="65" w:type="dxa"/>
              <w:bottom w:w="55" w:type="dxa"/>
              <w:end w:w="65" w:type="dxa"/>
            </w:tcMar>
            <w:vAlign w:val="center"/>
          </w:tcPr>
          <w:p>
            <w:r>
              <w:rPr>
                <w:sz w:val="14"/>
              </w:rPr>
              <w:t>Until paid/waived/ordered waived</w:t>
            </w:r>
          </w:p>
        </w:tc>
        <w:tc>
          <w:tcPr>
            <w:tcW w:type="dxa" w:w="2114"/>
            <w:tcMar>
              <w:top w:w="55" w:type="dxa"/>
              <w:start w:w="65" w:type="dxa"/>
              <w:bottom w:w="55" w:type="dxa"/>
              <w:end w:w="65" w:type="dxa"/>
            </w:tcMar>
            <w:vAlign w:val="center"/>
          </w:tcPr>
          <w:p>
            <w:r>
              <w:rPr>
                <w:sz w:val="14"/>
              </w:rPr>
              <w:t>Completion obligation suspended.</w:t>
            </w:r>
          </w:p>
        </w:tc>
        <w:tc>
          <w:tcPr>
            <w:tcW w:type="dxa" w:w="2114"/>
            <w:tcMar>
              <w:top w:w="55" w:type="dxa"/>
              <w:start w:w="65" w:type="dxa"/>
              <w:bottom w:w="55" w:type="dxa"/>
              <w:end w:w="65" w:type="dxa"/>
            </w:tcMar>
            <w:vAlign w:val="center"/>
          </w:tcPr>
          <w:p>
            <w:r>
              <w:rPr>
                <w:sz w:val="14"/>
              </w:rPr>
              <w:t>Suspension begins at fee notice.</w:t>
            </w:r>
          </w:p>
        </w:tc>
        <w:tc>
          <w:tcPr>
            <w:tcW w:type="dxa" w:w="2114"/>
            <w:tcMar>
              <w:top w:w="55" w:type="dxa"/>
              <w:start w:w="65" w:type="dxa"/>
              <w:bottom w:w="55" w:type="dxa"/>
              <w:end w:w="65" w:type="dxa"/>
            </w:tcMar>
            <w:vAlign w:val="center"/>
          </w:tcPr>
          <w:p>
            <w:r>
              <w:rPr>
                <w:sz w:val="14"/>
              </w:rPr>
              <w:t>ORS 192.329(3)</w:t>
            </w:r>
          </w:p>
        </w:tc>
      </w:tr>
      <w:tr>
        <w:trPr>
          <w:cantSplit/>
        </w:trPr>
        <w:tc>
          <w:tcPr>
            <w:tcW w:type="dxa" w:w="2114"/>
            <w:tcMar>
              <w:top w:w="55" w:type="dxa"/>
              <w:start w:w="65" w:type="dxa"/>
              <w:bottom w:w="55" w:type="dxa"/>
              <w:end w:w="65" w:type="dxa"/>
            </w:tcMar>
            <w:vAlign w:val="center"/>
            <w:shd w:fill="F8FAFC"/>
          </w:tcPr>
          <w:p>
            <w:r>
              <w:rPr>
                <w:sz w:val="14"/>
              </w:rPr>
              <w:t>Fee unpaid / waiver denial unpaid</w:t>
            </w:r>
          </w:p>
        </w:tc>
        <w:tc>
          <w:tcPr>
            <w:tcW w:type="dxa" w:w="2114"/>
            <w:tcMar>
              <w:top w:w="55" w:type="dxa"/>
              <w:start w:w="65" w:type="dxa"/>
              <w:bottom w:w="55" w:type="dxa"/>
              <w:end w:w="65" w:type="dxa"/>
            </w:tcMar>
            <w:vAlign w:val="center"/>
            <w:shd w:fill="F8FAFC"/>
          </w:tcPr>
          <w:p>
            <w:r>
              <w:rPr>
                <w:sz w:val="14"/>
              </w:rPr>
              <w:t>60 days after fee or waiver-denial notice</w:t>
            </w:r>
          </w:p>
        </w:tc>
        <w:tc>
          <w:tcPr>
            <w:tcW w:type="dxa" w:w="2114"/>
            <w:tcMar>
              <w:top w:w="55" w:type="dxa"/>
              <w:start w:w="65" w:type="dxa"/>
              <w:bottom w:w="55" w:type="dxa"/>
              <w:end w:w="65" w:type="dxa"/>
            </w:tcMar>
            <w:vAlign w:val="center"/>
            <w:shd w:fill="F8FAFC"/>
          </w:tcPr>
          <w:p>
            <w:r>
              <w:rPr>
                <w:sz w:val="14"/>
              </w:rPr>
              <w:t>Public body shall close request.</w:t>
            </w:r>
          </w:p>
        </w:tc>
        <w:tc>
          <w:tcPr>
            <w:tcW w:type="dxa" w:w="2114"/>
            <w:tcMar>
              <w:top w:w="55" w:type="dxa"/>
              <w:start w:w="65" w:type="dxa"/>
              <w:bottom w:w="55" w:type="dxa"/>
              <w:end w:w="65" w:type="dxa"/>
            </w:tcMar>
            <w:vAlign w:val="center"/>
            <w:shd w:fill="F8FAFC"/>
          </w:tcPr>
          <w:p>
            <w:r>
              <w:rPr>
                <w:sz w:val="14"/>
              </w:rPr>
              <w:t>Mandatory closure.</w:t>
            </w:r>
          </w:p>
        </w:tc>
        <w:tc>
          <w:tcPr>
            <w:tcW w:type="dxa" w:w="2114"/>
            <w:tcMar>
              <w:top w:w="55" w:type="dxa"/>
              <w:start w:w="65" w:type="dxa"/>
              <w:bottom w:w="55" w:type="dxa"/>
              <w:end w:w="65" w:type="dxa"/>
            </w:tcMar>
            <w:vAlign w:val="center"/>
            <w:shd w:fill="F8FAFC"/>
          </w:tcPr>
          <w:p>
            <w:r>
              <w:rPr>
                <w:sz w:val="14"/>
              </w:rPr>
              <w:t>ORS 192.329(3)(b)</w:t>
            </w:r>
          </w:p>
        </w:tc>
      </w:tr>
      <w:tr>
        <w:trPr>
          <w:cantSplit/>
        </w:trPr>
        <w:tc>
          <w:tcPr>
            <w:tcW w:type="dxa" w:w="2114"/>
            <w:tcMar>
              <w:top w:w="55" w:type="dxa"/>
              <w:start w:w="65" w:type="dxa"/>
              <w:bottom w:w="55" w:type="dxa"/>
              <w:end w:w="65" w:type="dxa"/>
            </w:tcMar>
            <w:vAlign w:val="center"/>
          </w:tcPr>
          <w:p>
            <w:r>
              <w:rPr>
                <w:sz w:val="14"/>
              </w:rPr>
              <w:t>Good-faith clarification requested</w:t>
            </w:r>
          </w:p>
        </w:tc>
        <w:tc>
          <w:tcPr>
            <w:tcW w:type="dxa" w:w="2114"/>
            <w:tcMar>
              <w:top w:w="55" w:type="dxa"/>
              <w:start w:w="65" w:type="dxa"/>
              <w:bottom w:w="55" w:type="dxa"/>
              <w:end w:w="65" w:type="dxa"/>
            </w:tcMar>
            <w:vAlign w:val="center"/>
          </w:tcPr>
          <w:p>
            <w:r>
              <w:rPr>
                <w:sz w:val="14"/>
              </w:rPr>
              <w:t>Until response or affirmative refusal</w:t>
            </w:r>
          </w:p>
        </w:tc>
        <w:tc>
          <w:tcPr>
            <w:tcW w:type="dxa" w:w="2114"/>
            <w:tcMar>
              <w:top w:w="55" w:type="dxa"/>
              <w:start w:w="65" w:type="dxa"/>
              <w:bottom w:w="55" w:type="dxa"/>
              <w:end w:w="65" w:type="dxa"/>
            </w:tcMar>
            <w:vAlign w:val="center"/>
          </w:tcPr>
          <w:p>
            <w:r>
              <w:rPr>
                <w:sz w:val="14"/>
              </w:rPr>
              <w:t>Completion obligation suspended.</w:t>
            </w:r>
          </w:p>
        </w:tc>
        <w:tc>
          <w:tcPr>
            <w:tcW w:type="dxa" w:w="2114"/>
            <w:tcMar>
              <w:top w:w="55" w:type="dxa"/>
              <w:start w:w="65" w:type="dxa"/>
              <w:bottom w:w="55" w:type="dxa"/>
              <w:end w:w="65" w:type="dxa"/>
            </w:tcMar>
            <w:vAlign w:val="center"/>
          </w:tcPr>
          <w:p>
            <w:r>
              <w:rPr>
                <w:sz w:val="14"/>
              </w:rPr>
              <w:t>Suspension; resumes when requester responds/declines.</w:t>
            </w:r>
          </w:p>
        </w:tc>
        <w:tc>
          <w:tcPr>
            <w:tcW w:type="dxa" w:w="2114"/>
            <w:tcMar>
              <w:top w:w="55" w:type="dxa"/>
              <w:start w:w="65" w:type="dxa"/>
              <w:bottom w:w="55" w:type="dxa"/>
              <w:end w:w="65" w:type="dxa"/>
            </w:tcMar>
            <w:vAlign w:val="center"/>
          </w:tcPr>
          <w:p>
            <w:r>
              <w:rPr>
                <w:sz w:val="14"/>
              </w:rPr>
              <w:t>ORS 192.329(4)</w:t>
            </w:r>
          </w:p>
        </w:tc>
      </w:tr>
      <w:tr>
        <w:trPr>
          <w:cantSplit/>
        </w:trPr>
        <w:tc>
          <w:tcPr>
            <w:tcW w:type="dxa" w:w="2114"/>
            <w:tcMar>
              <w:top w:w="55" w:type="dxa"/>
              <w:start w:w="65" w:type="dxa"/>
              <w:bottom w:w="55" w:type="dxa"/>
              <w:end w:w="65" w:type="dxa"/>
            </w:tcMar>
            <w:vAlign w:val="center"/>
            <w:shd w:fill="F8FAFC"/>
          </w:tcPr>
          <w:p>
            <w:r>
              <w:rPr>
                <w:sz w:val="14"/>
              </w:rPr>
              <w:t>No response to good-faith clarification</w:t>
            </w:r>
          </w:p>
        </w:tc>
        <w:tc>
          <w:tcPr>
            <w:tcW w:type="dxa" w:w="2114"/>
            <w:tcMar>
              <w:top w:w="55" w:type="dxa"/>
              <w:start w:w="65" w:type="dxa"/>
              <w:bottom w:w="55" w:type="dxa"/>
              <w:end w:w="65" w:type="dxa"/>
            </w:tcMar>
            <w:vAlign w:val="center"/>
            <w:shd w:fill="F8FAFC"/>
          </w:tcPr>
          <w:p>
            <w:r>
              <w:rPr>
                <w:sz w:val="14"/>
              </w:rPr>
              <w:t>60 days</w:t>
            </w:r>
          </w:p>
        </w:tc>
        <w:tc>
          <w:tcPr>
            <w:tcW w:type="dxa" w:w="2114"/>
            <w:tcMar>
              <w:top w:w="55" w:type="dxa"/>
              <w:start w:w="65" w:type="dxa"/>
              <w:bottom w:w="55" w:type="dxa"/>
              <w:end w:w="65" w:type="dxa"/>
            </w:tcMar>
            <w:vAlign w:val="center"/>
            <w:shd w:fill="F8FAFC"/>
          </w:tcPr>
          <w:p>
            <w:r>
              <w:rPr>
                <w:sz w:val="14"/>
              </w:rPr>
              <w:t>Public body shall close request.</w:t>
            </w:r>
          </w:p>
        </w:tc>
        <w:tc>
          <w:tcPr>
            <w:tcW w:type="dxa" w:w="2114"/>
            <w:tcMar>
              <w:top w:w="55" w:type="dxa"/>
              <w:start w:w="65" w:type="dxa"/>
              <w:bottom w:w="55" w:type="dxa"/>
              <w:end w:w="65" w:type="dxa"/>
            </w:tcMar>
            <w:vAlign w:val="center"/>
            <w:shd w:fill="F8FAFC"/>
          </w:tcPr>
          <w:p>
            <w:r>
              <w:rPr>
                <w:sz w:val="14"/>
              </w:rPr>
              <w:t>Mandatory closure.</w:t>
            </w:r>
          </w:p>
        </w:tc>
        <w:tc>
          <w:tcPr>
            <w:tcW w:type="dxa" w:w="2114"/>
            <w:tcMar>
              <w:top w:w="55" w:type="dxa"/>
              <w:start w:w="65" w:type="dxa"/>
              <w:bottom w:w="55" w:type="dxa"/>
              <w:end w:w="65" w:type="dxa"/>
            </w:tcMar>
            <w:vAlign w:val="center"/>
            <w:shd w:fill="F8FAFC"/>
          </w:tcPr>
          <w:p>
            <w:r>
              <w:rPr>
                <w:sz w:val="14"/>
              </w:rPr>
              <w:t>ORS 192.329(4)(b)</w:t>
            </w:r>
          </w:p>
        </w:tc>
      </w:tr>
      <w:tr>
        <w:trPr>
          <w:cantSplit/>
        </w:trPr>
        <w:tc>
          <w:tcPr>
            <w:tcW w:type="dxa" w:w="2114"/>
            <w:tcMar>
              <w:top w:w="55" w:type="dxa"/>
              <w:start w:w="65" w:type="dxa"/>
              <w:bottom w:w="55" w:type="dxa"/>
              <w:end w:w="65" w:type="dxa"/>
            </w:tcMar>
            <w:vAlign w:val="center"/>
          </w:tcPr>
          <w:p>
            <w:r>
              <w:rPr>
                <w:sz w:val="14"/>
              </w:rPr>
              <w:t>Estimated fee exceeds $25</w:t>
            </w:r>
          </w:p>
        </w:tc>
        <w:tc>
          <w:tcPr>
            <w:tcW w:type="dxa" w:w="2114"/>
            <w:tcMar>
              <w:top w:w="55" w:type="dxa"/>
              <w:start w:w="65" w:type="dxa"/>
              <w:bottom w:w="55" w:type="dxa"/>
              <w:end w:w="65" w:type="dxa"/>
            </w:tcMar>
            <w:vAlign w:val="center"/>
          </w:tcPr>
          <w:p>
            <w:r>
              <w:rPr>
                <w:sz w:val="14"/>
              </w:rPr>
              <w:t>Before proceeding</w:t>
            </w:r>
          </w:p>
        </w:tc>
        <w:tc>
          <w:tcPr>
            <w:tcW w:type="dxa" w:w="2114"/>
            <w:tcMar>
              <w:top w:w="55" w:type="dxa"/>
              <w:start w:w="65" w:type="dxa"/>
              <w:bottom w:w="55" w:type="dxa"/>
              <w:end w:w="65" w:type="dxa"/>
            </w:tcMar>
            <w:vAlign w:val="center"/>
          </w:tcPr>
          <w:p>
            <w:r>
              <w:rPr>
                <w:sz w:val="14"/>
              </w:rPr>
              <w:t>Provide written estimate and obtain requester confirmation.</w:t>
            </w:r>
          </w:p>
        </w:tc>
        <w:tc>
          <w:tcPr>
            <w:tcW w:type="dxa" w:w="2114"/>
            <w:tcMar>
              <w:top w:w="55" w:type="dxa"/>
              <w:start w:w="65" w:type="dxa"/>
              <w:bottom w:w="55" w:type="dxa"/>
              <w:end w:w="65" w:type="dxa"/>
            </w:tcMar>
            <w:vAlign w:val="center"/>
          </w:tcPr>
          <w:p>
            <w:r>
              <w:rPr>
                <w:sz w:val="14"/>
              </w:rPr>
              <w:t>Estimate-confirmation gate.</w:t>
            </w:r>
          </w:p>
        </w:tc>
        <w:tc>
          <w:tcPr>
            <w:tcW w:type="dxa" w:w="2114"/>
            <w:tcMar>
              <w:top w:w="55" w:type="dxa"/>
              <w:start w:w="65" w:type="dxa"/>
              <w:bottom w:w="55" w:type="dxa"/>
              <w:end w:w="65" w:type="dxa"/>
            </w:tcMar>
            <w:vAlign w:val="center"/>
          </w:tcPr>
          <w:p>
            <w:r>
              <w:rPr>
                <w:sz w:val="14"/>
              </w:rPr>
              <w:t>ORS 192.324(4)</w:t>
            </w:r>
          </w:p>
        </w:tc>
      </w:tr>
    </w:tbl>
    <w:p>
      <w:pPr>
        <w:pStyle w:val="Heading1"/>
      </w:pPr>
      <w:r>
        <w:t>5. Vague, Unclear, or Overly Broad Requests</w:t>
      </w:r>
    </w:p>
    <w:p>
      <w:pPr>
        <w:pStyle w:val="ListBullet"/>
        <w:spacing w:after="30"/>
      </w:pPr>
      <w:r>
        <w:t>A public body may request additional information or clarification in good faith for the purpose of expediting its response.</w:t>
      </w:r>
    </w:p>
    <w:p>
      <w:pPr>
        <w:pStyle w:val="ListBullet"/>
        <w:spacing w:after="30"/>
      </w:pPr>
      <w:r>
        <w:t>The obligation to further complete the response is suspended until the requester supplies the information or affirmatively declines.</w:t>
      </w:r>
    </w:p>
    <w:p>
      <w:pPr>
        <w:pStyle w:val="ListBullet"/>
        <w:spacing w:after="30"/>
      </w:pPr>
      <w:r>
        <w:t>If the requester does not respond within 60 days, the public body must close the request.</w:t>
      </w:r>
    </w:p>
    <w:p>
      <w:pPr>
        <w:pStyle w:val="ListBullet"/>
        <w:spacing w:after="30"/>
      </w:pPr>
      <w:r>
        <w:t>The system should require the clarification communication to state what is needed, why it will expedite processing, and how the requester may respond or decline; this supports the good-faith basis.</w:t>
      </w:r>
    </w:p>
    <w:p>
      <w:pPr>
        <w:pStyle w:val="Heading1"/>
      </w:pPr>
      <w:r>
        <w:t>6. Denial and Partial-Denial Process</w:t>
      </w:r>
    </w:p>
    <w:p>
      <w:pPr>
        <w:pStyle w:val="ListBullet"/>
        <w:spacing w:after="30"/>
      </w:pPr>
      <w:r>
        <w:t>A complete response must provide nonexempt records, assert exemptions believed applicable, identify underlying state/federal law when required, comply with segregation, and state noncustody to the extent applicable.</w:t>
      </w:r>
    </w:p>
    <w:p>
      <w:pPr>
        <w:pStyle w:val="ListBullet"/>
        <w:spacing w:after="30"/>
      </w:pPr>
      <w:r>
        <w:t>If exemptions are asserted, the response must include a statement that the requester may seek statutory review.</w:t>
      </w:r>
    </w:p>
    <w:p>
      <w:pPr>
        <w:pStyle w:val="ListBullet"/>
        <w:spacing w:after="30"/>
      </w:pPr>
      <w:r>
        <w:t>Failure to meet the response rules or an unreasonably long estimated date can be reviewed as a denial-like compliance failure.</w:t>
      </w:r>
    </w:p>
    <w:p>
      <w:pPr>
        <w:pStyle w:val="ListBullet"/>
        <w:spacing w:after="30"/>
      </w:pPr>
      <w:r>
        <w:t>Partial records must be separated and released.</w:t>
      </w:r>
    </w:p>
    <w:p>
      <w:pPr>
        <w:pStyle w:val="Heading1"/>
      </w:pPr>
      <w:r>
        <w:t>7. Legal Classifications, Tracks, and Operational Classifications</w:t>
      </w:r>
    </w:p>
    <w:tbl>
      <w:tblPr>
        <w:tblStyle w:val="TableGrid"/>
        <w:tblW w:type="auto" w:w="0"/>
        <w:jc w:val="center"/>
        <w:tblLayout w:type="autofit"/>
        <w:tblLook w:firstColumn="1" w:firstRow="1" w:lastColumn="0" w:lastRow="0" w:noHBand="0" w:noVBand="1" w:val="04A0"/>
      </w:tblPr>
      <w:tblGrid>
        <w:gridCol w:w="2642"/>
        <w:gridCol w:w="2642"/>
        <w:gridCol w:w="2642"/>
        <w:gridCol w:w="2642"/>
      </w:tblGrid>
      <w:tr>
        <w:trPr>
          <w:tblHeader w:val="true"/>
          <w:cantSplit/>
        </w:trPr>
        <w:tc>
          <w:tcPr>
            <w:tcW w:type="dxa" w:w="2642"/>
            <w:shd w:fill="17365D"/>
            <w:tcMar>
              <w:top w:w="55" w:type="dxa"/>
              <w:start w:w="65" w:type="dxa"/>
              <w:bottom w:w="55" w:type="dxa"/>
              <w:end w:w="65" w:type="dxa"/>
            </w:tcMar>
          </w:tcPr>
          <w:p>
            <w:pPr>
              <w:jc w:val="center"/>
            </w:pPr>
            <w:r>
              <w:rPr>
                <w:b/>
                <w:color w:val="FFFFFF"/>
                <w:sz w:val="14"/>
              </w:rPr>
              <w:t>Classification / flag</w:t>
            </w:r>
          </w:p>
        </w:tc>
        <w:tc>
          <w:tcPr>
            <w:tcW w:type="dxa" w:w="2642"/>
            <w:shd w:fill="17365D"/>
            <w:tcMar>
              <w:top w:w="55" w:type="dxa"/>
              <w:start w:w="65" w:type="dxa"/>
              <w:bottom w:w="55" w:type="dxa"/>
              <w:end w:w="65" w:type="dxa"/>
            </w:tcMar>
          </w:tcPr>
          <w:p>
            <w:pPr>
              <w:jc w:val="center"/>
            </w:pPr>
            <w:r>
              <w:rPr>
                <w:b/>
                <w:color w:val="FFFFFF"/>
                <w:sz w:val="14"/>
              </w:rPr>
              <w:t>Legal or operational</w:t>
            </w:r>
          </w:p>
        </w:tc>
        <w:tc>
          <w:tcPr>
            <w:tcW w:type="dxa" w:w="2642"/>
            <w:shd w:fill="17365D"/>
            <w:tcMar>
              <w:top w:w="55" w:type="dxa"/>
              <w:start w:w="65" w:type="dxa"/>
              <w:bottom w:w="55" w:type="dxa"/>
              <w:end w:w="65" w:type="dxa"/>
            </w:tcMar>
          </w:tcPr>
          <w:p>
            <w:pPr>
              <w:jc w:val="center"/>
            </w:pPr>
            <w:r>
              <w:rPr>
                <w:b/>
                <w:color w:val="FFFFFF"/>
                <w:sz w:val="14"/>
              </w:rPr>
              <w:t>Workflow effect</w:t>
            </w:r>
          </w:p>
        </w:tc>
        <w:tc>
          <w:tcPr>
            <w:tcW w:type="dxa" w:w="2642"/>
            <w:shd w:fill="17365D"/>
            <w:tcMar>
              <w:top w:w="55" w:type="dxa"/>
              <w:start w:w="65" w:type="dxa"/>
              <w:bottom w:w="55" w:type="dxa"/>
              <w:end w:w="65" w:type="dxa"/>
            </w:tcMar>
          </w:tcPr>
          <w:p>
            <w:pPr>
              <w:jc w:val="center"/>
            </w:pPr>
            <w:r>
              <w:rPr>
                <w:b/>
                <w:color w:val="FFFFFF"/>
                <w:sz w:val="14"/>
              </w:rPr>
              <w:t>Timer / communication effect</w:t>
            </w:r>
          </w:p>
        </w:tc>
      </w:tr>
      <w:tr>
        <w:trPr>
          <w:cantSplit/>
        </w:trPr>
        <w:tc>
          <w:tcPr>
            <w:tcW w:type="dxa" w:w="2642"/>
            <w:tcMar>
              <w:top w:w="55" w:type="dxa"/>
              <w:start w:w="65" w:type="dxa"/>
              <w:bottom w:w="55" w:type="dxa"/>
              <w:end w:w="65" w:type="dxa"/>
            </w:tcMar>
            <w:vAlign w:val="center"/>
          </w:tcPr>
          <w:p>
            <w:r>
              <w:rPr>
                <w:sz w:val="14"/>
              </w:rPr>
              <w:t>Acknowledgment pending</w:t>
            </w:r>
          </w:p>
        </w:tc>
        <w:tc>
          <w:tcPr>
            <w:tcW w:type="dxa" w:w="2642"/>
            <w:tcMar>
              <w:top w:w="55" w:type="dxa"/>
              <w:start w:w="65" w:type="dxa"/>
              <w:bottom w:w="55" w:type="dxa"/>
              <w:end w:w="65" w:type="dxa"/>
            </w:tcMar>
            <w:vAlign w:val="center"/>
          </w:tcPr>
          <w:p>
            <w:r>
              <w:rPr>
                <w:sz w:val="14"/>
              </w:rPr>
              <w:t>Legal process state</w:t>
            </w:r>
          </w:p>
        </w:tc>
        <w:tc>
          <w:tcPr>
            <w:tcW w:type="dxa" w:w="2642"/>
            <w:tcMar>
              <w:top w:w="55" w:type="dxa"/>
              <w:start w:w="65" w:type="dxa"/>
              <w:bottom w:w="55" w:type="dxa"/>
              <w:end w:w="65" w:type="dxa"/>
            </w:tcMar>
            <w:vAlign w:val="center"/>
          </w:tcPr>
          <w:p>
            <w:r>
              <w:rPr>
                <w:sz w:val="14"/>
              </w:rPr>
              <w:t>Five-day response milestone.</w:t>
            </w:r>
          </w:p>
        </w:tc>
        <w:tc>
          <w:tcPr>
            <w:tcW w:type="dxa" w:w="2642"/>
            <w:tcMar>
              <w:top w:w="55" w:type="dxa"/>
              <w:start w:w="65" w:type="dxa"/>
              <w:bottom w:w="55" w:type="dxa"/>
              <w:end w:w="65" w:type="dxa"/>
            </w:tcMar>
            <w:vAlign w:val="center"/>
          </w:tcPr>
          <w:p>
            <w:r>
              <w:rPr>
                <w:sz w:val="14"/>
              </w:rPr>
              <w:t>Complete or send statutory acknowledgment.</w:t>
            </w:r>
          </w:p>
        </w:tc>
      </w:tr>
      <w:tr>
        <w:trPr>
          <w:cantSplit/>
        </w:trPr>
        <w:tc>
          <w:tcPr>
            <w:tcW w:type="dxa" w:w="2642"/>
            <w:tcMar>
              <w:top w:w="55" w:type="dxa"/>
              <w:start w:w="65" w:type="dxa"/>
              <w:bottom w:w="55" w:type="dxa"/>
              <w:end w:w="65" w:type="dxa"/>
            </w:tcMar>
            <w:vAlign w:val="center"/>
            <w:shd w:fill="F8FAFC"/>
          </w:tcPr>
          <w:p>
            <w:r>
              <w:rPr>
                <w:sz w:val="14"/>
              </w:rPr>
              <w:t>Complete response / estimated-date response</w:t>
            </w:r>
          </w:p>
        </w:tc>
        <w:tc>
          <w:tcPr>
            <w:tcW w:type="dxa" w:w="2642"/>
            <w:tcMar>
              <w:top w:w="55" w:type="dxa"/>
              <w:start w:w="65" w:type="dxa"/>
              <w:bottom w:w="55" w:type="dxa"/>
              <w:end w:w="65" w:type="dxa"/>
            </w:tcMar>
            <w:vAlign w:val="center"/>
            <w:shd w:fill="F8FAFC"/>
          </w:tcPr>
          <w:p>
            <w:r>
              <w:rPr>
                <w:sz w:val="14"/>
              </w:rPr>
              <w:t>Legal response alternatives</w:t>
            </w:r>
          </w:p>
        </w:tc>
        <w:tc>
          <w:tcPr>
            <w:tcW w:type="dxa" w:w="2642"/>
            <w:tcMar>
              <w:top w:w="55" w:type="dxa"/>
              <w:start w:w="65" w:type="dxa"/>
              <w:bottom w:w="55" w:type="dxa"/>
              <w:end w:w="65" w:type="dxa"/>
            </w:tcMar>
            <w:vAlign w:val="center"/>
            <w:shd w:fill="F8FAFC"/>
          </w:tcPr>
          <w:p>
            <w:r>
              <w:rPr>
                <w:sz w:val="14"/>
              </w:rPr>
              <w:t>Second milestone after acknowledgment deadline.</w:t>
            </w:r>
          </w:p>
        </w:tc>
        <w:tc>
          <w:tcPr>
            <w:tcW w:type="dxa" w:w="2642"/>
            <w:tcMar>
              <w:top w:w="55" w:type="dxa"/>
              <w:start w:w="65" w:type="dxa"/>
              <w:bottom w:w="55" w:type="dxa"/>
              <w:end w:w="65" w:type="dxa"/>
            </w:tcMar>
            <w:vAlign w:val="center"/>
            <w:shd w:fill="F8FAFC"/>
          </w:tcPr>
          <w:p>
            <w:r>
              <w:rPr>
                <w:sz w:val="14"/>
              </w:rPr>
              <w:t>10 business days after acknowledgment deadline.</w:t>
            </w:r>
          </w:p>
        </w:tc>
      </w:tr>
      <w:tr>
        <w:trPr>
          <w:cantSplit/>
        </w:trPr>
        <w:tc>
          <w:tcPr>
            <w:tcW w:type="dxa" w:w="2642"/>
            <w:tcMar>
              <w:top w:w="55" w:type="dxa"/>
              <w:start w:w="65" w:type="dxa"/>
              <w:bottom w:w="55" w:type="dxa"/>
              <w:end w:w="65" w:type="dxa"/>
            </w:tcMar>
            <w:vAlign w:val="center"/>
          </w:tcPr>
          <w:p>
            <w:r>
              <w:rPr>
                <w:sz w:val="14"/>
              </w:rPr>
              <w:t>Awaiting fee</w:t>
            </w:r>
          </w:p>
        </w:tc>
        <w:tc>
          <w:tcPr>
            <w:tcW w:type="dxa" w:w="2642"/>
            <w:tcMar>
              <w:top w:w="55" w:type="dxa"/>
              <w:start w:w="65" w:type="dxa"/>
              <w:bottom w:w="55" w:type="dxa"/>
              <w:end w:w="65" w:type="dxa"/>
            </w:tcMar>
            <w:vAlign w:val="center"/>
          </w:tcPr>
          <w:p>
            <w:r>
              <w:rPr>
                <w:sz w:val="14"/>
              </w:rPr>
              <w:t>Legal suspension</w:t>
            </w:r>
          </w:p>
        </w:tc>
        <w:tc>
          <w:tcPr>
            <w:tcW w:type="dxa" w:w="2642"/>
            <w:tcMar>
              <w:top w:w="55" w:type="dxa"/>
              <w:start w:w="65" w:type="dxa"/>
              <w:bottom w:w="55" w:type="dxa"/>
              <w:end w:w="65" w:type="dxa"/>
            </w:tcMar>
            <w:vAlign w:val="center"/>
          </w:tcPr>
          <w:p>
            <w:r>
              <w:rPr>
                <w:sz w:val="14"/>
              </w:rPr>
              <w:t>Completion obligation suspended; 60-day closure clock.</w:t>
            </w:r>
          </w:p>
        </w:tc>
        <w:tc>
          <w:tcPr>
            <w:tcW w:type="dxa" w:w="2642"/>
            <w:tcMar>
              <w:top w:w="55" w:type="dxa"/>
              <w:start w:w="65" w:type="dxa"/>
              <w:bottom w:w="55" w:type="dxa"/>
              <w:end w:w="65" w:type="dxa"/>
            </w:tcMar>
            <w:vAlign w:val="center"/>
          </w:tcPr>
          <w:p>
            <w:r>
              <w:rPr>
                <w:sz w:val="14"/>
              </w:rPr>
              <w:t>Payment/waiver event resumes.</w:t>
            </w:r>
          </w:p>
        </w:tc>
      </w:tr>
      <w:tr>
        <w:trPr>
          <w:cantSplit/>
        </w:trPr>
        <w:tc>
          <w:tcPr>
            <w:tcW w:type="dxa" w:w="2642"/>
            <w:tcMar>
              <w:top w:w="55" w:type="dxa"/>
              <w:start w:w="65" w:type="dxa"/>
              <w:bottom w:w="55" w:type="dxa"/>
              <w:end w:w="65" w:type="dxa"/>
            </w:tcMar>
            <w:vAlign w:val="center"/>
            <w:shd w:fill="F8FAFC"/>
          </w:tcPr>
          <w:p>
            <w:r>
              <w:rPr>
                <w:sz w:val="14"/>
              </w:rPr>
              <w:t>Awaiting clarification</w:t>
            </w:r>
          </w:p>
        </w:tc>
        <w:tc>
          <w:tcPr>
            <w:tcW w:type="dxa" w:w="2642"/>
            <w:tcMar>
              <w:top w:w="55" w:type="dxa"/>
              <w:start w:w="65" w:type="dxa"/>
              <w:bottom w:w="55" w:type="dxa"/>
              <w:end w:w="65" w:type="dxa"/>
            </w:tcMar>
            <w:vAlign w:val="center"/>
            <w:shd w:fill="F8FAFC"/>
          </w:tcPr>
          <w:p>
            <w:r>
              <w:rPr>
                <w:sz w:val="14"/>
              </w:rPr>
              <w:t>Legal suspension</w:t>
            </w:r>
          </w:p>
        </w:tc>
        <w:tc>
          <w:tcPr>
            <w:tcW w:type="dxa" w:w="2642"/>
            <w:tcMar>
              <w:top w:w="55" w:type="dxa"/>
              <w:start w:w="65" w:type="dxa"/>
              <w:bottom w:w="55" w:type="dxa"/>
              <w:end w:w="65" w:type="dxa"/>
            </w:tcMar>
            <w:vAlign w:val="center"/>
            <w:shd w:fill="F8FAFC"/>
          </w:tcPr>
          <w:p>
            <w:r>
              <w:rPr>
                <w:sz w:val="14"/>
              </w:rPr>
              <w:t>Good-faith clarification suspension; 60-day closure clock.</w:t>
            </w:r>
          </w:p>
        </w:tc>
        <w:tc>
          <w:tcPr>
            <w:tcW w:type="dxa" w:w="2642"/>
            <w:tcMar>
              <w:top w:w="55" w:type="dxa"/>
              <w:start w:w="65" w:type="dxa"/>
              <w:bottom w:w="55" w:type="dxa"/>
              <w:end w:w="65" w:type="dxa"/>
            </w:tcMar>
            <w:vAlign w:val="center"/>
            <w:shd w:fill="F8FAFC"/>
          </w:tcPr>
          <w:p>
            <w:r>
              <w:rPr>
                <w:sz w:val="14"/>
              </w:rPr>
              <w:t>Response/decline resumes.</w:t>
            </w:r>
          </w:p>
        </w:tc>
      </w:tr>
      <w:tr>
        <w:trPr>
          <w:cantSplit/>
        </w:trPr>
        <w:tc>
          <w:tcPr>
            <w:tcW w:type="dxa" w:w="2642"/>
            <w:tcMar>
              <w:top w:w="55" w:type="dxa"/>
              <w:start w:w="65" w:type="dxa"/>
              <w:bottom w:w="55" w:type="dxa"/>
              <w:end w:w="65" w:type="dxa"/>
            </w:tcMar>
            <w:vAlign w:val="center"/>
          </w:tcPr>
          <w:p>
            <w:r>
              <w:rPr>
                <w:sz w:val="14"/>
              </w:rPr>
              <w:t>Impracticability exception</w:t>
            </w:r>
          </w:p>
        </w:tc>
        <w:tc>
          <w:tcPr>
            <w:tcW w:type="dxa" w:w="2642"/>
            <w:tcMar>
              <w:top w:w="55" w:type="dxa"/>
              <w:start w:w="65" w:type="dxa"/>
              <w:bottom w:w="55" w:type="dxa"/>
              <w:end w:w="65" w:type="dxa"/>
            </w:tcMar>
            <w:vAlign w:val="center"/>
          </w:tcPr>
          <w:p>
            <w:r>
              <w:rPr>
                <w:sz w:val="14"/>
              </w:rPr>
              <w:t>Legal timing exception</w:t>
            </w:r>
          </w:p>
        </w:tc>
        <w:tc>
          <w:tcPr>
            <w:tcW w:type="dxa" w:w="2642"/>
            <w:tcMar>
              <w:top w:w="55" w:type="dxa"/>
              <w:start w:w="65" w:type="dxa"/>
              <w:bottom w:w="55" w:type="dxa"/>
              <w:end w:w="65" w:type="dxa"/>
            </w:tcMar>
            <w:vAlign w:val="center"/>
          </w:tcPr>
          <w:p>
            <w:r>
              <w:rPr>
                <w:sz w:val="14"/>
              </w:rPr>
              <w:t>When statutory circumstances make periods impracticable, complete as soon as practicable without unreasonable delay.</w:t>
            </w:r>
          </w:p>
        </w:tc>
        <w:tc>
          <w:tcPr>
            <w:tcW w:type="dxa" w:w="2642"/>
            <w:tcMar>
              <w:top w:w="55" w:type="dxa"/>
              <w:start w:w="65" w:type="dxa"/>
              <w:bottom w:w="55" w:type="dxa"/>
              <w:end w:w="65" w:type="dxa"/>
            </w:tcMar>
            <w:vAlign w:val="center"/>
          </w:tcPr>
          <w:p>
            <w:r>
              <w:rPr>
                <w:sz w:val="14"/>
              </w:rPr>
              <w:t>Reason and evidence required.</w:t>
            </w:r>
          </w:p>
        </w:tc>
      </w:tr>
      <w:tr>
        <w:trPr>
          <w:cantSplit/>
        </w:trPr>
        <w:tc>
          <w:tcPr>
            <w:tcW w:type="dxa" w:w="2642"/>
            <w:tcMar>
              <w:top w:w="55" w:type="dxa"/>
              <w:start w:w="65" w:type="dxa"/>
              <w:bottom w:w="55" w:type="dxa"/>
              <w:end w:w="65" w:type="dxa"/>
            </w:tcMar>
            <w:vAlign w:val="center"/>
            <w:shd w:fill="F8FAFC"/>
          </w:tcPr>
          <w:p>
            <w:r>
              <w:rPr>
                <w:sz w:val="14"/>
              </w:rPr>
              <w:t>Simple / complex</w:t>
            </w:r>
          </w:p>
        </w:tc>
        <w:tc>
          <w:tcPr>
            <w:tcW w:type="dxa" w:w="2642"/>
            <w:tcMar>
              <w:top w:w="55" w:type="dxa"/>
              <w:start w:w="65" w:type="dxa"/>
              <w:bottom w:w="55" w:type="dxa"/>
              <w:end w:w="65" w:type="dxa"/>
            </w:tcMar>
            <w:vAlign w:val="center"/>
            <w:shd w:fill="F8FAFC"/>
          </w:tcPr>
          <w:p>
            <w:r>
              <w:rPr>
                <w:sz w:val="14"/>
              </w:rPr>
              <w:t>Operational</w:t>
            </w:r>
          </w:p>
        </w:tc>
        <w:tc>
          <w:tcPr>
            <w:tcW w:type="dxa" w:w="2642"/>
            <w:tcMar>
              <w:top w:w="55" w:type="dxa"/>
              <w:start w:w="65" w:type="dxa"/>
              <w:bottom w:w="55" w:type="dxa"/>
              <w:end w:w="65" w:type="dxa"/>
            </w:tcMar>
            <w:vAlign w:val="center"/>
            <w:shd w:fill="F8FAFC"/>
          </w:tcPr>
          <w:p>
            <w:r>
              <w:rPr>
                <w:sz w:val="14"/>
              </w:rPr>
              <w:t>Staffing and estimated dates.</w:t>
            </w:r>
          </w:p>
        </w:tc>
        <w:tc>
          <w:tcPr>
            <w:tcW w:type="dxa" w:w="2642"/>
            <w:tcMar>
              <w:top w:w="55" w:type="dxa"/>
              <w:start w:w="65" w:type="dxa"/>
              <w:bottom w:w="55" w:type="dxa"/>
              <w:end w:w="65" w:type="dxa"/>
            </w:tcMar>
            <w:vAlign w:val="center"/>
            <w:shd w:fill="F8FAFC"/>
          </w:tcPr>
          <w:p>
            <w:r>
              <w:rPr>
                <w:sz w:val="14"/>
              </w:rPr>
              <w:t>Does not replace legal states.</w:t>
            </w:r>
          </w:p>
        </w:tc>
      </w:tr>
    </w:tbl>
    <w:p>
      <w:pPr>
        <w:pStyle w:val="Heading1"/>
      </w:pPr>
      <w:r>
        <w:t>8. Large Volume, Redaction, Programming, and Electronic Records</w:t>
      </w:r>
    </w:p>
    <w:p>
      <w:pPr>
        <w:pStyle w:val="ListBullet"/>
        <w:spacing w:after="30"/>
      </w:pPr>
      <w:r>
        <w:t>Volume, staff unavailability, necessary-service impairment, or a large number of simultaneous requests may support the statutory impracticability exception; the body still must act as soon as practicable without unreasonable delay.</w:t>
      </w:r>
    </w:p>
    <w:p>
      <w:pPr>
        <w:pStyle w:val="ListBullet"/>
        <w:spacing w:after="30"/>
      </w:pPr>
      <w:r>
        <w:t>The complete response can explain where records are already publicly available, supporting portal/public-ready-library reuse.</w:t>
      </w:r>
    </w:p>
    <w:p>
      <w:pPr>
        <w:pStyle w:val="ListBullet"/>
        <w:spacing w:after="30"/>
      </w:pPr>
      <w:r>
        <w:t>Electronic records are included; the public body must use reasonable means and may charge actual costs under its published fee method.</w:t>
      </w:r>
    </w:p>
    <w:p>
      <w:pPr>
        <w:pStyle w:val="ListBullet"/>
        <w:spacing w:after="30"/>
      </w:pPr>
      <w:r>
        <w:t>Every estimate and estimated completion date should retain its factual basis because both can be challenged.</w:t>
      </w:r>
    </w:p>
    <w:p>
      <w:pPr>
        <w:pStyle w:val="Heading1"/>
      </w:pPr>
      <w:r>
        <w:t>9. Fee Estimate, Deposit, Payment, and Reconciliation Workflow</w:t>
      </w:r>
    </w:p>
    <w:tbl>
      <w:tblPr>
        <w:tblStyle w:val="TableGrid"/>
        <w:tblW w:type="auto" w:w="0"/>
        <w:jc w:val="center"/>
        <w:tblLayout w:type="autofit"/>
        <w:tblLook w:firstColumn="1" w:firstRow="1" w:lastColumn="0" w:lastRow="0" w:noHBand="0" w:noVBand="1" w:val="04A0"/>
      </w:tblPr>
      <w:tblGrid>
        <w:gridCol w:w="2642"/>
        <w:gridCol w:w="2642"/>
        <w:gridCol w:w="2642"/>
        <w:gridCol w:w="2642"/>
      </w:tblGrid>
      <w:tr>
        <w:trPr>
          <w:tblHeader w:val="true"/>
          <w:cantSplit/>
        </w:trPr>
        <w:tc>
          <w:tcPr>
            <w:tcW w:type="dxa" w:w="2642"/>
            <w:shd w:fill="17365D"/>
            <w:tcMar>
              <w:top w:w="55" w:type="dxa"/>
              <w:start w:w="65" w:type="dxa"/>
              <w:bottom w:w="55" w:type="dxa"/>
              <w:end w:w="65" w:type="dxa"/>
            </w:tcMar>
          </w:tcPr>
          <w:p>
            <w:pPr>
              <w:jc w:val="center"/>
            </w:pPr>
            <w:r>
              <w:rPr>
                <w:b/>
                <w:color w:val="FFFFFF"/>
                <w:sz w:val="14"/>
              </w:rPr>
              <w:t>Fee component / trigger</w:t>
            </w:r>
          </w:p>
        </w:tc>
        <w:tc>
          <w:tcPr>
            <w:tcW w:type="dxa" w:w="2642"/>
            <w:shd w:fill="17365D"/>
            <w:tcMar>
              <w:top w:w="55" w:type="dxa"/>
              <w:start w:w="65" w:type="dxa"/>
              <w:bottom w:w="55" w:type="dxa"/>
              <w:end w:w="65" w:type="dxa"/>
            </w:tcMar>
          </w:tcPr>
          <w:p>
            <w:pPr>
              <w:jc w:val="center"/>
            </w:pPr>
            <w:r>
              <w:rPr>
                <w:b/>
                <w:color w:val="FFFFFF"/>
                <w:sz w:val="14"/>
              </w:rPr>
              <w:t>Statewide rule</w:t>
            </w:r>
          </w:p>
        </w:tc>
        <w:tc>
          <w:tcPr>
            <w:tcW w:type="dxa" w:w="2642"/>
            <w:shd w:fill="17365D"/>
            <w:tcMar>
              <w:top w:w="55" w:type="dxa"/>
              <w:start w:w="65" w:type="dxa"/>
              <w:bottom w:w="55" w:type="dxa"/>
              <w:end w:w="65" w:type="dxa"/>
            </w:tcMar>
          </w:tcPr>
          <w:p>
            <w:pPr>
              <w:jc w:val="center"/>
            </w:pPr>
            <w:r>
              <w:rPr>
                <w:b/>
                <w:color w:val="FFFFFF"/>
                <w:sz w:val="14"/>
              </w:rPr>
              <w:t>Estimate / payment timing</w:t>
            </w:r>
          </w:p>
        </w:tc>
        <w:tc>
          <w:tcPr>
            <w:tcW w:type="dxa" w:w="2642"/>
            <w:shd w:fill="17365D"/>
            <w:tcMar>
              <w:top w:w="55" w:type="dxa"/>
              <w:start w:w="65" w:type="dxa"/>
              <w:bottom w:w="55" w:type="dxa"/>
              <w:end w:w="65" w:type="dxa"/>
            </w:tcMar>
          </w:tcPr>
          <w:p>
            <w:pPr>
              <w:jc w:val="center"/>
            </w:pPr>
            <w:r>
              <w:rPr>
                <w:b/>
                <w:color w:val="FFFFFF"/>
                <w:sz w:val="14"/>
              </w:rPr>
              <w:t>Configuration treatment</w:t>
            </w:r>
          </w:p>
        </w:tc>
      </w:tr>
      <w:tr>
        <w:trPr>
          <w:cantSplit/>
        </w:trPr>
        <w:tc>
          <w:tcPr>
            <w:tcW w:type="dxa" w:w="2642"/>
            <w:tcMar>
              <w:top w:w="55" w:type="dxa"/>
              <w:start w:w="65" w:type="dxa"/>
              <w:bottom w:w="55" w:type="dxa"/>
              <w:end w:w="65" w:type="dxa"/>
            </w:tcMar>
            <w:vAlign w:val="center"/>
          </w:tcPr>
          <w:p>
            <w:r>
              <w:rPr>
                <w:sz w:val="14"/>
              </w:rPr>
              <w:t>Actual costs</w:t>
            </w:r>
          </w:p>
        </w:tc>
        <w:tc>
          <w:tcPr>
            <w:tcW w:type="dxa" w:w="2642"/>
            <w:tcMar>
              <w:top w:w="55" w:type="dxa"/>
              <w:start w:w="65" w:type="dxa"/>
              <w:bottom w:w="55" w:type="dxa"/>
              <w:end w:w="65" w:type="dxa"/>
            </w:tcMar>
            <w:vAlign w:val="center"/>
          </w:tcPr>
          <w:p>
            <w:r>
              <w:rPr>
                <w:sz w:val="14"/>
              </w:rPr>
              <w:t>Public body may establish fees reasonably calculated to reimburse actual cost.</w:t>
            </w:r>
          </w:p>
        </w:tc>
        <w:tc>
          <w:tcPr>
            <w:tcW w:type="dxa" w:w="2642"/>
            <w:tcMar>
              <w:top w:w="55" w:type="dxa"/>
              <w:start w:w="65" w:type="dxa"/>
              <w:bottom w:w="55" w:type="dxa"/>
              <w:end w:w="65" w:type="dxa"/>
            </w:tcMar>
            <w:vAlign w:val="center"/>
          </w:tcPr>
          <w:p>
            <w:r>
              <w:rPr>
                <w:sz w:val="14"/>
              </w:rPr>
              <w:t>Written method should be in public procedure.</w:t>
            </w:r>
          </w:p>
        </w:tc>
        <w:tc>
          <w:tcPr>
            <w:tcW w:type="dxa" w:w="2642"/>
            <w:tcMar>
              <w:top w:w="55" w:type="dxa"/>
              <w:start w:w="65" w:type="dxa"/>
              <w:bottom w:w="55" w:type="dxa"/>
              <w:end w:w="65" w:type="dxa"/>
            </w:tcMar>
            <w:vAlign w:val="center"/>
          </w:tcPr>
          <w:p>
            <w:r>
              <w:rPr>
                <w:sz w:val="14"/>
              </w:rPr>
              <w:t>Local schedule within ORS 192.324.</w:t>
            </w:r>
          </w:p>
        </w:tc>
      </w:tr>
      <w:tr>
        <w:trPr>
          <w:cantSplit/>
        </w:trPr>
        <w:tc>
          <w:tcPr>
            <w:tcW w:type="dxa" w:w="2642"/>
            <w:tcMar>
              <w:top w:w="55" w:type="dxa"/>
              <w:start w:w="65" w:type="dxa"/>
              <w:bottom w:w="55" w:type="dxa"/>
              <w:end w:w="65" w:type="dxa"/>
            </w:tcMar>
            <w:vAlign w:val="center"/>
            <w:shd w:fill="F8FAFC"/>
          </w:tcPr>
          <w:p>
            <w:r>
              <w:rPr>
                <w:sz w:val="14"/>
              </w:rPr>
              <w:t>Estimate threshold</w:t>
            </w:r>
          </w:p>
        </w:tc>
        <w:tc>
          <w:tcPr>
            <w:tcW w:type="dxa" w:w="2642"/>
            <w:tcMar>
              <w:top w:w="55" w:type="dxa"/>
              <w:start w:w="65" w:type="dxa"/>
              <w:bottom w:w="55" w:type="dxa"/>
              <w:end w:w="65" w:type="dxa"/>
            </w:tcMar>
            <w:vAlign w:val="center"/>
            <w:shd w:fill="F8FAFC"/>
          </w:tcPr>
          <w:p>
            <w:r>
              <w:rPr>
                <w:sz w:val="14"/>
              </w:rPr>
              <w:t>Written estimate when estimated fee exceeds $25.</w:t>
            </w:r>
          </w:p>
        </w:tc>
        <w:tc>
          <w:tcPr>
            <w:tcW w:type="dxa" w:w="2642"/>
            <w:tcMar>
              <w:top w:w="55" w:type="dxa"/>
              <w:start w:w="65" w:type="dxa"/>
              <w:bottom w:w="55" w:type="dxa"/>
              <w:end w:w="65" w:type="dxa"/>
            </w:tcMar>
            <w:vAlign w:val="center"/>
            <w:shd w:fill="F8FAFC"/>
          </w:tcPr>
          <w:p>
            <w:r>
              <w:rPr>
                <w:sz w:val="14"/>
              </w:rPr>
              <w:t>Before proceeding; obtain confirmation.</w:t>
            </w:r>
          </w:p>
        </w:tc>
        <w:tc>
          <w:tcPr>
            <w:tcW w:type="dxa" w:w="2642"/>
            <w:tcMar>
              <w:top w:w="55" w:type="dxa"/>
              <w:start w:w="65" w:type="dxa"/>
              <w:bottom w:w="55" w:type="dxa"/>
              <w:end w:w="65" w:type="dxa"/>
            </w:tcMar>
            <w:vAlign w:val="center"/>
            <w:shd w:fill="F8FAFC"/>
          </w:tcPr>
          <w:p>
            <w:r>
              <w:rPr>
                <w:sz w:val="14"/>
              </w:rPr>
              <w:t>State threshold.</w:t>
            </w:r>
          </w:p>
        </w:tc>
      </w:tr>
      <w:tr>
        <w:trPr>
          <w:cantSplit/>
        </w:trPr>
        <w:tc>
          <w:tcPr>
            <w:tcW w:type="dxa" w:w="2642"/>
            <w:tcMar>
              <w:top w:w="55" w:type="dxa"/>
              <w:start w:w="65" w:type="dxa"/>
              <w:bottom w:w="55" w:type="dxa"/>
              <w:end w:w="65" w:type="dxa"/>
            </w:tcMar>
            <w:vAlign w:val="center"/>
          </w:tcPr>
          <w:p>
            <w:r>
              <w:rPr>
                <w:sz w:val="14"/>
              </w:rPr>
              <w:t>Prepayment</w:t>
            </w:r>
          </w:p>
        </w:tc>
        <w:tc>
          <w:tcPr>
            <w:tcW w:type="dxa" w:w="2642"/>
            <w:tcMar>
              <w:top w:w="55" w:type="dxa"/>
              <w:start w:w="65" w:type="dxa"/>
              <w:bottom w:w="55" w:type="dxa"/>
              <w:end w:w="65" w:type="dxa"/>
            </w:tcMar>
            <w:vAlign w:val="center"/>
          </w:tcPr>
          <w:p>
            <w:r>
              <w:rPr>
                <w:sz w:val="14"/>
              </w:rPr>
              <w:t>May require payment before completing.</w:t>
            </w:r>
          </w:p>
        </w:tc>
        <w:tc>
          <w:tcPr>
            <w:tcW w:type="dxa" w:w="2642"/>
            <w:tcMar>
              <w:top w:w="55" w:type="dxa"/>
              <w:start w:w="65" w:type="dxa"/>
              <w:bottom w:w="55" w:type="dxa"/>
              <w:end w:w="65" w:type="dxa"/>
            </w:tcMar>
            <w:vAlign w:val="center"/>
          </w:tcPr>
          <w:p>
            <w:r>
              <w:rPr>
                <w:sz w:val="14"/>
              </w:rPr>
              <w:t>Fee notice suspends completion obligation.</w:t>
            </w:r>
          </w:p>
        </w:tc>
        <w:tc>
          <w:tcPr>
            <w:tcW w:type="dxa" w:w="2642"/>
            <w:tcMar>
              <w:top w:w="55" w:type="dxa"/>
              <w:start w:w="65" w:type="dxa"/>
              <w:bottom w:w="55" w:type="dxa"/>
              <w:end w:w="65" w:type="dxa"/>
            </w:tcMar>
            <w:vAlign w:val="center"/>
          </w:tcPr>
          <w:p>
            <w:r>
              <w:rPr>
                <w:sz w:val="14"/>
              </w:rPr>
              <w:t>Payment state and 60-day closure.</w:t>
            </w:r>
          </w:p>
        </w:tc>
      </w:tr>
      <w:tr>
        <w:trPr>
          <w:cantSplit/>
        </w:trPr>
        <w:tc>
          <w:tcPr>
            <w:tcW w:type="dxa" w:w="2642"/>
            <w:tcMar>
              <w:top w:w="55" w:type="dxa"/>
              <w:start w:w="65" w:type="dxa"/>
              <w:bottom w:w="55" w:type="dxa"/>
              <w:end w:w="65" w:type="dxa"/>
            </w:tcMar>
            <w:vAlign w:val="center"/>
            <w:shd w:fill="F8FAFC"/>
          </w:tcPr>
          <w:p>
            <w:r>
              <w:rPr>
                <w:sz w:val="14"/>
              </w:rPr>
              <w:t>Attorney review</w:t>
            </w:r>
          </w:p>
        </w:tc>
        <w:tc>
          <w:tcPr>
            <w:tcW w:type="dxa" w:w="2642"/>
            <w:tcMar>
              <w:top w:w="55" w:type="dxa"/>
              <w:start w:w="65" w:type="dxa"/>
              <w:bottom w:w="55" w:type="dxa"/>
              <w:end w:w="65" w:type="dxa"/>
            </w:tcMar>
            <w:vAlign w:val="center"/>
            <w:shd w:fill="F8FAFC"/>
          </w:tcPr>
          <w:p>
            <w:r>
              <w:rPr>
                <w:sz w:val="14"/>
              </w:rPr>
              <w:t>May not charge public-body attorney time spent determining applicability of exemptions under general rule.</w:t>
            </w:r>
          </w:p>
        </w:tc>
        <w:tc>
          <w:tcPr>
            <w:tcW w:type="dxa" w:w="2642"/>
            <w:tcMar>
              <w:top w:w="55" w:type="dxa"/>
              <w:start w:w="65" w:type="dxa"/>
              <w:bottom w:w="55" w:type="dxa"/>
              <w:end w:w="65" w:type="dxa"/>
            </w:tcMar>
            <w:vAlign w:val="center"/>
            <w:shd w:fill="F8FAFC"/>
          </w:tcPr>
          <w:p>
            <w:r>
              <w:rPr>
                <w:sz w:val="14"/>
              </w:rPr>
              <w:t>Exclude from estimate/invoice.</w:t>
            </w:r>
          </w:p>
        </w:tc>
        <w:tc>
          <w:tcPr>
            <w:tcW w:type="dxa" w:w="2642"/>
            <w:tcMar>
              <w:top w:w="55" w:type="dxa"/>
              <w:start w:w="65" w:type="dxa"/>
              <w:bottom w:w="55" w:type="dxa"/>
              <w:end w:w="65" w:type="dxa"/>
            </w:tcMar>
            <w:vAlign w:val="center"/>
            <w:shd w:fill="F8FAFC"/>
          </w:tcPr>
          <w:p>
            <w:r>
              <w:rPr>
                <w:sz w:val="14"/>
              </w:rPr>
              <w:t>Activity billability flag.</w:t>
            </w:r>
          </w:p>
        </w:tc>
      </w:tr>
      <w:tr>
        <w:trPr>
          <w:cantSplit/>
        </w:trPr>
        <w:tc>
          <w:tcPr>
            <w:tcW w:type="dxa" w:w="2642"/>
            <w:tcMar>
              <w:top w:w="55" w:type="dxa"/>
              <w:start w:w="65" w:type="dxa"/>
              <w:bottom w:w="55" w:type="dxa"/>
              <w:end w:w="65" w:type="dxa"/>
            </w:tcMar>
            <w:vAlign w:val="center"/>
          </w:tcPr>
          <w:p>
            <w:r>
              <w:rPr>
                <w:sz w:val="14"/>
              </w:rPr>
              <w:t>Waiver/reduction</w:t>
            </w:r>
          </w:p>
        </w:tc>
        <w:tc>
          <w:tcPr>
            <w:tcW w:type="dxa" w:w="2642"/>
            <w:tcMar>
              <w:top w:w="55" w:type="dxa"/>
              <w:start w:w="65" w:type="dxa"/>
              <w:bottom w:w="55" w:type="dxa"/>
              <w:end w:w="65" w:type="dxa"/>
            </w:tcMar>
            <w:vAlign w:val="center"/>
          </w:tcPr>
          <w:p>
            <w:r>
              <w:rPr>
                <w:sz w:val="14"/>
              </w:rPr>
              <w:t>Available when public interest warrants; local procedure.</w:t>
            </w:r>
          </w:p>
        </w:tc>
        <w:tc>
          <w:tcPr>
            <w:tcW w:type="dxa" w:w="2642"/>
            <w:tcMar>
              <w:top w:w="55" w:type="dxa"/>
              <w:start w:w="65" w:type="dxa"/>
              <w:bottom w:w="55" w:type="dxa"/>
              <w:end w:w="65" w:type="dxa"/>
            </w:tcMar>
            <w:vAlign w:val="center"/>
          </w:tcPr>
          <w:p>
            <w:r>
              <w:rPr>
                <w:sz w:val="14"/>
              </w:rPr>
              <w:t>Decision before payment; denial may be reviewed.</w:t>
            </w:r>
          </w:p>
        </w:tc>
        <w:tc>
          <w:tcPr>
            <w:tcW w:type="dxa" w:w="2642"/>
            <w:tcMar>
              <w:top w:w="55" w:type="dxa"/>
              <w:start w:w="65" w:type="dxa"/>
              <w:bottom w:w="55" w:type="dxa"/>
              <w:end w:w="65" w:type="dxa"/>
            </w:tcMar>
            <w:vAlign w:val="center"/>
          </w:tcPr>
          <w:p>
            <w:r>
              <w:rPr>
                <w:sz w:val="14"/>
              </w:rPr>
              <w:t>Human determination.</w:t>
            </w:r>
          </w:p>
        </w:tc>
      </w:tr>
      <w:tr>
        <w:trPr>
          <w:cantSplit/>
        </w:trPr>
        <w:tc>
          <w:tcPr>
            <w:tcW w:type="dxa" w:w="2642"/>
            <w:tcMar>
              <w:top w:w="55" w:type="dxa"/>
              <w:start w:w="65" w:type="dxa"/>
              <w:bottom w:w="55" w:type="dxa"/>
              <w:end w:w="65" w:type="dxa"/>
            </w:tcMar>
            <w:vAlign w:val="center"/>
            <w:shd w:fill="F8FAFC"/>
          </w:tcPr>
          <w:p>
            <w:r>
              <w:rPr>
                <w:sz w:val="14"/>
              </w:rPr>
              <w:t>Reconciliation</w:t>
            </w:r>
          </w:p>
        </w:tc>
        <w:tc>
          <w:tcPr>
            <w:tcW w:type="dxa" w:w="2642"/>
            <w:tcMar>
              <w:top w:w="55" w:type="dxa"/>
              <w:start w:w="65" w:type="dxa"/>
              <w:bottom w:w="55" w:type="dxa"/>
              <w:end w:w="65" w:type="dxa"/>
            </w:tcMar>
            <w:vAlign w:val="center"/>
            <w:shd w:fill="F8FAFC"/>
          </w:tcPr>
          <w:p>
            <w:r>
              <w:rPr>
                <w:sz w:val="14"/>
              </w:rPr>
              <w:t>Actual cost may differ from estimate.</w:t>
            </w:r>
          </w:p>
        </w:tc>
        <w:tc>
          <w:tcPr>
            <w:tcW w:type="dxa" w:w="2642"/>
            <w:tcMar>
              <w:top w:w="55" w:type="dxa"/>
              <w:start w:w="65" w:type="dxa"/>
              <w:bottom w:w="55" w:type="dxa"/>
              <w:end w:w="65" w:type="dxa"/>
            </w:tcMar>
            <w:vAlign w:val="center"/>
            <w:shd w:fill="F8FAFC"/>
          </w:tcPr>
          <w:p>
            <w:r>
              <w:rPr>
                <w:sz w:val="14"/>
              </w:rPr>
              <w:t>Final invoice/refund under local policy.</w:t>
            </w:r>
          </w:p>
        </w:tc>
        <w:tc>
          <w:tcPr>
            <w:tcW w:type="dxa" w:w="2642"/>
            <w:tcMar>
              <w:top w:w="55" w:type="dxa"/>
              <w:start w:w="65" w:type="dxa"/>
              <w:bottom w:w="55" w:type="dxa"/>
              <w:end w:w="65" w:type="dxa"/>
            </w:tcMar>
            <w:vAlign w:val="center"/>
            <w:shd w:fill="F8FAFC"/>
          </w:tcPr>
          <w:p>
            <w:r>
              <w:rPr>
                <w:sz w:val="14"/>
              </w:rPr>
              <w:t>Store estimate basis and actual activities.</w:t>
            </w:r>
          </w:p>
        </w:tc>
      </w:tr>
    </w:tbl>
    <w:p>
      <w:pPr>
        <w:pStyle w:val="Heading1"/>
      </w:pPr>
      <w:r>
        <w:t>10. Normalized Software Rules</w:t>
      </w:r>
    </w:p>
    <w:tbl>
      <w:tblPr>
        <w:tblStyle w:val="TableGrid"/>
        <w:tblW w:type="auto" w:w="0"/>
        <w:jc w:val="center"/>
        <w:tblLayout w:type="autofit"/>
        <w:tblLook w:firstColumn="1" w:firstRow="1" w:lastColumn="0" w:lastRow="0" w:noHBand="0" w:noVBand="1" w:val="04A0"/>
      </w:tblPr>
      <w:tblGrid>
        <w:gridCol w:w="2114"/>
        <w:gridCol w:w="2114"/>
        <w:gridCol w:w="2114"/>
        <w:gridCol w:w="2114"/>
        <w:gridCol w:w="2114"/>
      </w:tblGrid>
      <w:tr>
        <w:trPr>
          <w:tblHeader w:val="true"/>
          <w:cantSplit/>
        </w:trPr>
        <w:tc>
          <w:tcPr>
            <w:tcW w:type="dxa" w:w="2114"/>
            <w:shd w:fill="17365D"/>
            <w:tcMar>
              <w:top w:w="55" w:type="dxa"/>
              <w:start w:w="65" w:type="dxa"/>
              <w:bottom w:w="55" w:type="dxa"/>
              <w:end w:w="65" w:type="dxa"/>
            </w:tcMar>
          </w:tcPr>
          <w:p>
            <w:pPr>
              <w:jc w:val="center"/>
            </w:pPr>
            <w:r>
              <w:rPr>
                <w:b/>
                <w:color w:val="FFFFFF"/>
                <w:sz w:val="13"/>
              </w:rPr>
              <w:t>Rule</w:t>
            </w:r>
          </w:p>
        </w:tc>
        <w:tc>
          <w:tcPr>
            <w:tcW w:type="dxa" w:w="2114"/>
            <w:shd w:fill="17365D"/>
            <w:tcMar>
              <w:top w:w="55" w:type="dxa"/>
              <w:start w:w="65" w:type="dxa"/>
              <w:bottom w:w="55" w:type="dxa"/>
              <w:end w:w="65" w:type="dxa"/>
            </w:tcMar>
          </w:tcPr>
          <w:p>
            <w:pPr>
              <w:jc w:val="center"/>
            </w:pPr>
            <w:r>
              <w:rPr>
                <w:b/>
                <w:color w:val="FFFFFF"/>
                <w:sz w:val="13"/>
              </w:rPr>
              <w:t>Trigger / conditions</w:t>
            </w:r>
          </w:p>
        </w:tc>
        <w:tc>
          <w:tcPr>
            <w:tcW w:type="dxa" w:w="2114"/>
            <w:shd w:fill="17365D"/>
            <w:tcMar>
              <w:top w:w="55" w:type="dxa"/>
              <w:start w:w="65" w:type="dxa"/>
              <w:bottom w:w="55" w:type="dxa"/>
              <w:end w:w="65" w:type="dxa"/>
            </w:tcMar>
          </w:tcPr>
          <w:p>
            <w:pPr>
              <w:jc w:val="center"/>
            </w:pPr>
            <w:r>
              <w:rPr>
                <w:b/>
                <w:color w:val="FFFFFF"/>
                <w:sz w:val="13"/>
              </w:rPr>
              <w:t>Required action &amp; communication</w:t>
            </w:r>
          </w:p>
        </w:tc>
        <w:tc>
          <w:tcPr>
            <w:tcW w:type="dxa" w:w="2114"/>
            <w:shd w:fill="17365D"/>
            <w:tcMar>
              <w:top w:w="55" w:type="dxa"/>
              <w:start w:w="65" w:type="dxa"/>
              <w:bottom w:w="55" w:type="dxa"/>
              <w:end w:w="65" w:type="dxa"/>
            </w:tcMar>
          </w:tcPr>
          <w:p>
            <w:pPr>
              <w:jc w:val="center"/>
            </w:pPr>
            <w:r>
              <w:rPr>
                <w:b/>
                <w:color w:val="FFFFFF"/>
                <w:sz w:val="13"/>
              </w:rPr>
              <w:t>Deadline / clock effect</w:t>
            </w:r>
          </w:p>
        </w:tc>
        <w:tc>
          <w:tcPr>
            <w:tcW w:type="dxa" w:w="2114"/>
            <w:shd w:fill="17365D"/>
            <w:tcMar>
              <w:top w:w="55" w:type="dxa"/>
              <w:start w:w="65" w:type="dxa"/>
              <w:bottom w:w="55" w:type="dxa"/>
              <w:end w:w="65" w:type="dxa"/>
            </w:tcMar>
          </w:tcPr>
          <w:p>
            <w:pPr>
              <w:jc w:val="center"/>
            </w:pPr>
            <w:r>
              <w:rPr>
                <w:b/>
                <w:color w:val="FFFFFF"/>
                <w:sz w:val="13"/>
              </w:rPr>
              <w:t>Configuration, applicability &amp; authority</w:t>
            </w:r>
          </w:p>
        </w:tc>
      </w:tr>
      <w:tr>
        <w:trPr>
          <w:cantSplit/>
        </w:trPr>
        <w:tc>
          <w:tcPr>
            <w:tcW w:type="dxa" w:w="2114"/>
            <w:tcMar>
              <w:top w:w="55" w:type="dxa"/>
              <w:start w:w="65" w:type="dxa"/>
              <w:bottom w:w="55" w:type="dxa"/>
              <w:end w:w="65" w:type="dxa"/>
            </w:tcMar>
            <w:vAlign w:val="center"/>
          </w:tcPr>
          <w:p>
            <w:r>
              <w:rPr>
                <w:sz w:val="13"/>
              </w:rPr>
              <w:t>OR-INT-01</w:t>
            </w:r>
          </w:p>
        </w:tc>
        <w:tc>
          <w:tcPr>
            <w:tcW w:type="dxa" w:w="2114"/>
            <w:tcMar>
              <w:top w:w="55" w:type="dxa"/>
              <w:start w:w="65" w:type="dxa"/>
              <w:bottom w:w="55" w:type="dxa"/>
              <w:end w:w="65" w:type="dxa"/>
            </w:tcMar>
            <w:vAlign w:val="center"/>
          </w:tcPr>
          <w:p>
            <w:r>
              <w:rPr>
                <w:sz w:val="13"/>
              </w:rPr>
              <w:t>Written request reaches designated individual.</w:t>
            </w:r>
          </w:p>
        </w:tc>
        <w:tc>
          <w:tcPr>
            <w:tcW w:type="dxa" w:w="2114"/>
            <w:tcMar>
              <w:top w:w="55" w:type="dxa"/>
              <w:start w:w="65" w:type="dxa"/>
              <w:bottom w:w="55" w:type="dxa"/>
              <w:end w:w="65" w:type="dxa"/>
            </w:tcMar>
            <w:vAlign w:val="center"/>
          </w:tcPr>
          <w:p>
            <w:r>
              <w:rPr>
                <w:sz w:val="13"/>
              </w:rPr>
              <w:t>Start acknowledgment timer; preserve effective receipt.</w:t>
            </w:r>
          </w:p>
        </w:tc>
        <w:tc>
          <w:tcPr>
            <w:tcW w:type="dxa" w:w="2114"/>
            <w:tcMar>
              <w:top w:w="55" w:type="dxa"/>
              <w:start w:w="65" w:type="dxa"/>
              <w:bottom w:w="55" w:type="dxa"/>
              <w:end w:w="65" w:type="dxa"/>
            </w:tcMar>
            <w:vAlign w:val="center"/>
          </w:tcPr>
          <w:p>
            <w:r>
              <w:rPr>
                <w:sz w:val="13"/>
              </w:rPr>
              <w:t>5 business days.</w:t>
            </w:r>
          </w:p>
        </w:tc>
        <w:tc>
          <w:tcPr>
            <w:tcW w:type="dxa" w:w="2114"/>
            <w:tcMar>
              <w:top w:w="55" w:type="dxa"/>
              <w:start w:w="65" w:type="dxa"/>
              <w:bottom w:w="55" w:type="dxa"/>
              <w:end w:w="65" w:type="dxa"/>
            </w:tcMar>
            <w:vAlign w:val="center"/>
          </w:tcPr>
          <w:p>
            <w:r>
              <w:rPr>
                <w:sz w:val="13"/>
              </w:rPr>
              <w:t>ORS 192.324.</w:t>
            </w:r>
          </w:p>
        </w:tc>
      </w:tr>
      <w:tr>
        <w:trPr>
          <w:cantSplit/>
        </w:trPr>
        <w:tc>
          <w:tcPr>
            <w:tcW w:type="dxa" w:w="2114"/>
            <w:tcMar>
              <w:top w:w="55" w:type="dxa"/>
              <w:start w:w="65" w:type="dxa"/>
              <w:bottom w:w="55" w:type="dxa"/>
              <w:end w:w="65" w:type="dxa"/>
            </w:tcMar>
            <w:vAlign w:val="center"/>
            <w:shd w:fill="F8FAFC"/>
          </w:tcPr>
          <w:p>
            <w:r>
              <w:rPr>
                <w:sz w:val="13"/>
              </w:rPr>
              <w:t>OR-ACK-01</w:t>
            </w:r>
          </w:p>
        </w:tc>
        <w:tc>
          <w:tcPr>
            <w:tcW w:type="dxa" w:w="2114"/>
            <w:tcMar>
              <w:top w:w="55" w:type="dxa"/>
              <w:start w:w="65" w:type="dxa"/>
              <w:bottom w:w="55" w:type="dxa"/>
              <w:end w:w="65" w:type="dxa"/>
            </w:tcMar>
            <w:vAlign w:val="center"/>
            <w:shd w:fill="F8FAFC"/>
          </w:tcPr>
          <w:p>
            <w:r>
              <w:rPr>
                <w:sz w:val="13"/>
              </w:rPr>
              <w:t>Request not completed within five days.</w:t>
            </w:r>
          </w:p>
        </w:tc>
        <w:tc>
          <w:tcPr>
            <w:tcW w:type="dxa" w:w="2114"/>
            <w:tcMar>
              <w:top w:w="55" w:type="dxa"/>
              <w:start w:w="65" w:type="dxa"/>
              <w:bottom w:w="55" w:type="dxa"/>
              <w:end w:w="65" w:type="dxa"/>
            </w:tcMar>
            <w:vAlign w:val="center"/>
            <w:shd w:fill="F8FAFC"/>
          </w:tcPr>
          <w:p>
            <w:r>
              <w:rPr>
                <w:sz w:val="13"/>
              </w:rPr>
              <w:t>Send statutory acknowledgment addressing custody status.</w:t>
            </w:r>
          </w:p>
        </w:tc>
        <w:tc>
          <w:tcPr>
            <w:tcW w:type="dxa" w:w="2114"/>
            <w:tcMar>
              <w:top w:w="55" w:type="dxa"/>
              <w:start w:w="65" w:type="dxa"/>
              <w:bottom w:w="55" w:type="dxa"/>
              <w:end w:w="65" w:type="dxa"/>
            </w:tcMar>
            <w:vAlign w:val="center"/>
            <w:shd w:fill="F8FAFC"/>
          </w:tcPr>
          <w:p>
            <w:r>
              <w:rPr>
                <w:sz w:val="13"/>
              </w:rPr>
              <w:t>Within 5 business days.</w:t>
            </w:r>
          </w:p>
        </w:tc>
        <w:tc>
          <w:tcPr>
            <w:tcW w:type="dxa" w:w="2114"/>
            <w:tcMar>
              <w:top w:w="55" w:type="dxa"/>
              <w:start w:w="65" w:type="dxa"/>
              <w:bottom w:w="55" w:type="dxa"/>
              <w:end w:w="65" w:type="dxa"/>
            </w:tcMar>
            <w:vAlign w:val="center"/>
            <w:shd w:fill="F8FAFC"/>
          </w:tcPr>
          <w:p>
            <w:r>
              <w:rPr>
                <w:sz w:val="13"/>
              </w:rPr>
              <w:t>Mandatory.</w:t>
            </w:r>
          </w:p>
        </w:tc>
      </w:tr>
      <w:tr>
        <w:trPr>
          <w:cantSplit/>
        </w:trPr>
        <w:tc>
          <w:tcPr>
            <w:tcW w:type="dxa" w:w="2114"/>
            <w:tcMar>
              <w:top w:w="55" w:type="dxa"/>
              <w:start w:w="65" w:type="dxa"/>
              <w:bottom w:w="55" w:type="dxa"/>
              <w:end w:w="65" w:type="dxa"/>
            </w:tcMar>
            <w:vAlign w:val="center"/>
          </w:tcPr>
          <w:p>
            <w:r>
              <w:rPr>
                <w:sz w:val="13"/>
              </w:rPr>
              <w:t>OR-COMP-01</w:t>
            </w:r>
          </w:p>
        </w:tc>
        <w:tc>
          <w:tcPr>
            <w:tcW w:type="dxa" w:w="2114"/>
            <w:tcMar>
              <w:top w:w="55" w:type="dxa"/>
              <w:start w:w="65" w:type="dxa"/>
              <w:bottom w:w="55" w:type="dxa"/>
              <w:end w:w="65" w:type="dxa"/>
            </w:tcMar>
            <w:vAlign w:val="center"/>
          </w:tcPr>
          <w:p>
            <w:r>
              <w:rPr>
                <w:sz w:val="13"/>
              </w:rPr>
              <w:t>Acknowledgment deadline reached.</w:t>
            </w:r>
          </w:p>
        </w:tc>
        <w:tc>
          <w:tcPr>
            <w:tcW w:type="dxa" w:w="2114"/>
            <w:tcMar>
              <w:top w:w="55" w:type="dxa"/>
              <w:start w:w="65" w:type="dxa"/>
              <w:bottom w:w="55" w:type="dxa"/>
              <w:end w:w="65" w:type="dxa"/>
            </w:tcMar>
            <w:vAlign w:val="center"/>
          </w:tcPr>
          <w:p>
            <w:r>
              <w:rPr>
                <w:sz w:val="13"/>
              </w:rPr>
              <w:t>Complete or send still-processing statement with reasonable estimated date.</w:t>
            </w:r>
          </w:p>
        </w:tc>
        <w:tc>
          <w:tcPr>
            <w:tcW w:type="dxa" w:w="2114"/>
            <w:tcMar>
              <w:top w:w="55" w:type="dxa"/>
              <w:start w:w="65" w:type="dxa"/>
              <w:bottom w:w="55" w:type="dxa"/>
              <w:end w:w="65" w:type="dxa"/>
            </w:tcMar>
            <w:vAlign w:val="center"/>
          </w:tcPr>
          <w:p>
            <w:r>
              <w:rPr>
                <w:sz w:val="13"/>
              </w:rPr>
              <w:t>No later than 10 business days after acknowledgment deadline.</w:t>
            </w:r>
          </w:p>
        </w:tc>
        <w:tc>
          <w:tcPr>
            <w:tcW w:type="dxa" w:w="2114"/>
            <w:tcMar>
              <w:top w:w="55" w:type="dxa"/>
              <w:start w:w="65" w:type="dxa"/>
              <w:bottom w:w="55" w:type="dxa"/>
              <w:end w:w="65" w:type="dxa"/>
            </w:tcMar>
            <w:vAlign w:val="center"/>
          </w:tcPr>
          <w:p>
            <w:r>
              <w:rPr>
                <w:sz w:val="13"/>
              </w:rPr>
              <w:t>ORS 192.329(5).</w:t>
            </w:r>
          </w:p>
        </w:tc>
      </w:tr>
      <w:tr>
        <w:trPr>
          <w:cantSplit/>
        </w:trPr>
        <w:tc>
          <w:tcPr>
            <w:tcW w:type="dxa" w:w="2114"/>
            <w:tcMar>
              <w:top w:w="55" w:type="dxa"/>
              <w:start w:w="65" w:type="dxa"/>
              <w:bottom w:w="55" w:type="dxa"/>
              <w:end w:w="65" w:type="dxa"/>
            </w:tcMar>
            <w:vAlign w:val="center"/>
            <w:shd w:fill="F8FAFC"/>
          </w:tcPr>
          <w:p>
            <w:r>
              <w:rPr>
                <w:sz w:val="13"/>
              </w:rPr>
              <w:t>OR-FEE-01</w:t>
            </w:r>
          </w:p>
        </w:tc>
        <w:tc>
          <w:tcPr>
            <w:tcW w:type="dxa" w:w="2114"/>
            <w:tcMar>
              <w:top w:w="55" w:type="dxa"/>
              <w:start w:w="65" w:type="dxa"/>
              <w:bottom w:w="55" w:type="dxa"/>
              <w:end w:w="65" w:type="dxa"/>
            </w:tcMar>
            <w:vAlign w:val="center"/>
            <w:shd w:fill="F8FAFC"/>
          </w:tcPr>
          <w:p>
            <w:r>
              <w:rPr>
                <w:sz w:val="13"/>
              </w:rPr>
              <w:t>Estimated fee &gt;$25.</w:t>
            </w:r>
          </w:p>
        </w:tc>
        <w:tc>
          <w:tcPr>
            <w:tcW w:type="dxa" w:w="2114"/>
            <w:tcMar>
              <w:top w:w="55" w:type="dxa"/>
              <w:start w:w="65" w:type="dxa"/>
              <w:bottom w:w="55" w:type="dxa"/>
              <w:end w:w="65" w:type="dxa"/>
            </w:tcMar>
            <w:vAlign w:val="center"/>
            <w:shd w:fill="F8FAFC"/>
          </w:tcPr>
          <w:p>
            <w:r>
              <w:rPr>
                <w:sz w:val="13"/>
              </w:rPr>
              <w:t>Send written estimate and obtain confirmation; apply payment/waiver branch.</w:t>
            </w:r>
          </w:p>
        </w:tc>
        <w:tc>
          <w:tcPr>
            <w:tcW w:type="dxa" w:w="2114"/>
            <w:tcMar>
              <w:top w:w="55" w:type="dxa"/>
              <w:start w:w="65" w:type="dxa"/>
              <w:bottom w:w="55" w:type="dxa"/>
              <w:end w:w="65" w:type="dxa"/>
            </w:tcMar>
            <w:vAlign w:val="center"/>
            <w:shd w:fill="F8FAFC"/>
          </w:tcPr>
          <w:p>
            <w:r>
              <w:rPr>
                <w:sz w:val="13"/>
              </w:rPr>
              <w:t>Before proceeding.</w:t>
            </w:r>
          </w:p>
        </w:tc>
        <w:tc>
          <w:tcPr>
            <w:tcW w:type="dxa" w:w="2114"/>
            <w:tcMar>
              <w:top w:w="55" w:type="dxa"/>
              <w:start w:w="65" w:type="dxa"/>
              <w:bottom w:w="55" w:type="dxa"/>
              <w:end w:w="65" w:type="dxa"/>
            </w:tcMar>
            <w:vAlign w:val="center"/>
            <w:shd w:fill="F8FAFC"/>
          </w:tcPr>
          <w:p>
            <w:r>
              <w:rPr>
                <w:sz w:val="13"/>
              </w:rPr>
              <w:t>ORS 192.324(4).</w:t>
            </w:r>
          </w:p>
        </w:tc>
      </w:tr>
      <w:tr>
        <w:trPr>
          <w:cantSplit/>
        </w:trPr>
        <w:tc>
          <w:tcPr>
            <w:tcW w:type="dxa" w:w="2114"/>
            <w:tcMar>
              <w:top w:w="55" w:type="dxa"/>
              <w:start w:w="65" w:type="dxa"/>
              <w:bottom w:w="55" w:type="dxa"/>
              <w:end w:w="65" w:type="dxa"/>
            </w:tcMar>
            <w:vAlign w:val="center"/>
          </w:tcPr>
          <w:p>
            <w:r>
              <w:rPr>
                <w:sz w:val="13"/>
              </w:rPr>
              <w:t>OR-SUS-01</w:t>
            </w:r>
          </w:p>
        </w:tc>
        <w:tc>
          <w:tcPr>
            <w:tcW w:type="dxa" w:w="2114"/>
            <w:tcMar>
              <w:top w:w="55" w:type="dxa"/>
              <w:start w:w="65" w:type="dxa"/>
              <w:bottom w:w="55" w:type="dxa"/>
              <w:end w:w="65" w:type="dxa"/>
            </w:tcMar>
            <w:vAlign w:val="center"/>
          </w:tcPr>
          <w:p>
            <w:r>
              <w:rPr>
                <w:sz w:val="13"/>
              </w:rPr>
              <w:t>Fee notice outstanding.</w:t>
            </w:r>
          </w:p>
        </w:tc>
        <w:tc>
          <w:tcPr>
            <w:tcW w:type="dxa" w:w="2114"/>
            <w:tcMar>
              <w:top w:w="55" w:type="dxa"/>
              <w:start w:w="65" w:type="dxa"/>
              <w:bottom w:w="55" w:type="dxa"/>
              <w:end w:w="65" w:type="dxa"/>
            </w:tcMar>
            <w:vAlign w:val="center"/>
          </w:tcPr>
          <w:p>
            <w:r>
              <w:rPr>
                <w:sz w:val="13"/>
              </w:rPr>
              <w:t>Suspend completion obligation and start 60-day closure timer.</w:t>
            </w:r>
          </w:p>
        </w:tc>
        <w:tc>
          <w:tcPr>
            <w:tcW w:type="dxa" w:w="2114"/>
            <w:tcMar>
              <w:top w:w="55" w:type="dxa"/>
              <w:start w:w="65" w:type="dxa"/>
              <w:bottom w:w="55" w:type="dxa"/>
              <w:end w:w="65" w:type="dxa"/>
            </w:tcMar>
            <w:vAlign w:val="center"/>
          </w:tcPr>
          <w:p>
            <w:r>
              <w:rPr>
                <w:sz w:val="13"/>
              </w:rPr>
              <w:t>Until payment/waiver; close at 60 days.</w:t>
            </w:r>
          </w:p>
        </w:tc>
        <w:tc>
          <w:tcPr>
            <w:tcW w:type="dxa" w:w="2114"/>
            <w:tcMar>
              <w:top w:w="55" w:type="dxa"/>
              <w:start w:w="65" w:type="dxa"/>
              <w:bottom w:w="55" w:type="dxa"/>
              <w:end w:w="65" w:type="dxa"/>
            </w:tcMar>
            <w:vAlign w:val="center"/>
          </w:tcPr>
          <w:p>
            <w:r>
              <w:rPr>
                <w:sz w:val="13"/>
              </w:rPr>
              <w:t>ORS 192.329(3).</w:t>
            </w:r>
          </w:p>
        </w:tc>
      </w:tr>
      <w:tr>
        <w:trPr>
          <w:cantSplit/>
        </w:trPr>
        <w:tc>
          <w:tcPr>
            <w:tcW w:type="dxa" w:w="2114"/>
            <w:tcMar>
              <w:top w:w="55" w:type="dxa"/>
              <w:start w:w="65" w:type="dxa"/>
              <w:bottom w:w="55" w:type="dxa"/>
              <w:end w:w="65" w:type="dxa"/>
            </w:tcMar>
            <w:vAlign w:val="center"/>
            <w:shd w:fill="F8FAFC"/>
          </w:tcPr>
          <w:p>
            <w:r>
              <w:rPr>
                <w:sz w:val="13"/>
              </w:rPr>
              <w:t>OR-SUS-02</w:t>
            </w:r>
          </w:p>
        </w:tc>
        <w:tc>
          <w:tcPr>
            <w:tcW w:type="dxa" w:w="2114"/>
            <w:tcMar>
              <w:top w:w="55" w:type="dxa"/>
              <w:start w:w="65" w:type="dxa"/>
              <w:bottom w:w="55" w:type="dxa"/>
              <w:end w:w="65" w:type="dxa"/>
            </w:tcMar>
            <w:vAlign w:val="center"/>
            <w:shd w:fill="F8FAFC"/>
          </w:tcPr>
          <w:p>
            <w:r>
              <w:rPr>
                <w:sz w:val="13"/>
              </w:rPr>
              <w:t>Good-faith clarification outstanding.</w:t>
            </w:r>
          </w:p>
        </w:tc>
        <w:tc>
          <w:tcPr>
            <w:tcW w:type="dxa" w:w="2114"/>
            <w:tcMar>
              <w:top w:w="55" w:type="dxa"/>
              <w:start w:w="65" w:type="dxa"/>
              <w:bottom w:w="55" w:type="dxa"/>
              <w:end w:w="65" w:type="dxa"/>
            </w:tcMar>
            <w:vAlign w:val="center"/>
            <w:shd w:fill="F8FAFC"/>
          </w:tcPr>
          <w:p>
            <w:r>
              <w:rPr>
                <w:sz w:val="13"/>
              </w:rPr>
              <w:t>Suspend completion obligation and start 60-day closure timer.</w:t>
            </w:r>
          </w:p>
        </w:tc>
        <w:tc>
          <w:tcPr>
            <w:tcW w:type="dxa" w:w="2114"/>
            <w:tcMar>
              <w:top w:w="55" w:type="dxa"/>
              <w:start w:w="65" w:type="dxa"/>
              <w:bottom w:w="55" w:type="dxa"/>
              <w:end w:w="65" w:type="dxa"/>
            </w:tcMar>
            <w:vAlign w:val="center"/>
            <w:shd w:fill="F8FAFC"/>
          </w:tcPr>
          <w:p>
            <w:r>
              <w:rPr>
                <w:sz w:val="13"/>
              </w:rPr>
              <w:t>Until response/decline; close at 60 days.</w:t>
            </w:r>
          </w:p>
        </w:tc>
        <w:tc>
          <w:tcPr>
            <w:tcW w:type="dxa" w:w="2114"/>
            <w:tcMar>
              <w:top w:w="55" w:type="dxa"/>
              <w:start w:w="65" w:type="dxa"/>
              <w:bottom w:w="55" w:type="dxa"/>
              <w:end w:w="65" w:type="dxa"/>
            </w:tcMar>
            <w:vAlign w:val="center"/>
            <w:shd w:fill="F8FAFC"/>
          </w:tcPr>
          <w:p>
            <w:r>
              <w:rPr>
                <w:sz w:val="13"/>
              </w:rPr>
              <w:t>ORS 192.329(4).</w:t>
            </w:r>
          </w:p>
        </w:tc>
      </w:tr>
      <w:tr>
        <w:trPr>
          <w:cantSplit/>
        </w:trPr>
        <w:tc>
          <w:tcPr>
            <w:tcW w:type="dxa" w:w="2114"/>
            <w:tcMar>
              <w:top w:w="55" w:type="dxa"/>
              <w:start w:w="65" w:type="dxa"/>
              <w:bottom w:w="55" w:type="dxa"/>
              <w:end w:w="65" w:type="dxa"/>
            </w:tcMar>
            <w:vAlign w:val="center"/>
          </w:tcPr>
          <w:p>
            <w:r>
              <w:rPr>
                <w:sz w:val="13"/>
              </w:rPr>
              <w:t>OR-DEN-01</w:t>
            </w:r>
          </w:p>
        </w:tc>
        <w:tc>
          <w:tcPr>
            <w:tcW w:type="dxa" w:w="2114"/>
            <w:tcMar>
              <w:top w:w="55" w:type="dxa"/>
              <w:start w:w="65" w:type="dxa"/>
              <w:bottom w:w="55" w:type="dxa"/>
              <w:end w:w="65" w:type="dxa"/>
            </w:tcMar>
            <w:vAlign w:val="center"/>
          </w:tcPr>
          <w:p>
            <w:r>
              <w:rPr>
                <w:sz w:val="13"/>
              </w:rPr>
              <w:t>Complete response with withheld material.</w:t>
            </w:r>
          </w:p>
        </w:tc>
        <w:tc>
          <w:tcPr>
            <w:tcW w:type="dxa" w:w="2114"/>
            <w:tcMar>
              <w:top w:w="55" w:type="dxa"/>
              <w:start w:w="65" w:type="dxa"/>
              <w:bottom w:w="55" w:type="dxa"/>
              <w:end w:w="65" w:type="dxa"/>
            </w:tcMar>
            <w:vAlign w:val="center"/>
          </w:tcPr>
          <w:p>
            <w:r>
              <w:rPr>
                <w:sz w:val="13"/>
              </w:rPr>
              <w:t>Assert exemptions/citations as required, segregate, and include review rights.</w:t>
            </w:r>
          </w:p>
        </w:tc>
        <w:tc>
          <w:tcPr>
            <w:tcW w:type="dxa" w:w="2114"/>
            <w:tcMar>
              <w:top w:w="55" w:type="dxa"/>
              <w:start w:w="65" w:type="dxa"/>
              <w:bottom w:w="55" w:type="dxa"/>
              <w:end w:w="65" w:type="dxa"/>
            </w:tcMar>
            <w:vAlign w:val="center"/>
          </w:tcPr>
          <w:p>
            <w:r>
              <w:rPr>
                <w:sz w:val="13"/>
              </w:rPr>
              <w:t>At complete response.</w:t>
            </w:r>
          </w:p>
        </w:tc>
        <w:tc>
          <w:tcPr>
            <w:tcW w:type="dxa" w:w="2114"/>
            <w:tcMar>
              <w:top w:w="55" w:type="dxa"/>
              <w:start w:w="65" w:type="dxa"/>
              <w:bottom w:w="55" w:type="dxa"/>
              <w:end w:w="65" w:type="dxa"/>
            </w:tcMar>
            <w:vAlign w:val="center"/>
          </w:tcPr>
          <w:p>
            <w:r>
              <w:rPr>
                <w:sz w:val="13"/>
              </w:rPr>
              <w:t>ORS 192.329(2), 192.338.</w:t>
            </w:r>
          </w:p>
        </w:tc>
      </w:tr>
      <w:tr>
        <w:trPr>
          <w:cantSplit/>
        </w:trPr>
        <w:tc>
          <w:tcPr>
            <w:tcW w:type="dxa" w:w="2114"/>
            <w:tcMar>
              <w:top w:w="55" w:type="dxa"/>
              <w:start w:w="65" w:type="dxa"/>
              <w:bottom w:w="55" w:type="dxa"/>
              <w:end w:w="65" w:type="dxa"/>
            </w:tcMar>
            <w:vAlign w:val="center"/>
            <w:shd w:fill="F8FAFC"/>
          </w:tcPr>
          <w:p>
            <w:r>
              <w:rPr>
                <w:sz w:val="13"/>
              </w:rPr>
              <w:t>OR-IMP-01</w:t>
            </w:r>
          </w:p>
        </w:tc>
        <w:tc>
          <w:tcPr>
            <w:tcW w:type="dxa" w:w="2114"/>
            <w:tcMar>
              <w:top w:w="55" w:type="dxa"/>
              <w:start w:w="65" w:type="dxa"/>
              <w:bottom w:w="55" w:type="dxa"/>
              <w:end w:w="65" w:type="dxa"/>
            </w:tcMar>
            <w:vAlign w:val="center"/>
            <w:shd w:fill="F8FAFC"/>
          </w:tcPr>
          <w:p>
            <w:r>
              <w:rPr>
                <w:sz w:val="13"/>
              </w:rPr>
              <w:t>Statutory impracticability facts exist.</w:t>
            </w:r>
          </w:p>
        </w:tc>
        <w:tc>
          <w:tcPr>
            <w:tcW w:type="dxa" w:w="2114"/>
            <w:tcMar>
              <w:top w:w="55" w:type="dxa"/>
              <w:start w:w="65" w:type="dxa"/>
              <w:bottom w:w="55" w:type="dxa"/>
              <w:end w:w="65" w:type="dxa"/>
            </w:tcMar>
            <w:vAlign w:val="center"/>
            <w:shd w:fill="F8FAFC"/>
          </w:tcPr>
          <w:p>
            <w:r>
              <w:rPr>
                <w:sz w:val="13"/>
              </w:rPr>
              <w:t>Document reason and process as soon as practicable without unreasonable delay.</w:t>
            </w:r>
          </w:p>
        </w:tc>
        <w:tc>
          <w:tcPr>
            <w:tcW w:type="dxa" w:w="2114"/>
            <w:tcMar>
              <w:top w:w="55" w:type="dxa"/>
              <w:start w:w="65" w:type="dxa"/>
              <w:bottom w:w="55" w:type="dxa"/>
              <w:end w:w="65" w:type="dxa"/>
            </w:tcMar>
            <w:vAlign w:val="center"/>
            <w:shd w:fill="F8FAFC"/>
          </w:tcPr>
          <w:p>
            <w:r>
              <w:rPr>
                <w:sz w:val="13"/>
              </w:rPr>
              <w:t>Exception to numeric periods.</w:t>
            </w:r>
          </w:p>
        </w:tc>
        <w:tc>
          <w:tcPr>
            <w:tcW w:type="dxa" w:w="2114"/>
            <w:tcMar>
              <w:top w:w="55" w:type="dxa"/>
              <w:start w:w="65" w:type="dxa"/>
              <w:bottom w:w="55" w:type="dxa"/>
              <w:end w:w="65" w:type="dxa"/>
            </w:tcMar>
            <w:vAlign w:val="center"/>
            <w:shd w:fill="F8FAFC"/>
          </w:tcPr>
          <w:p>
            <w:r>
              <w:rPr>
                <w:sz w:val="13"/>
              </w:rPr>
              <w:t>Human determination; statutory factors.</w:t>
            </w:r>
          </w:p>
        </w:tc>
      </w:tr>
    </w:tbl>
    <w:p>
      <w:pPr>
        <w:pStyle w:val="Heading1"/>
      </w:pPr>
      <w:r>
        <w:t>11. Jurisdiction-Configuration Fields</w:t>
      </w:r>
    </w:p>
    <w:tbl>
      <w:tblPr>
        <w:tblStyle w:val="TableGrid"/>
        <w:tblW w:type="auto" w:w="0"/>
        <w:jc w:val="center"/>
        <w:tblLayout w:type="autofit"/>
        <w:tblLook w:firstColumn="1" w:firstRow="1" w:lastColumn="0" w:lastRow="0" w:noHBand="0" w:noVBand="1" w:val="04A0"/>
      </w:tblPr>
      <w:tblGrid>
        <w:gridCol w:w="2642"/>
        <w:gridCol w:w="2642"/>
        <w:gridCol w:w="2642"/>
        <w:gridCol w:w="2642"/>
      </w:tblGrid>
      <w:tr>
        <w:trPr>
          <w:tblHeader w:val="true"/>
          <w:cantSplit/>
        </w:trPr>
        <w:tc>
          <w:tcPr>
            <w:tcW w:type="dxa" w:w="2642"/>
            <w:shd w:fill="17365D"/>
            <w:tcMar>
              <w:top w:w="55" w:type="dxa"/>
              <w:start w:w="65" w:type="dxa"/>
              <w:bottom w:w="55" w:type="dxa"/>
              <w:end w:w="65" w:type="dxa"/>
            </w:tcMar>
          </w:tcPr>
          <w:p>
            <w:pPr>
              <w:jc w:val="center"/>
            </w:pPr>
            <w:r>
              <w:rPr>
                <w:b/>
                <w:color w:val="FFFFFF"/>
                <w:sz w:val="14"/>
              </w:rPr>
              <w:t>Configuration field</w:t>
            </w:r>
          </w:p>
        </w:tc>
        <w:tc>
          <w:tcPr>
            <w:tcW w:type="dxa" w:w="2642"/>
            <w:shd w:fill="17365D"/>
            <w:tcMar>
              <w:top w:w="55" w:type="dxa"/>
              <w:start w:w="65" w:type="dxa"/>
              <w:bottom w:w="55" w:type="dxa"/>
              <w:end w:w="65" w:type="dxa"/>
            </w:tcMar>
          </w:tcPr>
          <w:p>
            <w:pPr>
              <w:jc w:val="center"/>
            </w:pPr>
            <w:r>
              <w:rPr>
                <w:b/>
                <w:color w:val="FFFFFF"/>
                <w:sz w:val="14"/>
              </w:rPr>
              <w:t>Source type</w:t>
            </w:r>
          </w:p>
        </w:tc>
        <w:tc>
          <w:tcPr>
            <w:tcW w:type="dxa" w:w="2642"/>
            <w:shd w:fill="17365D"/>
            <w:tcMar>
              <w:top w:w="55" w:type="dxa"/>
              <w:start w:w="65" w:type="dxa"/>
              <w:bottom w:w="55" w:type="dxa"/>
              <w:end w:w="65" w:type="dxa"/>
            </w:tcMar>
          </w:tcPr>
          <w:p>
            <w:pPr>
              <w:jc w:val="center"/>
            </w:pPr>
            <w:r>
              <w:rPr>
                <w:b/>
                <w:color w:val="FFFFFF"/>
                <w:sz w:val="14"/>
              </w:rPr>
              <w:t>Value / permitted setting</w:t>
            </w:r>
          </w:p>
        </w:tc>
        <w:tc>
          <w:tcPr>
            <w:tcW w:type="dxa" w:w="2642"/>
            <w:shd w:fill="17365D"/>
            <w:tcMar>
              <w:top w:w="55" w:type="dxa"/>
              <w:start w:w="65" w:type="dxa"/>
              <w:bottom w:w="55" w:type="dxa"/>
              <w:end w:w="65" w:type="dxa"/>
            </w:tcMar>
          </w:tcPr>
          <w:p>
            <w:pPr>
              <w:jc w:val="center"/>
            </w:pPr>
            <w:r>
              <w:rPr>
                <w:b/>
                <w:color w:val="FFFFFF"/>
                <w:sz w:val="14"/>
              </w:rPr>
              <w:t>Implementation note</w:t>
            </w:r>
          </w:p>
        </w:tc>
      </w:tr>
      <w:tr>
        <w:trPr>
          <w:cantSplit/>
        </w:trPr>
        <w:tc>
          <w:tcPr>
            <w:tcW w:type="dxa" w:w="2642"/>
            <w:tcMar>
              <w:top w:w="55" w:type="dxa"/>
              <w:start w:w="65" w:type="dxa"/>
              <w:bottom w:w="55" w:type="dxa"/>
              <w:end w:w="65" w:type="dxa"/>
            </w:tcMar>
            <w:vAlign w:val="center"/>
          </w:tcPr>
          <w:p>
            <w:r>
              <w:rPr>
                <w:sz w:val="14"/>
              </w:rPr>
              <w:t>Designated request individual</w:t>
            </w:r>
          </w:p>
        </w:tc>
        <w:tc>
          <w:tcPr>
            <w:tcW w:type="dxa" w:w="2642"/>
            <w:tcMar>
              <w:top w:w="55" w:type="dxa"/>
              <w:start w:w="65" w:type="dxa"/>
              <w:bottom w:w="55" w:type="dxa"/>
              <w:end w:w="65" w:type="dxa"/>
            </w:tcMar>
            <w:vAlign w:val="center"/>
          </w:tcPr>
          <w:p>
            <w:r>
              <w:rPr>
                <w:sz w:val="14"/>
              </w:rPr>
              <w:t>Local procedure</w:t>
            </w:r>
          </w:p>
        </w:tc>
        <w:tc>
          <w:tcPr>
            <w:tcW w:type="dxa" w:w="2642"/>
            <w:tcMar>
              <w:top w:w="55" w:type="dxa"/>
              <w:start w:w="65" w:type="dxa"/>
              <w:bottom w:w="55" w:type="dxa"/>
              <w:end w:w="65" w:type="dxa"/>
            </w:tcMar>
            <w:vAlign w:val="center"/>
          </w:tcPr>
          <w:p>
            <w:r>
              <w:rPr>
                <w:sz w:val="14"/>
              </w:rPr>
              <w:t>Name/role/channels/after-hours receipt.</w:t>
            </w:r>
          </w:p>
        </w:tc>
        <w:tc>
          <w:tcPr>
            <w:tcW w:type="dxa" w:w="2642"/>
            <w:tcMar>
              <w:top w:w="55" w:type="dxa"/>
              <w:start w:w="65" w:type="dxa"/>
              <w:bottom w:w="55" w:type="dxa"/>
              <w:end w:w="65" w:type="dxa"/>
            </w:tcMar>
            <w:vAlign w:val="center"/>
          </w:tcPr>
          <w:p>
            <w:r>
              <w:rPr>
                <w:sz w:val="14"/>
              </w:rPr>
              <w:t>Controls statutory receipt.</w:t>
            </w:r>
          </w:p>
        </w:tc>
      </w:tr>
      <w:tr>
        <w:trPr>
          <w:cantSplit/>
        </w:trPr>
        <w:tc>
          <w:tcPr>
            <w:tcW w:type="dxa" w:w="2642"/>
            <w:tcMar>
              <w:top w:w="55" w:type="dxa"/>
              <w:start w:w="65" w:type="dxa"/>
              <w:bottom w:w="55" w:type="dxa"/>
              <w:end w:w="65" w:type="dxa"/>
            </w:tcMar>
            <w:vAlign w:val="center"/>
            <w:shd w:fill="F8FAFC"/>
          </w:tcPr>
          <w:p>
            <w:r>
              <w:rPr>
                <w:sz w:val="14"/>
              </w:rPr>
              <w:t>Business-day calendar</w:t>
            </w:r>
          </w:p>
        </w:tc>
        <w:tc>
          <w:tcPr>
            <w:tcW w:type="dxa" w:w="2642"/>
            <w:tcMar>
              <w:top w:w="55" w:type="dxa"/>
              <w:start w:w="65" w:type="dxa"/>
              <w:bottom w:w="55" w:type="dxa"/>
              <w:end w:w="65" w:type="dxa"/>
            </w:tcMar>
            <w:vAlign w:val="center"/>
            <w:shd w:fill="F8FAFC"/>
          </w:tcPr>
          <w:p>
            <w:r>
              <w:rPr>
                <w:sz w:val="14"/>
              </w:rPr>
              <w:t>State/local</w:t>
            </w:r>
          </w:p>
        </w:tc>
        <w:tc>
          <w:tcPr>
            <w:tcW w:type="dxa" w:w="2642"/>
            <w:tcMar>
              <w:top w:w="55" w:type="dxa"/>
              <w:start w:w="65" w:type="dxa"/>
              <w:bottom w:w="55" w:type="dxa"/>
              <w:end w:w="65" w:type="dxa"/>
            </w:tcMar>
            <w:vAlign w:val="center"/>
            <w:shd w:fill="F8FAFC"/>
          </w:tcPr>
          <w:p>
            <w:r>
              <w:rPr>
                <w:sz w:val="14"/>
              </w:rPr>
              <w:t>Holidays and closures.</w:t>
            </w:r>
          </w:p>
        </w:tc>
        <w:tc>
          <w:tcPr>
            <w:tcW w:type="dxa" w:w="2642"/>
            <w:tcMar>
              <w:top w:w="55" w:type="dxa"/>
              <w:start w:w="65" w:type="dxa"/>
              <w:bottom w:w="55" w:type="dxa"/>
              <w:end w:w="65" w:type="dxa"/>
            </w:tcMar>
            <w:vAlign w:val="center"/>
            <w:shd w:fill="F8FAFC"/>
          </w:tcPr>
          <w:p>
            <w:r>
              <w:rPr>
                <w:sz w:val="14"/>
              </w:rPr>
              <w:t>5- and 10-day timers.</w:t>
            </w:r>
          </w:p>
        </w:tc>
      </w:tr>
      <w:tr>
        <w:trPr>
          <w:cantSplit/>
        </w:trPr>
        <w:tc>
          <w:tcPr>
            <w:tcW w:type="dxa" w:w="2642"/>
            <w:tcMar>
              <w:top w:w="55" w:type="dxa"/>
              <w:start w:w="65" w:type="dxa"/>
              <w:bottom w:w="55" w:type="dxa"/>
              <w:end w:w="65" w:type="dxa"/>
            </w:tcMar>
            <w:vAlign w:val="center"/>
          </w:tcPr>
          <w:p>
            <w:r>
              <w:rPr>
                <w:sz w:val="14"/>
              </w:rPr>
              <w:t>Acknowledgment content</w:t>
            </w:r>
          </w:p>
        </w:tc>
        <w:tc>
          <w:tcPr>
            <w:tcW w:type="dxa" w:w="2642"/>
            <w:tcMar>
              <w:top w:w="55" w:type="dxa"/>
              <w:start w:w="65" w:type="dxa"/>
              <w:bottom w:w="55" w:type="dxa"/>
              <w:end w:w="65" w:type="dxa"/>
            </w:tcMar>
            <w:vAlign w:val="center"/>
          </w:tcPr>
          <w:p>
            <w:r>
              <w:rPr>
                <w:sz w:val="14"/>
              </w:rPr>
              <w:t>State law + template</w:t>
            </w:r>
          </w:p>
        </w:tc>
        <w:tc>
          <w:tcPr>
            <w:tcW w:type="dxa" w:w="2642"/>
            <w:tcMar>
              <w:top w:w="55" w:type="dxa"/>
              <w:start w:w="65" w:type="dxa"/>
              <w:bottom w:w="55" w:type="dxa"/>
              <w:end w:w="65" w:type="dxa"/>
            </w:tcMar>
            <w:vAlign w:val="center"/>
          </w:tcPr>
          <w:p>
            <w:r>
              <w:rPr>
                <w:sz w:val="14"/>
              </w:rPr>
              <w:t>Custody, noncustody, or uncertainty/search.</w:t>
            </w:r>
          </w:p>
        </w:tc>
        <w:tc>
          <w:tcPr>
            <w:tcW w:type="dxa" w:w="2642"/>
            <w:tcMar>
              <w:top w:w="55" w:type="dxa"/>
              <w:start w:w="65" w:type="dxa"/>
              <w:bottom w:w="55" w:type="dxa"/>
              <w:end w:w="65" w:type="dxa"/>
            </w:tcMar>
            <w:vAlign w:val="center"/>
          </w:tcPr>
          <w:p>
            <w:r>
              <w:rPr>
                <w:sz w:val="14"/>
              </w:rPr>
              <w:t>Mandatory fields.</w:t>
            </w:r>
          </w:p>
        </w:tc>
      </w:tr>
      <w:tr>
        <w:trPr>
          <w:cantSplit/>
        </w:trPr>
        <w:tc>
          <w:tcPr>
            <w:tcW w:type="dxa" w:w="2642"/>
            <w:tcMar>
              <w:top w:w="55" w:type="dxa"/>
              <w:start w:w="65" w:type="dxa"/>
              <w:bottom w:w="55" w:type="dxa"/>
              <w:end w:w="65" w:type="dxa"/>
            </w:tcMar>
            <w:vAlign w:val="center"/>
            <w:shd w:fill="F8FAFC"/>
          </w:tcPr>
          <w:p>
            <w:r>
              <w:rPr>
                <w:sz w:val="14"/>
              </w:rPr>
              <w:t>Fee schedule and calculation method</w:t>
            </w:r>
          </w:p>
        </w:tc>
        <w:tc>
          <w:tcPr>
            <w:tcW w:type="dxa" w:w="2642"/>
            <w:tcMar>
              <w:top w:w="55" w:type="dxa"/>
              <w:start w:w="65" w:type="dxa"/>
              <w:bottom w:w="55" w:type="dxa"/>
              <w:end w:w="65" w:type="dxa"/>
            </w:tcMar>
            <w:vAlign w:val="center"/>
            <w:shd w:fill="F8FAFC"/>
          </w:tcPr>
          <w:p>
            <w:r>
              <w:rPr>
                <w:sz w:val="14"/>
              </w:rPr>
              <w:t>Local policy</w:t>
            </w:r>
          </w:p>
        </w:tc>
        <w:tc>
          <w:tcPr>
            <w:tcW w:type="dxa" w:w="2642"/>
            <w:tcMar>
              <w:top w:w="55" w:type="dxa"/>
              <w:start w:w="65" w:type="dxa"/>
              <w:bottom w:w="55" w:type="dxa"/>
              <w:end w:w="65" w:type="dxa"/>
            </w:tcMar>
            <w:vAlign w:val="center"/>
            <w:shd w:fill="F8FAFC"/>
          </w:tcPr>
          <w:p>
            <w:r>
              <w:rPr>
                <w:sz w:val="14"/>
              </w:rPr>
              <w:t>Actual-cost components and rates.</w:t>
            </w:r>
          </w:p>
        </w:tc>
        <w:tc>
          <w:tcPr>
            <w:tcW w:type="dxa" w:w="2642"/>
            <w:tcMar>
              <w:top w:w="55" w:type="dxa"/>
              <w:start w:w="65" w:type="dxa"/>
              <w:bottom w:w="55" w:type="dxa"/>
              <w:end w:w="65" w:type="dxa"/>
            </w:tcMar>
            <w:vAlign w:val="center"/>
            <w:shd w:fill="F8FAFC"/>
          </w:tcPr>
          <w:p>
            <w:r>
              <w:rPr>
                <w:sz w:val="14"/>
              </w:rPr>
              <w:t>Publish in procedure.</w:t>
            </w:r>
          </w:p>
        </w:tc>
      </w:tr>
      <w:tr>
        <w:trPr>
          <w:cantSplit/>
        </w:trPr>
        <w:tc>
          <w:tcPr>
            <w:tcW w:type="dxa" w:w="2642"/>
            <w:tcMar>
              <w:top w:w="55" w:type="dxa"/>
              <w:start w:w="65" w:type="dxa"/>
              <w:bottom w:w="55" w:type="dxa"/>
              <w:end w:w="65" w:type="dxa"/>
            </w:tcMar>
            <w:vAlign w:val="center"/>
          </w:tcPr>
          <w:p>
            <w:r>
              <w:rPr>
                <w:sz w:val="14"/>
              </w:rPr>
              <w:t>&gt;$25 estimate confirmation</w:t>
            </w:r>
          </w:p>
        </w:tc>
        <w:tc>
          <w:tcPr>
            <w:tcW w:type="dxa" w:w="2642"/>
            <w:tcMar>
              <w:top w:w="55" w:type="dxa"/>
              <w:start w:w="65" w:type="dxa"/>
              <w:bottom w:w="55" w:type="dxa"/>
              <w:end w:w="65" w:type="dxa"/>
            </w:tcMar>
            <w:vAlign w:val="center"/>
          </w:tcPr>
          <w:p>
            <w:r>
              <w:rPr>
                <w:sz w:val="14"/>
              </w:rPr>
              <w:t>State law</w:t>
            </w:r>
          </w:p>
        </w:tc>
        <w:tc>
          <w:tcPr>
            <w:tcW w:type="dxa" w:w="2642"/>
            <w:tcMar>
              <w:top w:w="55" w:type="dxa"/>
              <w:start w:w="65" w:type="dxa"/>
              <w:bottom w:w="55" w:type="dxa"/>
              <w:end w:w="65" w:type="dxa"/>
            </w:tcMar>
            <w:vAlign w:val="center"/>
          </w:tcPr>
          <w:p>
            <w:r>
              <w:rPr>
                <w:sz w:val="14"/>
              </w:rPr>
              <w:t>Confirmation methods and evidence.</w:t>
            </w:r>
          </w:p>
        </w:tc>
        <w:tc>
          <w:tcPr>
            <w:tcW w:type="dxa" w:w="2642"/>
            <w:tcMar>
              <w:top w:w="55" w:type="dxa"/>
              <w:start w:w="65" w:type="dxa"/>
              <w:bottom w:w="55" w:type="dxa"/>
              <w:end w:w="65" w:type="dxa"/>
            </w:tcMar>
            <w:vAlign w:val="center"/>
          </w:tcPr>
          <w:p>
            <w:r>
              <w:rPr>
                <w:sz w:val="14"/>
              </w:rPr>
              <w:t>Opens further work.</w:t>
            </w:r>
          </w:p>
        </w:tc>
      </w:tr>
      <w:tr>
        <w:trPr>
          <w:cantSplit/>
        </w:trPr>
        <w:tc>
          <w:tcPr>
            <w:tcW w:type="dxa" w:w="2642"/>
            <w:tcMar>
              <w:top w:w="55" w:type="dxa"/>
              <w:start w:w="65" w:type="dxa"/>
              <w:bottom w:w="55" w:type="dxa"/>
              <w:end w:w="65" w:type="dxa"/>
            </w:tcMar>
            <w:vAlign w:val="center"/>
            <w:shd w:fill="F8FAFC"/>
          </w:tcPr>
          <w:p>
            <w:r>
              <w:rPr>
                <w:sz w:val="14"/>
              </w:rPr>
              <w:t>Fee and clarification suspensions</w:t>
            </w:r>
          </w:p>
        </w:tc>
        <w:tc>
          <w:tcPr>
            <w:tcW w:type="dxa" w:w="2642"/>
            <w:tcMar>
              <w:top w:w="55" w:type="dxa"/>
              <w:start w:w="65" w:type="dxa"/>
              <w:bottom w:w="55" w:type="dxa"/>
              <w:end w:w="65" w:type="dxa"/>
            </w:tcMar>
            <w:vAlign w:val="center"/>
            <w:shd w:fill="F8FAFC"/>
          </w:tcPr>
          <w:p>
            <w:r>
              <w:rPr>
                <w:sz w:val="14"/>
              </w:rPr>
              <w:t>State law</w:t>
            </w:r>
          </w:p>
        </w:tc>
        <w:tc>
          <w:tcPr>
            <w:tcW w:type="dxa" w:w="2642"/>
            <w:tcMar>
              <w:top w:w="55" w:type="dxa"/>
              <w:start w:w="65" w:type="dxa"/>
              <w:bottom w:w="55" w:type="dxa"/>
              <w:end w:w="65" w:type="dxa"/>
            </w:tcMar>
            <w:vAlign w:val="center"/>
            <w:shd w:fill="F8FAFC"/>
          </w:tcPr>
          <w:p>
            <w:r>
              <w:rPr>
                <w:sz w:val="14"/>
              </w:rPr>
              <w:t>Pause target timer; 60-day closure.</w:t>
            </w:r>
          </w:p>
        </w:tc>
        <w:tc>
          <w:tcPr>
            <w:tcW w:type="dxa" w:w="2642"/>
            <w:tcMar>
              <w:top w:w="55" w:type="dxa"/>
              <w:start w:w="65" w:type="dxa"/>
              <w:bottom w:w="55" w:type="dxa"/>
              <w:end w:w="65" w:type="dxa"/>
            </w:tcMar>
            <w:vAlign w:val="center"/>
            <w:shd w:fill="F8FAFC"/>
          </w:tcPr>
          <w:p>
            <w:r>
              <w:rPr>
                <w:sz w:val="14"/>
              </w:rPr>
              <w:t>Branch-specific closure.</w:t>
            </w:r>
          </w:p>
        </w:tc>
      </w:tr>
      <w:tr>
        <w:trPr>
          <w:cantSplit/>
        </w:trPr>
        <w:tc>
          <w:tcPr>
            <w:tcW w:type="dxa" w:w="2642"/>
            <w:tcMar>
              <w:top w:w="55" w:type="dxa"/>
              <w:start w:w="65" w:type="dxa"/>
              <w:bottom w:w="55" w:type="dxa"/>
              <w:end w:w="65" w:type="dxa"/>
            </w:tcMar>
            <w:vAlign w:val="center"/>
          </w:tcPr>
          <w:p>
            <w:r>
              <w:rPr>
                <w:sz w:val="14"/>
              </w:rPr>
              <w:t>Estimated-completion-date approval</w:t>
            </w:r>
          </w:p>
        </w:tc>
        <w:tc>
          <w:tcPr>
            <w:tcW w:type="dxa" w:w="2642"/>
            <w:tcMar>
              <w:top w:w="55" w:type="dxa"/>
              <w:start w:w="65" w:type="dxa"/>
              <w:bottom w:w="55" w:type="dxa"/>
              <w:end w:w="65" w:type="dxa"/>
            </w:tcMar>
            <w:vAlign w:val="center"/>
          </w:tcPr>
          <w:p>
            <w:r>
              <w:rPr>
                <w:sz w:val="14"/>
              </w:rPr>
              <w:t>Local role + state reasonableness</w:t>
            </w:r>
          </w:p>
        </w:tc>
        <w:tc>
          <w:tcPr>
            <w:tcW w:type="dxa" w:w="2642"/>
            <w:tcMar>
              <w:top w:w="55" w:type="dxa"/>
              <w:start w:w="65" w:type="dxa"/>
              <w:bottom w:w="55" w:type="dxa"/>
              <w:end w:w="65" w:type="dxa"/>
            </w:tcMar>
            <w:vAlign w:val="center"/>
          </w:tcPr>
          <w:p>
            <w:r>
              <w:rPr>
                <w:sz w:val="14"/>
              </w:rPr>
              <w:t>Estimator, basis, approver, revision notices.</w:t>
            </w:r>
          </w:p>
        </w:tc>
        <w:tc>
          <w:tcPr>
            <w:tcW w:type="dxa" w:w="2642"/>
            <w:tcMar>
              <w:top w:w="55" w:type="dxa"/>
              <w:start w:w="65" w:type="dxa"/>
              <w:bottom w:w="55" w:type="dxa"/>
              <w:end w:w="65" w:type="dxa"/>
            </w:tcMar>
            <w:vAlign w:val="center"/>
          </w:tcPr>
          <w:p>
            <w:r>
              <w:rPr>
                <w:sz w:val="14"/>
              </w:rPr>
              <w:t>Potential review target.</w:t>
            </w:r>
          </w:p>
        </w:tc>
      </w:tr>
      <w:tr>
        <w:trPr>
          <w:cantSplit/>
        </w:trPr>
        <w:tc>
          <w:tcPr>
            <w:tcW w:type="dxa" w:w="2642"/>
            <w:tcMar>
              <w:top w:w="55" w:type="dxa"/>
              <w:start w:w="65" w:type="dxa"/>
              <w:bottom w:w="55" w:type="dxa"/>
              <w:end w:w="65" w:type="dxa"/>
            </w:tcMar>
            <w:vAlign w:val="center"/>
            <w:shd w:fill="F8FAFC"/>
          </w:tcPr>
          <w:p>
            <w:r>
              <w:rPr>
                <w:sz w:val="14"/>
              </w:rPr>
              <w:t>Impracticability factors</w:t>
            </w:r>
          </w:p>
        </w:tc>
        <w:tc>
          <w:tcPr>
            <w:tcW w:type="dxa" w:w="2642"/>
            <w:tcMar>
              <w:top w:w="55" w:type="dxa"/>
              <w:start w:w="65" w:type="dxa"/>
              <w:bottom w:w="55" w:type="dxa"/>
              <w:end w:w="65" w:type="dxa"/>
            </w:tcMar>
            <w:vAlign w:val="center"/>
            <w:shd w:fill="F8FAFC"/>
          </w:tcPr>
          <w:p>
            <w:r>
              <w:rPr>
                <w:sz w:val="14"/>
              </w:rPr>
              <w:t>State law + human decision</w:t>
            </w:r>
          </w:p>
        </w:tc>
        <w:tc>
          <w:tcPr>
            <w:tcW w:type="dxa" w:w="2642"/>
            <w:tcMar>
              <w:top w:w="55" w:type="dxa"/>
              <w:start w:w="65" w:type="dxa"/>
              <w:bottom w:w="55" w:type="dxa"/>
              <w:end w:w="65" w:type="dxa"/>
            </w:tcMar>
            <w:vAlign w:val="center"/>
            <w:shd w:fill="F8FAFC"/>
          </w:tcPr>
          <w:p>
            <w:r>
              <w:rPr>
                <w:sz w:val="14"/>
              </w:rPr>
              <w:t>Staff/services/volume evidence.</w:t>
            </w:r>
          </w:p>
        </w:tc>
        <w:tc>
          <w:tcPr>
            <w:tcW w:type="dxa" w:w="2642"/>
            <w:tcMar>
              <w:top w:w="55" w:type="dxa"/>
              <w:start w:w="65" w:type="dxa"/>
              <w:bottom w:w="55" w:type="dxa"/>
              <w:end w:w="65" w:type="dxa"/>
            </w:tcMar>
            <w:vAlign w:val="center"/>
            <w:shd w:fill="F8FAFC"/>
          </w:tcPr>
          <w:p>
            <w:r>
              <w:rPr>
                <w:sz w:val="14"/>
              </w:rPr>
              <w:t>Do not use generic “complex” flag alone.</w:t>
            </w:r>
          </w:p>
        </w:tc>
      </w:tr>
    </w:tbl>
    <w:p>
      <w:pPr>
        <w:pStyle w:val="Heading1"/>
      </w:pPr>
      <w:r>
        <w:t>12. Recommended Workflow States and Transitions</w:t>
      </w:r>
    </w:p>
    <w:p>
      <w:r>
        <w:rPr>
          <w:b/>
        </w:rPr>
        <w:t xml:space="preserve">Recommended state sequence: </w:t>
      </w:r>
      <w:r>
        <w:t>Received by Designated Individual -&gt; 5-Day Acknowledgment/Completion -&gt; Scope/Fee Assessment -&gt; Awaiting Estimate Confirmation/Payment or Clarification (suspended, 60-day closure) -&gt; 10-Day Complete-or-Estimated-Date Response -&gt; Search/Review/Segregation -&gt; Complete Response/Denial -&gt; Review Risk -&gt; Closed.</w:t>
      </w:r>
    </w:p>
    <w:p>
      <w:pPr>
        <w:pStyle w:val="Heading1"/>
      </w:pPr>
      <w:r>
        <w:t>13. Unresolved Questions and Local-Policy Decisions</w:t>
      </w:r>
    </w:p>
    <w:p>
      <w:pPr>
        <w:pStyle w:val="ListBullet"/>
        <w:spacing w:after="30"/>
      </w:pPr>
      <w:r>
        <w:t>Which employee or role is the designated recipient for each channel and calendar?</w:t>
      </w:r>
    </w:p>
    <w:p>
      <w:pPr>
        <w:pStyle w:val="ListBullet"/>
        <w:spacing w:after="30"/>
      </w:pPr>
      <w:r>
        <w:t>What actual-cost fee schedule and waiver criteria will the city adopt?</w:t>
      </w:r>
    </w:p>
    <w:p>
      <w:pPr>
        <w:pStyle w:val="ListBullet"/>
        <w:spacing w:after="30"/>
      </w:pPr>
      <w:r>
        <w:t>How will the system establish and revise a “reasonable” estimated completion date?</w:t>
      </w:r>
    </w:p>
    <w:p>
      <w:pPr>
        <w:pStyle w:val="ListBullet"/>
        <w:spacing w:after="30"/>
      </w:pPr>
      <w:r>
        <w:t>Which facts and approvals are required before applying the impracticability exception?</w:t>
      </w:r>
    </w:p>
    <w:p>
      <w:pPr>
        <w:pStyle w:val="Heading1"/>
      </w:pPr>
      <w:r>
        <w:t>14. Suggestion Added During This Review</w:t>
      </w:r>
    </w:p>
    <w:p>
      <w:r>
        <w:rPr>
          <w:b/>
        </w:rPr>
        <w:t>S-027: Support distinct acknowledgment and complete-response timers, branch-specific suspensions for clarification and fees, mandatory 60-day closure, and a separately evidenced impracticability exception.</w:t>
      </w:r>
    </w:p>
    <w:p>
      <w:pPr>
        <w:pStyle w:val="IntenseQuote"/>
      </w:pPr>
      <w:r>
        <w:t>This suggestion is recorded for later universal-engine review and does not alter the fixed methodology.</w:t>
      </w:r>
    </w:p>
    <w:p>
      <w:pPr>
        <w:pStyle w:val="Heading1"/>
      </w:pPr>
      <w:r>
        <w:t>15. Primary Sources</w:t>
      </w:r>
    </w:p>
    <w:p>
      <w:pPr>
        <w:pStyle w:val="ListBullet"/>
        <w:spacing w:after="30"/>
      </w:pPr>
      <w:r>
        <w:t>Oregon Revised Statutes Chapter 192 (official 2025 edition with 2026 update notice): https://www.oregonlegislature.gov/bills_laws/ors/ors192.html</w:t>
      </w:r>
    </w:p>
    <w:p>
      <w:pPr>
        <w:pStyle w:val="ListBullet"/>
        <w:spacing w:after="30"/>
      </w:pPr>
      <w:r>
        <w:t>Oregon DOJ Public Records Manual: https://www.doj.state.or.us/oregon-department-of-justice/public-records/attorney-generals-public-records-and-meetings-manual/</w:t>
      </w:r>
    </w:p>
    <w:p>
      <w:pPr>
        <w:pStyle w:val="ListBullet"/>
        <w:spacing w:after="30"/>
      </w:pPr>
      <w:r>
        <w:t>Oregon Legislature ORS update instructions: https://www.oregonlegislature.gov/bills_laws/pages/ors.aspx</w:t>
      </w:r>
    </w:p>
    <w:p>
      <w:r>
        <w:rPr>
          <w:b/>
        </w:rPr>
        <w:t xml:space="preserve">Implementation note: </w:t>
      </w:r>
      <w:r>
        <w:t>This document is a requirements-engineering research artifact, not legal advice. Verify statutes, regulations, cases, and local policy at customer implementation and whenever authority changes.</w:t>
      </w:r>
    </w:p>
    <w:sectPr w:rsidR="00FC693F" w:rsidRPr="0006063C" w:rsidSect="00034616">
      <w:headerReference w:type="default" r:id="rId9"/>
      <w:footerReference w:type="default" r:id="rId10"/>
      <w:pgSz w:w="12240" w:h="15840"/>
      <w:pgMar w:top="792" w:right="835" w:bottom="792" w:left="8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E6E6E"/>
        <w:sz w:val="14"/>
      </w:rPr>
      <w:t>National Open Records Workflow Schema — requirements-engineering research</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2F5597"/>
        <w:sz w:val="15"/>
      </w:rPr>
      <w:t>Oregon | Public Records Workflow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5"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60"/>
      <w:outlineLvl w:val="0"/>
    </w:pPr>
    <w:rPr>
      <w:rFonts w:asciiTheme="majorHAnsi" w:eastAsiaTheme="majorEastAsia" w:hAnsiTheme="majorHAnsi" w:cstheme="majorBidi" w:ascii="Aptos Display" w:hAnsi="Aptos Display"/>
      <w:b/>
      <w:bCs/>
      <w:color w:val="17365D"/>
      <w:sz w:val="26"/>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Aptos Display" w:hAnsi="Aptos Display"/>
      <w:b/>
      <w:bCs/>
      <w:color w:val="2F5597"/>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ptos" w:hAnsi="Aptos"/>
      <w:b/>
      <w:bCs/>
      <w:i/>
      <w:iCs/>
      <w:color w:val="2F5597"/>
      <w:sz w:val="17"/>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