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Utah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Government Records Access and Management Act (GRAMA), Utah Code §§ 63G-2-201 et seq.</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Utah generally requires response as soon as reasonably possible and no later than ten business days, or five business days when the requester demonstrates that expedited response primarily benefits the public. The response may provide records, deny, state noncustody, or invoke a defined extraordinary circumstance.</w:t>
      </w:r>
    </w:p>
    <w:p>
      <w:r>
        <w:t>Utah’s extraordinary-circumstance provisions are not one generic extension. Different subtypes require different actions and completion rules: return of records in use by another entity, audit completion, partial disclosure and estimated time for large searches/backlogs, five additional business days for legal analysis, 15 business days for extensive editing, or as soon as reasonably possible for programming.</w:t>
      </w:r>
    </w:p>
    <w:p>
      <w:r>
        <w:t>Cities must establish fees by ordinance or written formal policy. Fees may include actual search/retrieval and manipulation costs in authorized circumstances, the first quarter hour is generally free subject to the recent-request exception, and prepayment may be required when expected fees exceed $50 or prior invoiced fees remain unpaid.</w:t>
      </w:r>
    </w:p>
    <w:p>
      <w:r>
        <w:rPr>
          <w:b/>
        </w:rPr>
        <w:t xml:space="preserve">Core engine pattern: </w:t>
      </w:r>
      <w:r>
        <w:t>Normal/expedited timer selection + extraordinary-circumstance subtype state machine + structured denial + city ordinance/formal fee policy and &gt;$50 prepayment gate.</w:t>
      </w:r>
    </w:p>
    <w:p>
      <w:r>
        <w:rPr>
          <w:b/>
        </w:rPr>
        <w:t xml:space="preserve">Scope caution: </w:t>
      </w:r>
      <w:r>
        <w:t>GRAMA applies to political subdivisions, including cities, subject to permitted local ordinances that are not less restrictive than state law. The city must configure the correct recipient, fee ordinance/policy, expedited-benefit test, and extraordinary-circumstance notices.</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Utah Code § 63G-2-204</w:t>
            </w:r>
          </w:p>
        </w:tc>
        <w:tc>
          <w:tcPr>
            <w:tcW w:type="dxa" w:w="3523"/>
            <w:tcMar>
              <w:top w:w="55" w:type="dxa"/>
              <w:start w:w="65" w:type="dxa"/>
              <w:bottom w:w="55" w:type="dxa"/>
              <w:end w:w="65" w:type="dxa"/>
            </w:tcMar>
            <w:vAlign w:val="center"/>
          </w:tcPr>
          <w:p>
            <w:r>
              <w:rPr>
                <w:sz w:val="15"/>
              </w:rPr>
              <w:t>Request contents, receipt/routing, normal and expedited response, extraordinary circumstances, deemed denial.</w:t>
            </w:r>
          </w:p>
        </w:tc>
        <w:tc>
          <w:tcPr>
            <w:tcW w:type="dxa" w:w="3523"/>
            <w:tcMar>
              <w:top w:w="55" w:type="dxa"/>
              <w:start w:w="65" w:type="dxa"/>
              <w:bottom w:w="55" w:type="dxa"/>
              <w:end w:w="65" w:type="dxa"/>
            </w:tcMar>
            <w:vAlign w:val="center"/>
          </w:tcPr>
          <w:p>
            <w:r>
              <w:rPr>
                <w:sz w:val="15"/>
              </w:rPr>
              <w:t>Core city workflow.</w:t>
            </w:r>
          </w:p>
        </w:tc>
      </w:tr>
      <w:tr>
        <w:trPr>
          <w:cantSplit/>
        </w:trPr>
        <w:tc>
          <w:tcPr>
            <w:tcW w:type="dxa" w:w="3523"/>
            <w:tcMar>
              <w:top w:w="55" w:type="dxa"/>
              <w:start w:w="65" w:type="dxa"/>
              <w:bottom w:w="55" w:type="dxa"/>
              <w:end w:w="65" w:type="dxa"/>
            </w:tcMar>
            <w:vAlign w:val="center"/>
            <w:shd w:fill="F8FAFC"/>
          </w:tcPr>
          <w:p>
            <w:r>
              <w:rPr>
                <w:sz w:val="15"/>
              </w:rPr>
              <w:t>Utah Code § 63G-2-203</w:t>
            </w:r>
          </w:p>
        </w:tc>
        <w:tc>
          <w:tcPr>
            <w:tcW w:type="dxa" w:w="3523"/>
            <w:tcMar>
              <w:top w:w="55" w:type="dxa"/>
              <w:start w:w="65" w:type="dxa"/>
              <w:bottom w:w="55" w:type="dxa"/>
              <w:end w:w="65" w:type="dxa"/>
            </w:tcMar>
            <w:vAlign w:val="center"/>
            <w:shd w:fill="F8FAFC"/>
          </w:tcPr>
          <w:p>
            <w:r>
              <w:rPr>
                <w:sz w:val="15"/>
              </w:rPr>
              <w:t>Actual-cost fees, political-subdivision fee policy, free quarter hour, waiver, prepayment, refund.</w:t>
            </w:r>
          </w:p>
        </w:tc>
        <w:tc>
          <w:tcPr>
            <w:tcW w:type="dxa" w:w="3523"/>
            <w:tcMar>
              <w:top w:w="55" w:type="dxa"/>
              <w:start w:w="65" w:type="dxa"/>
              <w:bottom w:w="55" w:type="dxa"/>
              <w:end w:w="65" w:type="dxa"/>
            </w:tcMar>
            <w:vAlign w:val="center"/>
            <w:shd w:fill="F8FAFC"/>
          </w:tcPr>
          <w:p>
            <w:r>
              <w:rPr>
                <w:sz w:val="15"/>
              </w:rPr>
              <w:t>Direct city fee configuration.</w:t>
            </w:r>
          </w:p>
        </w:tc>
      </w:tr>
      <w:tr>
        <w:trPr>
          <w:cantSplit/>
        </w:trPr>
        <w:tc>
          <w:tcPr>
            <w:tcW w:type="dxa" w:w="3523"/>
            <w:tcMar>
              <w:top w:w="55" w:type="dxa"/>
              <w:start w:w="65" w:type="dxa"/>
              <w:bottom w:w="55" w:type="dxa"/>
              <w:end w:w="65" w:type="dxa"/>
            </w:tcMar>
            <w:vAlign w:val="center"/>
          </w:tcPr>
          <w:p>
            <w:r>
              <w:rPr>
                <w:sz w:val="15"/>
              </w:rPr>
              <w:t>Utah Code § 63G-2-205</w:t>
            </w:r>
          </w:p>
        </w:tc>
        <w:tc>
          <w:tcPr>
            <w:tcW w:type="dxa" w:w="3523"/>
            <w:tcMar>
              <w:top w:w="55" w:type="dxa"/>
              <w:start w:w="65" w:type="dxa"/>
              <w:bottom w:w="55" w:type="dxa"/>
              <w:end w:w="65" w:type="dxa"/>
            </w:tcMar>
            <w:vAlign w:val="center"/>
          </w:tcPr>
          <w:p>
            <w:r>
              <w:rPr>
                <w:sz w:val="15"/>
              </w:rPr>
              <w:t>Denial notice contents.</w:t>
            </w:r>
          </w:p>
        </w:tc>
        <w:tc>
          <w:tcPr>
            <w:tcW w:type="dxa" w:w="3523"/>
            <w:tcMar>
              <w:top w:w="55" w:type="dxa"/>
              <w:start w:w="65" w:type="dxa"/>
              <w:bottom w:w="55" w:type="dxa"/>
              <w:end w:w="65" w:type="dxa"/>
            </w:tcMar>
            <w:vAlign w:val="center"/>
          </w:tcPr>
          <w:p>
            <w:r>
              <w:rPr>
                <w:sz w:val="15"/>
              </w:rPr>
              <w:t>Structured city denial.</w:t>
            </w:r>
          </w:p>
        </w:tc>
      </w:tr>
      <w:tr>
        <w:trPr>
          <w:cantSplit/>
        </w:trPr>
        <w:tc>
          <w:tcPr>
            <w:tcW w:type="dxa" w:w="3523"/>
            <w:tcMar>
              <w:top w:w="55" w:type="dxa"/>
              <w:start w:w="65" w:type="dxa"/>
              <w:bottom w:w="55" w:type="dxa"/>
              <w:end w:w="65" w:type="dxa"/>
            </w:tcMar>
            <w:vAlign w:val="center"/>
            <w:shd w:fill="F8FAFC"/>
          </w:tcPr>
          <w:p>
            <w:r>
              <w:rPr>
                <w:sz w:val="15"/>
              </w:rPr>
              <w:t>Utah Code Part 4</w:t>
            </w:r>
          </w:p>
        </w:tc>
        <w:tc>
          <w:tcPr>
            <w:tcW w:type="dxa" w:w="3523"/>
            <w:tcMar>
              <w:top w:w="55" w:type="dxa"/>
              <w:start w:w="65" w:type="dxa"/>
              <w:bottom w:w="55" w:type="dxa"/>
              <w:end w:w="65" w:type="dxa"/>
            </w:tcMar>
            <w:vAlign w:val="center"/>
            <w:shd w:fill="F8FAFC"/>
          </w:tcPr>
          <w:p>
            <w:r>
              <w:rPr>
                <w:sz w:val="15"/>
              </w:rPr>
              <w:t>Administrative appeals.</w:t>
            </w:r>
          </w:p>
        </w:tc>
        <w:tc>
          <w:tcPr>
            <w:tcW w:type="dxa" w:w="3523"/>
            <w:tcMar>
              <w:top w:w="55" w:type="dxa"/>
              <w:start w:w="65" w:type="dxa"/>
              <w:bottom w:w="55" w:type="dxa"/>
              <w:end w:w="65" w:type="dxa"/>
            </w:tcMar>
            <w:vAlign w:val="center"/>
            <w:shd w:fill="F8FAFC"/>
          </w:tcPr>
          <w:p>
            <w:r>
              <w:rPr>
                <w:sz w:val="15"/>
              </w:rPr>
              <w:t>Appeal routing and timers.</w:t>
            </w:r>
          </w:p>
        </w:tc>
      </w:tr>
    </w:tbl>
    <w:p>
      <w:pPr>
        <w:pStyle w:val="Heading1"/>
      </w:pPr>
      <w:r>
        <w:t>3. Human-Readable Initial Processing Workflow</w:t>
      </w:r>
    </w:p>
    <w:p>
      <w:pPr>
        <w:pStyle w:val="ListNumber"/>
        <w:spacing w:after="30"/>
      </w:pPr>
      <w:r>
        <w:t>Receive and route: Validate the written request’s contact information and reasonable specificity. If sent to the wrong office, promptly forward it; the response period begins when the correct office receives it.</w:t>
      </w:r>
    </w:p>
    <w:p>
      <w:pPr>
        <w:pStyle w:val="ListNumber"/>
        <w:spacing w:after="30"/>
      </w:pPr>
      <w:r>
        <w:t>Select normal or expedited track: Determine whether the requester demonstrated that expedited response primarily benefits the public. If not demonstrated, notify the requester within five business days that the expedited track will not apply.</w:t>
      </w:r>
    </w:p>
    <w:p>
      <w:pPr>
        <w:pStyle w:val="ListNumber"/>
        <w:spacing w:after="30"/>
      </w:pPr>
      <w:r>
        <w:t>Respond by the selected deadline: Approve/provide records, deny with the structured § 205 notice, state noncustody and identify the custodian if known, or issue an extraordinary-circumstance notice.</w:t>
      </w:r>
    </w:p>
    <w:p>
      <w:pPr>
        <w:pStyle w:val="ListNumber"/>
        <w:spacing w:after="30"/>
      </w:pPr>
      <w:r>
        <w:t>Classify the extraordinary circumstance: Select the statutory subtype and its required communication, partial-release duty, estimated time, and completion rule rather than applying one generic extension.</w:t>
      </w:r>
    </w:p>
    <w:p>
      <w:pPr>
        <w:pStyle w:val="ListNumber"/>
        <w:spacing w:after="30"/>
      </w:pPr>
      <w:r>
        <w:t>Estimate and collect fees: Apply the city’s ordinance/formal fee policy, actual costs, lowest-paid qualified employee, free quarter hour, waiver rules, and permitted prepayment when expected fees exceed $50 or prior invoiced fees are unpaid.</w:t>
      </w:r>
    </w:p>
    <w:p>
      <w:pPr>
        <w:pStyle w:val="ListNumber"/>
        <w:spacing w:after="30"/>
      </w:pPr>
      <w:r>
        <w:t>Complete production or denial, refund excess prepayment, and calculate appeal rights. Failure to respond within the applicable period is deemed a denial.</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Written request received by correct office</w:t>
            </w:r>
          </w:p>
        </w:tc>
        <w:tc>
          <w:tcPr>
            <w:tcW w:type="dxa" w:w="2114"/>
            <w:tcMar>
              <w:top w:w="55" w:type="dxa"/>
              <w:start w:w="65" w:type="dxa"/>
              <w:bottom w:w="55" w:type="dxa"/>
              <w:end w:w="65" w:type="dxa"/>
            </w:tcMar>
            <w:vAlign w:val="center"/>
          </w:tcPr>
          <w:p>
            <w:r>
              <w:rPr>
                <w:sz w:val="14"/>
              </w:rPr>
              <w:t>As soon as reasonably possible; no later than 10 business days</w:t>
            </w:r>
          </w:p>
        </w:tc>
        <w:tc>
          <w:tcPr>
            <w:tcW w:type="dxa" w:w="2114"/>
            <w:tcMar>
              <w:top w:w="55" w:type="dxa"/>
              <w:start w:w="65" w:type="dxa"/>
              <w:bottom w:w="55" w:type="dxa"/>
              <w:end w:w="65" w:type="dxa"/>
            </w:tcMar>
            <w:vAlign w:val="center"/>
          </w:tcPr>
          <w:p>
            <w:r>
              <w:rPr>
                <w:sz w:val="14"/>
              </w:rPr>
              <w:t>Approve/provide, deny, state noncustody, or issue extraordinary-circumstance notice.</w:t>
            </w:r>
          </w:p>
        </w:tc>
        <w:tc>
          <w:tcPr>
            <w:tcW w:type="dxa" w:w="2114"/>
            <w:tcMar>
              <w:top w:w="55" w:type="dxa"/>
              <w:start w:w="65" w:type="dxa"/>
              <w:bottom w:w="55" w:type="dxa"/>
              <w:end w:w="65" w:type="dxa"/>
            </w:tcMar>
            <w:vAlign w:val="center"/>
          </w:tcPr>
          <w:p>
            <w:r>
              <w:rPr>
                <w:sz w:val="14"/>
              </w:rPr>
              <w:t>Normal timer.</w:t>
            </w:r>
          </w:p>
        </w:tc>
        <w:tc>
          <w:tcPr>
            <w:tcW w:type="dxa" w:w="2114"/>
            <w:tcMar>
              <w:top w:w="55" w:type="dxa"/>
              <w:start w:w="65" w:type="dxa"/>
              <w:bottom w:w="55" w:type="dxa"/>
              <w:end w:w="65" w:type="dxa"/>
            </w:tcMar>
            <w:vAlign w:val="center"/>
          </w:tcPr>
          <w:p>
            <w:r>
              <w:rPr>
                <w:sz w:val="14"/>
              </w:rPr>
              <w:t>§ 63G-2-204</w:t>
            </w:r>
          </w:p>
        </w:tc>
      </w:tr>
      <w:tr>
        <w:trPr>
          <w:cantSplit/>
        </w:trPr>
        <w:tc>
          <w:tcPr>
            <w:tcW w:type="dxa" w:w="2114"/>
            <w:tcMar>
              <w:top w:w="55" w:type="dxa"/>
              <w:start w:w="65" w:type="dxa"/>
              <w:bottom w:w="55" w:type="dxa"/>
              <w:end w:w="65" w:type="dxa"/>
            </w:tcMar>
            <w:vAlign w:val="center"/>
            <w:shd w:fill="F8FAFC"/>
          </w:tcPr>
          <w:p>
            <w:r>
              <w:rPr>
                <w:sz w:val="14"/>
              </w:rPr>
              <w:t>Requester demonstrates expedited response benefits public</w:t>
            </w:r>
          </w:p>
        </w:tc>
        <w:tc>
          <w:tcPr>
            <w:tcW w:type="dxa" w:w="2114"/>
            <w:tcMar>
              <w:top w:w="55" w:type="dxa"/>
              <w:start w:w="65" w:type="dxa"/>
              <w:bottom w:w="55" w:type="dxa"/>
              <w:end w:w="65" w:type="dxa"/>
            </w:tcMar>
            <w:vAlign w:val="center"/>
            <w:shd w:fill="F8FAFC"/>
          </w:tcPr>
          <w:p>
            <w:r>
              <w:rPr>
                <w:sz w:val="14"/>
              </w:rPr>
              <w:t>As soon as reasonably possible; no later than 5 business days</w:t>
            </w:r>
          </w:p>
        </w:tc>
        <w:tc>
          <w:tcPr>
            <w:tcW w:type="dxa" w:w="2114"/>
            <w:tcMar>
              <w:top w:w="55" w:type="dxa"/>
              <w:start w:w="65" w:type="dxa"/>
              <w:bottom w:w="55" w:type="dxa"/>
              <w:end w:w="65" w:type="dxa"/>
            </w:tcMar>
            <w:vAlign w:val="center"/>
            <w:shd w:fill="F8FAFC"/>
          </w:tcPr>
          <w:p>
            <w:r>
              <w:rPr>
                <w:sz w:val="14"/>
              </w:rPr>
              <w:t>Provide one authorized response.</w:t>
            </w:r>
          </w:p>
        </w:tc>
        <w:tc>
          <w:tcPr>
            <w:tcW w:type="dxa" w:w="2114"/>
            <w:tcMar>
              <w:top w:w="55" w:type="dxa"/>
              <w:start w:w="65" w:type="dxa"/>
              <w:bottom w:w="55" w:type="dxa"/>
              <w:end w:w="65" w:type="dxa"/>
            </w:tcMar>
            <w:vAlign w:val="center"/>
            <w:shd w:fill="F8FAFC"/>
          </w:tcPr>
          <w:p>
            <w:r>
              <w:rPr>
                <w:sz w:val="14"/>
              </w:rPr>
              <w:t>Expedited timer.</w:t>
            </w:r>
          </w:p>
        </w:tc>
        <w:tc>
          <w:tcPr>
            <w:tcW w:type="dxa" w:w="2114"/>
            <w:tcMar>
              <w:top w:w="55" w:type="dxa"/>
              <w:start w:w="65" w:type="dxa"/>
              <w:bottom w:w="55" w:type="dxa"/>
              <w:end w:w="65" w:type="dxa"/>
            </w:tcMar>
            <w:vAlign w:val="center"/>
            <w:shd w:fill="F8FAFC"/>
          </w:tcPr>
          <w:p>
            <w:r>
              <w:rPr>
                <w:sz w:val="14"/>
              </w:rPr>
              <w:t>§ 63G-2-204</w:t>
            </w:r>
          </w:p>
        </w:tc>
      </w:tr>
      <w:tr>
        <w:trPr>
          <w:cantSplit/>
        </w:trPr>
        <w:tc>
          <w:tcPr>
            <w:tcW w:type="dxa" w:w="2114"/>
            <w:tcMar>
              <w:top w:w="55" w:type="dxa"/>
              <w:start w:w="65" w:type="dxa"/>
              <w:bottom w:w="55" w:type="dxa"/>
              <w:end w:w="65" w:type="dxa"/>
            </w:tcMar>
            <w:vAlign w:val="center"/>
          </w:tcPr>
          <w:p>
            <w:r>
              <w:rPr>
                <w:sz w:val="14"/>
              </w:rPr>
              <w:t>Expedited status not demonstrated</w:t>
            </w:r>
          </w:p>
        </w:tc>
        <w:tc>
          <w:tcPr>
            <w:tcW w:type="dxa" w:w="2114"/>
            <w:tcMar>
              <w:top w:w="55" w:type="dxa"/>
              <w:start w:w="65" w:type="dxa"/>
              <w:bottom w:w="55" w:type="dxa"/>
              <w:end w:w="65" w:type="dxa"/>
            </w:tcMar>
            <w:vAlign w:val="center"/>
          </w:tcPr>
          <w:p>
            <w:r>
              <w:rPr>
                <w:sz w:val="14"/>
              </w:rPr>
              <w:t>Within 5 business days</w:t>
            </w:r>
          </w:p>
        </w:tc>
        <w:tc>
          <w:tcPr>
            <w:tcW w:type="dxa" w:w="2114"/>
            <w:tcMar>
              <w:top w:w="55" w:type="dxa"/>
              <w:start w:w="65" w:type="dxa"/>
              <w:bottom w:w="55" w:type="dxa"/>
              <w:end w:w="65" w:type="dxa"/>
            </w:tcMar>
            <w:vAlign w:val="center"/>
          </w:tcPr>
          <w:p>
            <w:r>
              <w:rPr>
                <w:sz w:val="14"/>
              </w:rPr>
              <w:t>Notify requester request will not receive expedited response.</w:t>
            </w:r>
          </w:p>
        </w:tc>
        <w:tc>
          <w:tcPr>
            <w:tcW w:type="dxa" w:w="2114"/>
            <w:tcMar>
              <w:top w:w="55" w:type="dxa"/>
              <w:start w:w="65" w:type="dxa"/>
              <w:bottom w:w="55" w:type="dxa"/>
              <w:end w:w="65" w:type="dxa"/>
            </w:tcMar>
            <w:vAlign w:val="center"/>
          </w:tcPr>
          <w:p>
            <w:r>
              <w:rPr>
                <w:sz w:val="14"/>
              </w:rPr>
              <w:t>Continue on normal 10-day track.</w:t>
            </w:r>
          </w:p>
        </w:tc>
        <w:tc>
          <w:tcPr>
            <w:tcW w:type="dxa" w:w="2114"/>
            <w:tcMar>
              <w:top w:w="55" w:type="dxa"/>
              <w:start w:w="65" w:type="dxa"/>
              <w:bottom w:w="55" w:type="dxa"/>
              <w:end w:w="65" w:type="dxa"/>
            </w:tcMar>
            <w:vAlign w:val="center"/>
          </w:tcPr>
          <w:p>
            <w:r>
              <w:rPr>
                <w:sz w:val="14"/>
              </w:rPr>
              <w:t>§ 63G-2-204</w:t>
            </w:r>
          </w:p>
        </w:tc>
      </w:tr>
      <w:tr>
        <w:trPr>
          <w:cantSplit/>
        </w:trPr>
        <w:tc>
          <w:tcPr>
            <w:tcW w:type="dxa" w:w="2114"/>
            <w:tcMar>
              <w:top w:w="55" w:type="dxa"/>
              <w:start w:w="65" w:type="dxa"/>
              <w:bottom w:w="55" w:type="dxa"/>
              <w:end w:w="65" w:type="dxa"/>
            </w:tcMar>
            <w:vAlign w:val="center"/>
            <w:shd w:fill="F8FAFC"/>
          </w:tcPr>
          <w:p>
            <w:r>
              <w:rPr>
                <w:sz w:val="14"/>
              </w:rPr>
              <w:t>Request sent to wrong office</w:t>
            </w:r>
          </w:p>
        </w:tc>
        <w:tc>
          <w:tcPr>
            <w:tcW w:type="dxa" w:w="2114"/>
            <w:tcMar>
              <w:top w:w="55" w:type="dxa"/>
              <w:start w:w="65" w:type="dxa"/>
              <w:bottom w:w="55" w:type="dxa"/>
              <w:end w:w="65" w:type="dxa"/>
            </w:tcMar>
            <w:vAlign w:val="center"/>
            <w:shd w:fill="F8FAFC"/>
          </w:tcPr>
          <w:p>
            <w:r>
              <w:rPr>
                <w:sz w:val="14"/>
              </w:rPr>
              <w:t>Prompt forwarding</w:t>
            </w:r>
          </w:p>
        </w:tc>
        <w:tc>
          <w:tcPr>
            <w:tcW w:type="dxa" w:w="2114"/>
            <w:tcMar>
              <w:top w:w="55" w:type="dxa"/>
              <w:start w:w="65" w:type="dxa"/>
              <w:bottom w:w="55" w:type="dxa"/>
              <w:end w:w="65" w:type="dxa"/>
            </w:tcMar>
            <w:vAlign w:val="center"/>
            <w:shd w:fill="F8FAFC"/>
          </w:tcPr>
          <w:p>
            <w:r>
              <w:rPr>
                <w:sz w:val="14"/>
              </w:rPr>
              <w:t>Forward to correct office; timer begins upon correct-office receipt.</w:t>
            </w:r>
          </w:p>
        </w:tc>
        <w:tc>
          <w:tcPr>
            <w:tcW w:type="dxa" w:w="2114"/>
            <w:tcMar>
              <w:top w:w="55" w:type="dxa"/>
              <w:start w:w="65" w:type="dxa"/>
              <w:bottom w:w="55" w:type="dxa"/>
              <w:end w:w="65" w:type="dxa"/>
            </w:tcMar>
            <w:vAlign w:val="center"/>
            <w:shd w:fill="F8FAFC"/>
          </w:tcPr>
          <w:p>
            <w:r>
              <w:rPr>
                <w:sz w:val="14"/>
              </w:rPr>
              <w:t>Effective receipt re-anchored.</w:t>
            </w:r>
          </w:p>
        </w:tc>
        <w:tc>
          <w:tcPr>
            <w:tcW w:type="dxa" w:w="2114"/>
            <w:tcMar>
              <w:top w:w="55" w:type="dxa"/>
              <w:start w:w="65" w:type="dxa"/>
              <w:bottom w:w="55" w:type="dxa"/>
              <w:end w:w="65" w:type="dxa"/>
            </w:tcMar>
            <w:vAlign w:val="center"/>
            <w:shd w:fill="F8FAFC"/>
          </w:tcPr>
          <w:p>
            <w:r>
              <w:rPr>
                <w:sz w:val="14"/>
              </w:rPr>
              <w:t>§ 63G-2-204</w:t>
            </w:r>
          </w:p>
        </w:tc>
      </w:tr>
      <w:tr>
        <w:trPr>
          <w:cantSplit/>
        </w:trPr>
        <w:tc>
          <w:tcPr>
            <w:tcW w:type="dxa" w:w="2114"/>
            <w:tcMar>
              <w:top w:w="55" w:type="dxa"/>
              <w:start w:w="65" w:type="dxa"/>
              <w:bottom w:w="55" w:type="dxa"/>
              <w:end w:w="65" w:type="dxa"/>
            </w:tcMar>
            <w:vAlign w:val="center"/>
          </w:tcPr>
          <w:p>
            <w:r>
              <w:rPr>
                <w:sz w:val="14"/>
              </w:rPr>
              <w:t>Extraordinary: legal analysis required</w:t>
            </w:r>
          </w:p>
        </w:tc>
        <w:tc>
          <w:tcPr>
            <w:tcW w:type="dxa" w:w="2114"/>
            <w:tcMar>
              <w:top w:w="55" w:type="dxa"/>
              <w:start w:w="65" w:type="dxa"/>
              <w:bottom w:w="55" w:type="dxa"/>
              <w:end w:w="65" w:type="dxa"/>
            </w:tcMar>
            <w:vAlign w:val="center"/>
          </w:tcPr>
          <w:p>
            <w:r>
              <w:rPr>
                <w:sz w:val="14"/>
              </w:rPr>
              <w:t>5 business days after original response period expires</w:t>
            </w:r>
          </w:p>
        </w:tc>
        <w:tc>
          <w:tcPr>
            <w:tcW w:type="dxa" w:w="2114"/>
            <w:tcMar>
              <w:top w:w="55" w:type="dxa"/>
              <w:start w:w="65" w:type="dxa"/>
              <w:bottom w:w="55" w:type="dxa"/>
              <w:end w:w="65" w:type="dxa"/>
            </w:tcMar>
            <w:vAlign w:val="center"/>
          </w:tcPr>
          <w:p>
            <w:r>
              <w:rPr>
                <w:sz w:val="14"/>
              </w:rPr>
              <w:t>Approve or deny after analysis.</w:t>
            </w:r>
          </w:p>
        </w:tc>
        <w:tc>
          <w:tcPr>
            <w:tcW w:type="dxa" w:w="2114"/>
            <w:tcMar>
              <w:top w:w="55" w:type="dxa"/>
              <w:start w:w="65" w:type="dxa"/>
              <w:bottom w:w="55" w:type="dxa"/>
              <w:end w:w="65" w:type="dxa"/>
            </w:tcMar>
            <w:vAlign w:val="center"/>
          </w:tcPr>
          <w:p>
            <w:r>
              <w:rPr>
                <w:sz w:val="14"/>
              </w:rPr>
              <w:t>Subtype-specific extension.</w:t>
            </w:r>
          </w:p>
        </w:tc>
        <w:tc>
          <w:tcPr>
            <w:tcW w:type="dxa" w:w="2114"/>
            <w:tcMar>
              <w:top w:w="55" w:type="dxa"/>
              <w:start w:w="65" w:type="dxa"/>
              <w:bottom w:w="55" w:type="dxa"/>
              <w:end w:w="65" w:type="dxa"/>
            </w:tcMar>
            <w:vAlign w:val="center"/>
          </w:tcPr>
          <w:p>
            <w:r>
              <w:rPr>
                <w:sz w:val="14"/>
              </w:rPr>
              <w:t>§ 63G-2-204(6)(f)</w:t>
            </w:r>
          </w:p>
        </w:tc>
      </w:tr>
      <w:tr>
        <w:trPr>
          <w:cantSplit/>
        </w:trPr>
        <w:tc>
          <w:tcPr>
            <w:tcW w:type="dxa" w:w="2114"/>
            <w:tcMar>
              <w:top w:w="55" w:type="dxa"/>
              <w:start w:w="65" w:type="dxa"/>
              <w:bottom w:w="55" w:type="dxa"/>
              <w:end w:w="65" w:type="dxa"/>
            </w:tcMar>
            <w:vAlign w:val="center"/>
            <w:shd w:fill="F8FAFC"/>
          </w:tcPr>
          <w:p>
            <w:r>
              <w:rPr>
                <w:sz w:val="14"/>
              </w:rPr>
              <w:t>Extraordinary: extensive editing required</w:t>
            </w:r>
          </w:p>
        </w:tc>
        <w:tc>
          <w:tcPr>
            <w:tcW w:type="dxa" w:w="2114"/>
            <w:tcMar>
              <w:top w:w="55" w:type="dxa"/>
              <w:start w:w="65" w:type="dxa"/>
              <w:bottom w:w="55" w:type="dxa"/>
              <w:end w:w="65" w:type="dxa"/>
            </w:tcMar>
            <w:vAlign w:val="center"/>
            <w:shd w:fill="F8FAFC"/>
          </w:tcPr>
          <w:p>
            <w:r>
              <w:rPr>
                <w:sz w:val="14"/>
              </w:rPr>
              <w:t>Within 15 business days after original request</w:t>
            </w:r>
          </w:p>
        </w:tc>
        <w:tc>
          <w:tcPr>
            <w:tcW w:type="dxa" w:w="2114"/>
            <w:tcMar>
              <w:top w:w="55" w:type="dxa"/>
              <w:start w:w="65" w:type="dxa"/>
              <w:bottom w:w="55" w:type="dxa"/>
              <w:end w:w="65" w:type="dxa"/>
            </w:tcMar>
            <w:vAlign w:val="center"/>
            <w:shd w:fill="F8FAFC"/>
          </w:tcPr>
          <w:p>
            <w:r>
              <w:rPr>
                <w:sz w:val="14"/>
              </w:rPr>
              <w:t>Fulfill request.</w:t>
            </w:r>
          </w:p>
        </w:tc>
        <w:tc>
          <w:tcPr>
            <w:tcW w:type="dxa" w:w="2114"/>
            <w:tcMar>
              <w:top w:w="55" w:type="dxa"/>
              <w:start w:w="65" w:type="dxa"/>
              <w:bottom w:w="55" w:type="dxa"/>
              <w:end w:w="65" w:type="dxa"/>
            </w:tcMar>
            <w:vAlign w:val="center"/>
            <w:shd w:fill="F8FAFC"/>
          </w:tcPr>
          <w:p>
            <w:r>
              <w:rPr>
                <w:sz w:val="14"/>
              </w:rPr>
              <w:t>Subtype-specific completion rule.</w:t>
            </w:r>
          </w:p>
        </w:tc>
        <w:tc>
          <w:tcPr>
            <w:tcW w:type="dxa" w:w="2114"/>
            <w:tcMar>
              <w:top w:w="55" w:type="dxa"/>
              <w:start w:w="65" w:type="dxa"/>
              <w:bottom w:w="55" w:type="dxa"/>
              <w:end w:w="65" w:type="dxa"/>
            </w:tcMar>
            <w:vAlign w:val="center"/>
            <w:shd w:fill="F8FAFC"/>
          </w:tcPr>
          <w:p>
            <w:r>
              <w:rPr>
                <w:sz w:val="14"/>
              </w:rPr>
              <w:t>§ 63G-2-204(6)(g)</w:t>
            </w:r>
          </w:p>
        </w:tc>
      </w:tr>
      <w:tr>
        <w:trPr>
          <w:cantSplit/>
        </w:trPr>
        <w:tc>
          <w:tcPr>
            <w:tcW w:type="dxa" w:w="2114"/>
            <w:tcMar>
              <w:top w:w="55" w:type="dxa"/>
              <w:start w:w="65" w:type="dxa"/>
              <w:bottom w:w="55" w:type="dxa"/>
              <w:end w:w="65" w:type="dxa"/>
            </w:tcMar>
            <w:vAlign w:val="center"/>
          </w:tcPr>
          <w:p>
            <w:r>
              <w:rPr>
                <w:sz w:val="14"/>
              </w:rPr>
              <w:t>Extraordinary: voluminous/multiple/backlog/large search</w:t>
            </w:r>
          </w:p>
        </w:tc>
        <w:tc>
          <w:tcPr>
            <w:tcW w:type="dxa" w:w="2114"/>
            <w:tcMar>
              <w:top w:w="55" w:type="dxa"/>
              <w:start w:w="65" w:type="dxa"/>
              <w:bottom w:w="55" w:type="dxa"/>
              <w:end w:w="65" w:type="dxa"/>
            </w:tcMar>
            <w:vAlign w:val="center"/>
          </w:tcPr>
          <w:p>
            <w:r>
              <w:rPr>
                <w:sz w:val="14"/>
              </w:rPr>
              <w:t>As soon as reasonably possible</w:t>
            </w:r>
          </w:p>
        </w:tc>
        <w:tc>
          <w:tcPr>
            <w:tcW w:type="dxa" w:w="2114"/>
            <w:tcMar>
              <w:top w:w="55" w:type="dxa"/>
              <w:start w:w="65" w:type="dxa"/>
              <w:bottom w:w="55" w:type="dxa"/>
              <w:end w:w="65" w:type="dxa"/>
            </w:tcMar>
            <w:vAlign w:val="center"/>
          </w:tcPr>
          <w:p>
            <w:r>
              <w:rPr>
                <w:sz w:val="14"/>
              </w:rPr>
              <w:t>Disclose located nonexempt records, estimate remaining time, and continue; may require copying/splitting for nonexpedited request.</w:t>
            </w:r>
          </w:p>
        </w:tc>
        <w:tc>
          <w:tcPr>
            <w:tcW w:type="dxa" w:w="2114"/>
            <w:tcMar>
              <w:top w:w="55" w:type="dxa"/>
              <w:start w:w="65" w:type="dxa"/>
              <w:bottom w:w="55" w:type="dxa"/>
              <w:end w:w="65" w:type="dxa"/>
            </w:tcMar>
            <w:vAlign w:val="center"/>
          </w:tcPr>
          <w:p>
            <w:r>
              <w:rPr>
                <w:sz w:val="14"/>
              </w:rPr>
              <w:t>Dynamic estimated-time track.</w:t>
            </w:r>
          </w:p>
        </w:tc>
        <w:tc>
          <w:tcPr>
            <w:tcW w:type="dxa" w:w="2114"/>
            <w:tcMar>
              <w:top w:w="55" w:type="dxa"/>
              <w:start w:w="65" w:type="dxa"/>
              <w:bottom w:w="55" w:type="dxa"/>
              <w:end w:w="65" w:type="dxa"/>
            </w:tcMar>
            <w:vAlign w:val="center"/>
          </w:tcPr>
          <w:p>
            <w:r>
              <w:rPr>
                <w:sz w:val="14"/>
              </w:rPr>
              <w:t>§ 63G-2-204(6)(c)-(e)</w:t>
            </w:r>
          </w:p>
        </w:tc>
      </w:tr>
      <w:tr>
        <w:trPr>
          <w:cantSplit/>
        </w:trPr>
        <w:tc>
          <w:tcPr>
            <w:tcW w:type="dxa" w:w="2114"/>
            <w:tcMar>
              <w:top w:w="55" w:type="dxa"/>
              <w:start w:w="65" w:type="dxa"/>
              <w:bottom w:w="55" w:type="dxa"/>
              <w:end w:w="65" w:type="dxa"/>
            </w:tcMar>
            <w:vAlign w:val="center"/>
            <w:shd w:fill="F8FAFC"/>
          </w:tcPr>
          <w:p>
            <w:r>
              <w:rPr>
                <w:sz w:val="14"/>
              </w:rPr>
              <w:t>No response by applicable period</w:t>
            </w:r>
          </w:p>
        </w:tc>
        <w:tc>
          <w:tcPr>
            <w:tcW w:type="dxa" w:w="2114"/>
            <w:tcMar>
              <w:top w:w="55" w:type="dxa"/>
              <w:start w:w="65" w:type="dxa"/>
              <w:bottom w:w="55" w:type="dxa"/>
              <w:end w:w="65" w:type="dxa"/>
            </w:tcMar>
            <w:vAlign w:val="center"/>
            <w:shd w:fill="F8FAFC"/>
          </w:tcPr>
          <w:p>
            <w:r>
              <w:rPr>
                <w:sz w:val="14"/>
              </w:rPr>
              <w:t>At expiration</w:t>
            </w:r>
          </w:p>
        </w:tc>
        <w:tc>
          <w:tcPr>
            <w:tcW w:type="dxa" w:w="2114"/>
            <w:tcMar>
              <w:top w:w="55" w:type="dxa"/>
              <w:start w:w="65" w:type="dxa"/>
              <w:bottom w:w="55" w:type="dxa"/>
              <w:end w:w="65" w:type="dxa"/>
            </w:tcMar>
            <w:vAlign w:val="center"/>
            <w:shd w:fill="F8FAFC"/>
          </w:tcPr>
          <w:p>
            <w:r>
              <w:rPr>
                <w:sz w:val="14"/>
              </w:rPr>
              <w:t>Request deemed denied.</w:t>
            </w:r>
          </w:p>
        </w:tc>
        <w:tc>
          <w:tcPr>
            <w:tcW w:type="dxa" w:w="2114"/>
            <w:tcMar>
              <w:top w:w="55" w:type="dxa"/>
              <w:start w:w="65" w:type="dxa"/>
              <w:bottom w:w="55" w:type="dxa"/>
              <w:end w:w="65" w:type="dxa"/>
            </w:tcMar>
            <w:vAlign w:val="center"/>
            <w:shd w:fill="F8FAFC"/>
          </w:tcPr>
          <w:p>
            <w:r>
              <w:rPr>
                <w:sz w:val="14"/>
              </w:rPr>
              <w:t>Appeal trigger.</w:t>
            </w:r>
          </w:p>
        </w:tc>
        <w:tc>
          <w:tcPr>
            <w:tcW w:type="dxa" w:w="2114"/>
            <w:tcMar>
              <w:top w:w="55" w:type="dxa"/>
              <w:start w:w="65" w:type="dxa"/>
              <w:bottom w:w="55" w:type="dxa"/>
              <w:end w:w="65" w:type="dxa"/>
            </w:tcMar>
            <w:vAlign w:val="center"/>
            <w:shd w:fill="F8FAFC"/>
          </w:tcPr>
          <w:p>
            <w:r>
              <w:rPr>
                <w:sz w:val="14"/>
              </w:rPr>
              <w:t>§ 63G-2-204</w:t>
            </w:r>
          </w:p>
        </w:tc>
      </w:tr>
    </w:tbl>
    <w:p>
      <w:pPr>
        <w:pStyle w:val="Heading1"/>
      </w:pPr>
      <w:r>
        <w:t>5. Vague, Unclear, or Overly Broad Requests</w:t>
      </w:r>
    </w:p>
    <w:p>
      <w:pPr>
        <w:pStyle w:val="ListBullet"/>
        <w:spacing w:after="30"/>
      </w:pPr>
      <w:r>
        <w:t>The written request must describe the records with reasonable specificity. GRAMA does not supply a general clarification toll/restart or requester-abandonment period for all vague requests.</w:t>
      </w:r>
    </w:p>
    <w:p>
      <w:pPr>
        <w:pStyle w:val="ListBullet"/>
        <w:spacing w:after="30"/>
      </w:pPr>
      <w:r>
        <w:t>The city should ask focused questions and preserve the original and revised scope. If the request cannot identify records, a denial should use the structured notice and appeal information rather than an informal closure.</w:t>
      </w:r>
    </w:p>
    <w:p>
      <w:pPr>
        <w:pStyle w:val="ListBullet"/>
        <w:spacing w:after="30"/>
      </w:pPr>
      <w:r>
        <w:t>A request must not be submitted to multiple governmental entities as a single request; the correct-office routing logic should split or redirect as needed.</w:t>
      </w:r>
    </w:p>
    <w:p>
      <w:pPr>
        <w:pStyle w:val="ListBullet"/>
        <w:spacing w:after="30"/>
      </w:pPr>
      <w:r>
        <w:t>Operational clarification reminders and closure must be configured locally and distinguished from the statutory deemed-denial consequence for the city’s own nonresponse.</w:t>
      </w:r>
    </w:p>
    <w:p>
      <w:pPr>
        <w:pStyle w:val="Heading1"/>
      </w:pPr>
      <w:r>
        <w:t>6. Denial and Partial-Denial Process</w:t>
      </w:r>
    </w:p>
    <w:p>
      <w:pPr>
        <w:pStyle w:val="ListBullet"/>
        <w:spacing w:after="30"/>
      </w:pPr>
      <w:r>
        <w:t>A denial notice must describe the record or portion denied without revealing protected information, cite each statutory basis, and state the appeal right, appeal deadline, and the name/address of the person to whom an appeal may be directed.</w:t>
      </w:r>
    </w:p>
    <w:p>
      <w:pPr>
        <w:pStyle w:val="ListBullet"/>
        <w:spacing w:after="30"/>
      </w:pPr>
      <w:r>
        <w:t>Failure to respond within the applicable period is deemed a denial.</w:t>
      </w:r>
    </w:p>
    <w:p>
      <w:pPr>
        <w:pStyle w:val="ListBullet"/>
        <w:spacing w:after="30"/>
      </w:pPr>
      <w:r>
        <w:t>Partial disclosure should be made when nonexempt portions can be separated; extraordinary large-search branches expressly contemplate releasing records already located.</w:t>
      </w:r>
    </w:p>
    <w:p>
      <w:pPr>
        <w:pStyle w:val="ListBullet"/>
        <w:spacing w:after="30"/>
      </w:pPr>
      <w:r>
        <w:t>The engine should generate denial content from the decision record and retain all authority, scope, decision-maker, and appeal-routing fields.</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Normal request</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General response alternatives.</w:t>
            </w:r>
          </w:p>
        </w:tc>
        <w:tc>
          <w:tcPr>
            <w:tcW w:type="dxa" w:w="2642"/>
            <w:tcMar>
              <w:top w:w="55" w:type="dxa"/>
              <w:start w:w="65" w:type="dxa"/>
              <w:bottom w:w="55" w:type="dxa"/>
              <w:end w:w="65" w:type="dxa"/>
            </w:tcMar>
            <w:vAlign w:val="center"/>
          </w:tcPr>
          <w:p>
            <w:r>
              <w:rPr>
                <w:sz w:val="14"/>
              </w:rPr>
              <w:t>10 business days maximum.</w:t>
            </w:r>
          </w:p>
        </w:tc>
      </w:tr>
      <w:tr>
        <w:trPr>
          <w:cantSplit/>
        </w:trPr>
        <w:tc>
          <w:tcPr>
            <w:tcW w:type="dxa" w:w="2642"/>
            <w:tcMar>
              <w:top w:w="55" w:type="dxa"/>
              <w:start w:w="65" w:type="dxa"/>
              <w:bottom w:w="55" w:type="dxa"/>
              <w:end w:w="65" w:type="dxa"/>
            </w:tcMar>
            <w:vAlign w:val="center"/>
            <w:shd w:fill="F8FAFC"/>
          </w:tcPr>
          <w:p>
            <w:r>
              <w:rPr>
                <w:sz w:val="14"/>
              </w:rPr>
              <w:t>Expedited public-benefit request</w:t>
            </w:r>
          </w:p>
        </w:tc>
        <w:tc>
          <w:tcPr>
            <w:tcW w:type="dxa" w:w="2642"/>
            <w:tcMar>
              <w:top w:w="55" w:type="dxa"/>
              <w:start w:w="65" w:type="dxa"/>
              <w:bottom w:w="55" w:type="dxa"/>
              <w:end w:w="65" w:type="dxa"/>
            </w:tcMar>
            <w:vAlign w:val="center"/>
            <w:shd w:fill="F8FAFC"/>
          </w:tcPr>
          <w:p>
            <w:r>
              <w:rPr>
                <w:sz w:val="14"/>
              </w:rPr>
              <w:t>Legal</w:t>
            </w:r>
          </w:p>
        </w:tc>
        <w:tc>
          <w:tcPr>
            <w:tcW w:type="dxa" w:w="2642"/>
            <w:tcMar>
              <w:top w:w="55" w:type="dxa"/>
              <w:start w:w="65" w:type="dxa"/>
              <w:bottom w:w="55" w:type="dxa"/>
              <w:end w:w="65" w:type="dxa"/>
            </w:tcMar>
            <w:vAlign w:val="center"/>
            <w:shd w:fill="F8FAFC"/>
          </w:tcPr>
          <w:p>
            <w:r>
              <w:rPr>
                <w:sz w:val="14"/>
              </w:rPr>
              <w:t>Short response track if demonstration accepted.</w:t>
            </w:r>
          </w:p>
        </w:tc>
        <w:tc>
          <w:tcPr>
            <w:tcW w:type="dxa" w:w="2642"/>
            <w:tcMar>
              <w:top w:w="55" w:type="dxa"/>
              <w:start w:w="65" w:type="dxa"/>
              <w:bottom w:w="55" w:type="dxa"/>
              <w:end w:w="65" w:type="dxa"/>
            </w:tcMar>
            <w:vAlign w:val="center"/>
            <w:shd w:fill="F8FAFC"/>
          </w:tcPr>
          <w:p>
            <w:r>
              <w:rPr>
                <w:sz w:val="14"/>
              </w:rPr>
              <w:t>5 business days maximum.</w:t>
            </w:r>
          </w:p>
        </w:tc>
      </w:tr>
      <w:tr>
        <w:trPr>
          <w:cantSplit/>
        </w:trPr>
        <w:tc>
          <w:tcPr>
            <w:tcW w:type="dxa" w:w="2642"/>
            <w:tcMar>
              <w:top w:w="55" w:type="dxa"/>
              <w:start w:w="65" w:type="dxa"/>
              <w:bottom w:w="55" w:type="dxa"/>
              <w:end w:w="65" w:type="dxa"/>
            </w:tcMar>
            <w:vAlign w:val="center"/>
          </w:tcPr>
          <w:p>
            <w:r>
              <w:rPr>
                <w:sz w:val="14"/>
              </w:rPr>
              <w:t>Extraordinary circumstance subtype</w:t>
            </w:r>
          </w:p>
        </w:tc>
        <w:tc>
          <w:tcPr>
            <w:tcW w:type="dxa" w:w="2642"/>
            <w:tcMar>
              <w:top w:w="55" w:type="dxa"/>
              <w:start w:w="65" w:type="dxa"/>
              <w:bottom w:w="55" w:type="dxa"/>
              <w:end w:w="65" w:type="dxa"/>
            </w:tcMar>
            <w:vAlign w:val="center"/>
          </w:tcPr>
          <w:p>
            <w:r>
              <w:rPr>
                <w:sz w:val="14"/>
              </w:rPr>
              <w:t>Legal</w:t>
            </w:r>
          </w:p>
        </w:tc>
        <w:tc>
          <w:tcPr>
            <w:tcW w:type="dxa" w:w="2642"/>
            <w:tcMar>
              <w:top w:w="55" w:type="dxa"/>
              <w:start w:w="65" w:type="dxa"/>
              <w:bottom w:w="55" w:type="dxa"/>
              <w:end w:w="65" w:type="dxa"/>
            </w:tcMar>
            <w:vAlign w:val="center"/>
          </w:tcPr>
          <w:p>
            <w:r>
              <w:rPr>
                <w:sz w:val="14"/>
              </w:rPr>
              <w:t>Different notice and completion behavior for each statutory circumstance.</w:t>
            </w:r>
          </w:p>
        </w:tc>
        <w:tc>
          <w:tcPr>
            <w:tcW w:type="dxa" w:w="2642"/>
            <w:tcMar>
              <w:top w:w="55" w:type="dxa"/>
              <w:start w:w="65" w:type="dxa"/>
              <w:bottom w:w="55" w:type="dxa"/>
              <w:end w:w="65" w:type="dxa"/>
            </w:tcMar>
            <w:vAlign w:val="center"/>
          </w:tcPr>
          <w:p>
            <w:r>
              <w:rPr>
                <w:sz w:val="14"/>
              </w:rPr>
              <w:t>Subtype-specific; not one extension value.</w:t>
            </w:r>
          </w:p>
        </w:tc>
      </w:tr>
      <w:tr>
        <w:trPr>
          <w:cantSplit/>
        </w:trPr>
        <w:tc>
          <w:tcPr>
            <w:tcW w:type="dxa" w:w="2642"/>
            <w:tcMar>
              <w:top w:w="55" w:type="dxa"/>
              <w:start w:w="65" w:type="dxa"/>
              <w:bottom w:w="55" w:type="dxa"/>
              <w:end w:w="65" w:type="dxa"/>
            </w:tcMar>
            <w:vAlign w:val="center"/>
            <w:shd w:fill="F8FAFC"/>
          </w:tcPr>
          <w:p>
            <w:r>
              <w:rPr>
                <w:sz w:val="14"/>
              </w:rPr>
              <w:t>Fee-prepayment request</w:t>
            </w:r>
          </w:p>
        </w:tc>
        <w:tc>
          <w:tcPr>
            <w:tcW w:type="dxa" w:w="2642"/>
            <w:tcMar>
              <w:top w:w="55" w:type="dxa"/>
              <w:start w:w="65" w:type="dxa"/>
              <w:bottom w:w="55" w:type="dxa"/>
              <w:end w:w="65" w:type="dxa"/>
            </w:tcMar>
            <w:vAlign w:val="center"/>
            <w:shd w:fill="F8FAFC"/>
          </w:tcPr>
          <w:p>
            <w:r>
              <w:rPr>
                <w:sz w:val="14"/>
              </w:rPr>
              <w:t>Legal/fee</w:t>
            </w:r>
          </w:p>
        </w:tc>
        <w:tc>
          <w:tcPr>
            <w:tcW w:type="dxa" w:w="2642"/>
            <w:tcMar>
              <w:top w:w="55" w:type="dxa"/>
              <w:start w:w="65" w:type="dxa"/>
              <w:bottom w:w="55" w:type="dxa"/>
              <w:end w:w="65" w:type="dxa"/>
            </w:tcMar>
            <w:vAlign w:val="center"/>
            <w:shd w:fill="F8FAFC"/>
          </w:tcPr>
          <w:p>
            <w:r>
              <w:rPr>
                <w:sz w:val="14"/>
              </w:rPr>
              <w:t>Expected fees &gt;$50 or prior invoiced fees unpaid.</w:t>
            </w:r>
          </w:p>
        </w:tc>
        <w:tc>
          <w:tcPr>
            <w:tcW w:type="dxa" w:w="2642"/>
            <w:tcMar>
              <w:top w:w="55" w:type="dxa"/>
              <w:start w:w="65" w:type="dxa"/>
              <w:bottom w:w="55" w:type="dxa"/>
              <w:end w:w="65" w:type="dxa"/>
            </w:tcMar>
            <w:vAlign w:val="center"/>
            <w:shd w:fill="F8FAFC"/>
          </w:tcPr>
          <w:p>
            <w:r>
              <w:rPr>
                <w:sz w:val="14"/>
              </w:rPr>
              <w:t>Payment may be required before processing.</w:t>
            </w:r>
          </w:p>
        </w:tc>
      </w:tr>
      <w:tr>
        <w:trPr>
          <w:cantSplit/>
        </w:trPr>
        <w:tc>
          <w:tcPr>
            <w:tcW w:type="dxa" w:w="2642"/>
            <w:tcMar>
              <w:top w:w="55" w:type="dxa"/>
              <w:start w:w="65" w:type="dxa"/>
              <w:bottom w:w="55" w:type="dxa"/>
              <w:end w:w="65" w:type="dxa"/>
            </w:tcMar>
            <w:vAlign w:val="center"/>
          </w:tcPr>
          <w:p>
            <w:r>
              <w:rPr>
                <w:sz w:val="14"/>
              </w:rPr>
              <w:t>Simple / complex</w:t>
            </w:r>
          </w:p>
        </w:tc>
        <w:tc>
          <w:tcPr>
            <w:tcW w:type="dxa" w:w="2642"/>
            <w:tcMar>
              <w:top w:w="55" w:type="dxa"/>
              <w:start w:w="65" w:type="dxa"/>
              <w:bottom w:w="55" w:type="dxa"/>
              <w:end w:w="65" w:type="dxa"/>
            </w:tcMar>
            <w:vAlign w:val="center"/>
          </w:tcPr>
          <w:p>
            <w:r>
              <w:rPr>
                <w:sz w:val="14"/>
              </w:rPr>
              <w:t>Operational</w:t>
            </w:r>
          </w:p>
        </w:tc>
        <w:tc>
          <w:tcPr>
            <w:tcW w:type="dxa" w:w="2642"/>
            <w:tcMar>
              <w:top w:w="55" w:type="dxa"/>
              <w:start w:w="65" w:type="dxa"/>
              <w:bottom w:w="55" w:type="dxa"/>
              <w:end w:w="65" w:type="dxa"/>
            </w:tcMar>
            <w:vAlign w:val="center"/>
          </w:tcPr>
          <w:p>
            <w:r>
              <w:rPr>
                <w:sz w:val="14"/>
              </w:rPr>
              <w:t>Staffing and estimated completion.</w:t>
            </w:r>
          </w:p>
        </w:tc>
        <w:tc>
          <w:tcPr>
            <w:tcW w:type="dxa" w:w="2642"/>
            <w:tcMar>
              <w:top w:w="55" w:type="dxa"/>
              <w:start w:w="65" w:type="dxa"/>
              <w:bottom w:w="55" w:type="dxa"/>
              <w:end w:w="65" w:type="dxa"/>
            </w:tcMar>
            <w:vAlign w:val="center"/>
          </w:tcPr>
          <w:p>
            <w:r>
              <w:rPr>
                <w:sz w:val="14"/>
              </w:rPr>
              <w:t>Cannot replace statutory subtype selection.</w:t>
            </w:r>
          </w:p>
        </w:tc>
      </w:tr>
    </w:tbl>
    <w:p>
      <w:pPr>
        <w:pStyle w:val="Heading1"/>
      </w:pPr>
      <w:r>
        <w:t>8. Large Volume, Redaction, Programming, and Electronic Records</w:t>
      </w:r>
    </w:p>
    <w:p>
      <w:pPr>
        <w:pStyle w:val="ListBullet"/>
        <w:spacing w:after="30"/>
      </w:pPr>
      <w:r>
        <w:t>For voluminous requests, multiple simultaneous requests, backlog, or a large search, the entity must disclose records already located that can be released, estimate the time to finish, and complete as soon as reasonably possible.</w:t>
      </w:r>
    </w:p>
    <w:p>
      <w:pPr>
        <w:pStyle w:val="ListBullet"/>
        <w:spacing w:after="30"/>
      </w:pPr>
      <w:r>
        <w:t>For nonexpedited requests in those branches, the entity may require the requester to provide copies or divide the request into a series of sequential requests as permitted by statute.</w:t>
      </w:r>
    </w:p>
    <w:p>
      <w:pPr>
        <w:pStyle w:val="ListBullet"/>
        <w:spacing w:after="30"/>
      </w:pPr>
      <w:r>
        <w:t>Programming is its own extraordinary circumstance with completion as soon as reasonably possible; extensive editing uses a 15-business-day rule.</w:t>
      </w:r>
    </w:p>
    <w:p>
      <w:pPr>
        <w:pStyle w:val="ListBullet"/>
        <w:spacing w:after="30"/>
      </w:pPr>
      <w:r>
        <w:t>Actual-cost fees may include search, retrieval, manipulation, formatting, and direct administration in authorized circumstances, using the lowest-paid qualified employee.</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General fee</w:t>
            </w:r>
          </w:p>
        </w:tc>
        <w:tc>
          <w:tcPr>
            <w:tcW w:type="dxa" w:w="2642"/>
            <w:tcMar>
              <w:top w:w="55" w:type="dxa"/>
              <w:start w:w="65" w:type="dxa"/>
              <w:bottom w:w="55" w:type="dxa"/>
              <w:end w:w="65" w:type="dxa"/>
            </w:tcMar>
            <w:vAlign w:val="center"/>
          </w:tcPr>
          <w:p>
            <w:r>
              <w:rPr>
                <w:sz w:val="14"/>
              </w:rPr>
              <w:t>Reasonable fee covering actual cost; executive officer approval.</w:t>
            </w:r>
          </w:p>
        </w:tc>
        <w:tc>
          <w:tcPr>
            <w:tcW w:type="dxa" w:w="2642"/>
            <w:tcMar>
              <w:top w:w="55" w:type="dxa"/>
              <w:start w:w="65" w:type="dxa"/>
              <w:bottom w:w="55" w:type="dxa"/>
              <w:end w:w="65" w:type="dxa"/>
            </w:tcMar>
            <w:vAlign w:val="center"/>
          </w:tcPr>
          <w:p>
            <w:r>
              <w:rPr>
                <w:sz w:val="14"/>
              </w:rPr>
              <w:t>Estimate/invoice under city ordinance or formal written policy.</w:t>
            </w:r>
          </w:p>
        </w:tc>
        <w:tc>
          <w:tcPr>
            <w:tcW w:type="dxa" w:w="2642"/>
            <w:tcMar>
              <w:top w:w="55" w:type="dxa"/>
              <w:start w:w="65" w:type="dxa"/>
              <w:bottom w:w="55" w:type="dxa"/>
              <w:end w:w="65" w:type="dxa"/>
            </w:tcMar>
            <w:vAlign w:val="center"/>
          </w:tcPr>
          <w:p>
            <w:r>
              <w:rPr>
                <w:sz w:val="14"/>
              </w:rPr>
              <w:t>Local policy required by § 63G-2-203(3)(c).</w:t>
            </w:r>
          </w:p>
        </w:tc>
      </w:tr>
      <w:tr>
        <w:trPr>
          <w:cantSplit/>
        </w:trPr>
        <w:tc>
          <w:tcPr>
            <w:tcW w:type="dxa" w:w="2642"/>
            <w:tcMar>
              <w:top w:w="55" w:type="dxa"/>
              <w:start w:w="65" w:type="dxa"/>
              <w:bottom w:w="55" w:type="dxa"/>
              <w:end w:w="65" w:type="dxa"/>
            </w:tcMar>
            <w:vAlign w:val="center"/>
            <w:shd w:fill="F8FAFC"/>
          </w:tcPr>
          <w:p>
            <w:r>
              <w:rPr>
                <w:sz w:val="14"/>
              </w:rPr>
              <w:t>Search/retrieval/manipulation</w:t>
            </w:r>
          </w:p>
        </w:tc>
        <w:tc>
          <w:tcPr>
            <w:tcW w:type="dxa" w:w="2642"/>
            <w:tcMar>
              <w:top w:w="55" w:type="dxa"/>
              <w:start w:w="65" w:type="dxa"/>
              <w:bottom w:w="55" w:type="dxa"/>
              <w:end w:w="65" w:type="dxa"/>
            </w:tcMar>
            <w:vAlign w:val="center"/>
            <w:shd w:fill="F8FAFC"/>
          </w:tcPr>
          <w:p>
            <w:r>
              <w:rPr>
                <w:sz w:val="14"/>
              </w:rPr>
              <w:t>May be included in authorized actual costs, especially custom compilation.</w:t>
            </w:r>
          </w:p>
        </w:tc>
        <w:tc>
          <w:tcPr>
            <w:tcW w:type="dxa" w:w="2642"/>
            <w:tcMar>
              <w:top w:w="55" w:type="dxa"/>
              <w:start w:w="65" w:type="dxa"/>
              <w:bottom w:w="55" w:type="dxa"/>
              <w:end w:w="65" w:type="dxa"/>
            </w:tcMar>
            <w:vAlign w:val="center"/>
            <w:shd w:fill="F8FAFC"/>
          </w:tcPr>
          <w:p>
            <w:r>
              <w:rPr>
                <w:sz w:val="14"/>
              </w:rPr>
              <w:t>Estimate and actual reconciliation.</w:t>
            </w:r>
          </w:p>
        </w:tc>
        <w:tc>
          <w:tcPr>
            <w:tcW w:type="dxa" w:w="2642"/>
            <w:tcMar>
              <w:top w:w="55" w:type="dxa"/>
              <w:start w:w="65" w:type="dxa"/>
              <w:bottom w:w="55" w:type="dxa"/>
              <w:end w:w="65" w:type="dxa"/>
            </w:tcMar>
            <w:vAlign w:val="center"/>
            <w:shd w:fill="F8FAFC"/>
          </w:tcPr>
          <w:p>
            <w:r>
              <w:rPr>
                <w:sz w:val="14"/>
              </w:rPr>
              <w:t>Activity-level legal category.</w:t>
            </w:r>
          </w:p>
        </w:tc>
      </w:tr>
      <w:tr>
        <w:trPr>
          <w:cantSplit/>
        </w:trPr>
        <w:tc>
          <w:tcPr>
            <w:tcW w:type="dxa" w:w="2642"/>
            <w:tcMar>
              <w:top w:w="55" w:type="dxa"/>
              <w:start w:w="65" w:type="dxa"/>
              <w:bottom w:w="55" w:type="dxa"/>
              <w:end w:w="65" w:type="dxa"/>
            </w:tcMar>
            <w:vAlign w:val="center"/>
          </w:tcPr>
          <w:p>
            <w:r>
              <w:rPr>
                <w:sz w:val="14"/>
              </w:rPr>
              <w:t>Hourly rate</w:t>
            </w:r>
          </w:p>
        </w:tc>
        <w:tc>
          <w:tcPr>
            <w:tcW w:type="dxa" w:w="2642"/>
            <w:tcMar>
              <w:top w:w="55" w:type="dxa"/>
              <w:start w:w="65" w:type="dxa"/>
              <w:bottom w:w="55" w:type="dxa"/>
              <w:end w:w="65" w:type="dxa"/>
            </w:tcMar>
            <w:vAlign w:val="center"/>
          </w:tcPr>
          <w:p>
            <w:r>
              <w:rPr>
                <w:sz w:val="14"/>
              </w:rPr>
              <w:t>Not above salary of lowest-paid employee with necessary skill/training.</w:t>
            </w:r>
          </w:p>
        </w:tc>
        <w:tc>
          <w:tcPr>
            <w:tcW w:type="dxa" w:w="2642"/>
            <w:tcMar>
              <w:top w:w="55" w:type="dxa"/>
              <w:start w:w="65" w:type="dxa"/>
              <w:bottom w:w="55" w:type="dxa"/>
              <w:end w:w="65" w:type="dxa"/>
            </w:tcMar>
            <w:vAlign w:val="center"/>
          </w:tcPr>
          <w:p>
            <w:r>
              <w:rPr>
                <w:sz w:val="14"/>
              </w:rPr>
              <w:t>Estimate/actual.</w:t>
            </w:r>
          </w:p>
        </w:tc>
        <w:tc>
          <w:tcPr>
            <w:tcW w:type="dxa" w:w="2642"/>
            <w:tcMar>
              <w:top w:w="55" w:type="dxa"/>
              <w:start w:w="65" w:type="dxa"/>
              <w:bottom w:w="55" w:type="dxa"/>
              <w:end w:w="65" w:type="dxa"/>
            </w:tcMar>
            <w:vAlign w:val="center"/>
          </w:tcPr>
          <w:p>
            <w:r>
              <w:rPr>
                <w:sz w:val="14"/>
              </w:rPr>
              <w:t>Role/rate evidence.</w:t>
            </w:r>
          </w:p>
        </w:tc>
      </w:tr>
      <w:tr>
        <w:trPr>
          <w:cantSplit/>
        </w:trPr>
        <w:tc>
          <w:tcPr>
            <w:tcW w:type="dxa" w:w="2642"/>
            <w:tcMar>
              <w:top w:w="55" w:type="dxa"/>
              <w:start w:w="65" w:type="dxa"/>
              <w:bottom w:w="55" w:type="dxa"/>
              <w:end w:w="65" w:type="dxa"/>
            </w:tcMar>
            <w:vAlign w:val="center"/>
            <w:shd w:fill="F8FAFC"/>
          </w:tcPr>
          <w:p>
            <w:r>
              <w:rPr>
                <w:sz w:val="14"/>
              </w:rPr>
              <w:t>First quarter hour</w:t>
            </w:r>
          </w:p>
        </w:tc>
        <w:tc>
          <w:tcPr>
            <w:tcW w:type="dxa" w:w="2642"/>
            <w:tcMar>
              <w:top w:w="55" w:type="dxa"/>
              <w:start w:w="65" w:type="dxa"/>
              <w:bottom w:w="55" w:type="dxa"/>
              <w:end w:w="65" w:type="dxa"/>
            </w:tcMar>
            <w:vAlign w:val="center"/>
            <w:shd w:fill="F8FAFC"/>
          </w:tcPr>
          <w:p>
            <w:r>
              <w:rPr>
                <w:sz w:val="14"/>
              </w:rPr>
              <w:t>Generally no charge for first 15 minutes, subject to statutory repeat-request exception for non-media representative.</w:t>
            </w:r>
          </w:p>
        </w:tc>
        <w:tc>
          <w:tcPr>
            <w:tcW w:type="dxa" w:w="2642"/>
            <w:tcMar>
              <w:top w:w="55" w:type="dxa"/>
              <w:start w:w="65" w:type="dxa"/>
              <w:bottom w:w="55" w:type="dxa"/>
              <w:end w:w="65" w:type="dxa"/>
            </w:tcMar>
            <w:vAlign w:val="center"/>
            <w:shd w:fill="F8FAFC"/>
          </w:tcPr>
          <w:p>
            <w:r>
              <w:rPr>
                <w:sz w:val="14"/>
              </w:rPr>
              <w:t>Apply allowance before invoice.</w:t>
            </w:r>
          </w:p>
        </w:tc>
        <w:tc>
          <w:tcPr>
            <w:tcW w:type="dxa" w:w="2642"/>
            <w:tcMar>
              <w:top w:w="55" w:type="dxa"/>
              <w:start w:w="65" w:type="dxa"/>
              <w:bottom w:w="55" w:type="dxa"/>
              <w:end w:w="65" w:type="dxa"/>
            </w:tcMar>
            <w:vAlign w:val="center"/>
            <w:shd w:fill="F8FAFC"/>
          </w:tcPr>
          <w:p>
            <w:r>
              <w:rPr>
                <w:sz w:val="14"/>
              </w:rPr>
              <w:t>State rule with requester/request-history logic.</w:t>
            </w:r>
          </w:p>
        </w:tc>
      </w:tr>
      <w:tr>
        <w:trPr>
          <w:cantSplit/>
        </w:trPr>
        <w:tc>
          <w:tcPr>
            <w:tcW w:type="dxa" w:w="2642"/>
            <w:tcMar>
              <w:top w:w="55" w:type="dxa"/>
              <w:start w:w="65" w:type="dxa"/>
              <w:bottom w:w="55" w:type="dxa"/>
              <w:end w:w="65" w:type="dxa"/>
            </w:tcMar>
            <w:vAlign w:val="center"/>
          </w:tcPr>
          <w:p>
            <w:r>
              <w:rPr>
                <w:sz w:val="14"/>
              </w:rPr>
              <w:t>Prepayment</w:t>
            </w:r>
          </w:p>
        </w:tc>
        <w:tc>
          <w:tcPr>
            <w:tcW w:type="dxa" w:w="2642"/>
            <w:tcMar>
              <w:top w:w="55" w:type="dxa"/>
              <w:start w:w="65" w:type="dxa"/>
              <w:bottom w:w="55" w:type="dxa"/>
              <w:end w:w="65" w:type="dxa"/>
            </w:tcMar>
            <w:vAlign w:val="center"/>
          </w:tcPr>
          <w:p>
            <w:r>
              <w:rPr>
                <w:sz w:val="14"/>
              </w:rPr>
              <w:t>May require past fees and future estimated fees before processing if expected fees &gt;$50 or prior invoice unpaid.</w:t>
            </w:r>
          </w:p>
        </w:tc>
        <w:tc>
          <w:tcPr>
            <w:tcW w:type="dxa" w:w="2642"/>
            <w:tcMar>
              <w:top w:w="55" w:type="dxa"/>
              <w:start w:w="65" w:type="dxa"/>
              <w:bottom w:w="55" w:type="dxa"/>
              <w:end w:w="65" w:type="dxa"/>
            </w:tcMar>
            <w:vAlign w:val="center"/>
          </w:tcPr>
          <w:p>
            <w:r>
              <w:rPr>
                <w:sz w:val="14"/>
              </w:rPr>
              <w:t>Before processing.</w:t>
            </w:r>
          </w:p>
        </w:tc>
        <w:tc>
          <w:tcPr>
            <w:tcW w:type="dxa" w:w="2642"/>
            <w:tcMar>
              <w:top w:w="55" w:type="dxa"/>
              <w:start w:w="65" w:type="dxa"/>
              <w:bottom w:w="55" w:type="dxa"/>
              <w:end w:w="65" w:type="dxa"/>
            </w:tcMar>
            <w:vAlign w:val="center"/>
          </w:tcPr>
          <w:p>
            <w:r>
              <w:rPr>
                <w:sz w:val="14"/>
              </w:rPr>
              <w:t>State threshold/arrears branch.</w:t>
            </w:r>
          </w:p>
        </w:tc>
      </w:tr>
      <w:tr>
        <w:trPr>
          <w:cantSplit/>
        </w:trPr>
        <w:tc>
          <w:tcPr>
            <w:tcW w:type="dxa" w:w="2642"/>
            <w:tcMar>
              <w:top w:w="55" w:type="dxa"/>
              <w:start w:w="65" w:type="dxa"/>
              <w:bottom w:w="55" w:type="dxa"/>
              <w:end w:w="65" w:type="dxa"/>
            </w:tcMar>
            <w:vAlign w:val="center"/>
            <w:shd w:fill="F8FAFC"/>
          </w:tcPr>
          <w:p>
            <w:r>
              <w:rPr>
                <w:sz w:val="14"/>
              </w:rPr>
              <w:t>Waiver</w:t>
            </w:r>
          </w:p>
        </w:tc>
        <w:tc>
          <w:tcPr>
            <w:tcW w:type="dxa" w:w="2642"/>
            <w:tcMar>
              <w:top w:w="55" w:type="dxa"/>
              <w:start w:w="65" w:type="dxa"/>
              <w:bottom w:w="55" w:type="dxa"/>
              <w:end w:w="65" w:type="dxa"/>
            </w:tcMar>
            <w:vAlign w:val="center"/>
            <w:shd w:fill="F8FAFC"/>
          </w:tcPr>
          <w:p>
            <w:r>
              <w:rPr>
                <w:sz w:val="14"/>
              </w:rPr>
              <w:t>Encouraged for public benefit, subject of record, or implicated legal rights/impecunious requester.</w:t>
            </w:r>
          </w:p>
        </w:tc>
        <w:tc>
          <w:tcPr>
            <w:tcW w:type="dxa" w:w="2642"/>
            <w:tcMar>
              <w:top w:w="55" w:type="dxa"/>
              <w:start w:w="65" w:type="dxa"/>
              <w:bottom w:w="55" w:type="dxa"/>
              <w:end w:w="65" w:type="dxa"/>
            </w:tcMar>
            <w:vAlign w:val="center"/>
            <w:shd w:fill="F8FAFC"/>
          </w:tcPr>
          <w:p>
            <w:r>
              <w:rPr>
                <w:sz w:val="14"/>
              </w:rPr>
              <w:t>Before collection; denial appealable.</w:t>
            </w:r>
          </w:p>
        </w:tc>
        <w:tc>
          <w:tcPr>
            <w:tcW w:type="dxa" w:w="2642"/>
            <w:tcMar>
              <w:top w:w="55" w:type="dxa"/>
              <w:start w:w="65" w:type="dxa"/>
              <w:bottom w:w="55" w:type="dxa"/>
              <w:end w:w="65" w:type="dxa"/>
            </w:tcMar>
            <w:vAlign w:val="center"/>
            <w:shd w:fill="F8FAFC"/>
          </w:tcPr>
          <w:p>
            <w:r>
              <w:rPr>
                <w:sz w:val="14"/>
              </w:rPr>
              <w:t>Human determination.</w:t>
            </w:r>
          </w:p>
        </w:tc>
      </w:tr>
      <w:tr>
        <w:trPr>
          <w:cantSplit/>
        </w:trPr>
        <w:tc>
          <w:tcPr>
            <w:tcW w:type="dxa" w:w="2642"/>
            <w:tcMar>
              <w:top w:w="55" w:type="dxa"/>
              <w:start w:w="65" w:type="dxa"/>
              <w:bottom w:w="55" w:type="dxa"/>
              <w:end w:w="65" w:type="dxa"/>
            </w:tcMar>
            <w:vAlign w:val="center"/>
          </w:tcPr>
          <w:p>
            <w:r>
              <w:rPr>
                <w:sz w:val="14"/>
              </w:rPr>
              <w:t>Refund</w:t>
            </w:r>
          </w:p>
        </w:tc>
        <w:tc>
          <w:tcPr>
            <w:tcW w:type="dxa" w:w="2642"/>
            <w:tcMar>
              <w:top w:w="55" w:type="dxa"/>
              <w:start w:w="65" w:type="dxa"/>
              <w:bottom w:w="55" w:type="dxa"/>
              <w:end w:w="65" w:type="dxa"/>
            </w:tcMar>
            <w:vAlign w:val="center"/>
          </w:tcPr>
          <w:p>
            <w:r>
              <w:rPr>
                <w:sz w:val="14"/>
              </w:rPr>
              <w:t>Return prepaid amount exceeding fees due.</w:t>
            </w:r>
          </w:p>
        </w:tc>
        <w:tc>
          <w:tcPr>
            <w:tcW w:type="dxa" w:w="2642"/>
            <w:tcMar>
              <w:top w:w="55" w:type="dxa"/>
              <w:start w:w="65" w:type="dxa"/>
              <w:bottom w:w="55" w:type="dxa"/>
              <w:end w:w="65" w:type="dxa"/>
            </w:tcMar>
            <w:vAlign w:val="center"/>
          </w:tcPr>
          <w:p>
            <w:r>
              <w:rPr>
                <w:sz w:val="14"/>
              </w:rPr>
              <w:t>At reconciliation.</w:t>
            </w:r>
          </w:p>
        </w:tc>
        <w:tc>
          <w:tcPr>
            <w:tcW w:type="dxa" w:w="2642"/>
            <w:tcMar>
              <w:top w:w="55" w:type="dxa"/>
              <w:start w:w="65" w:type="dxa"/>
              <w:bottom w:w="55" w:type="dxa"/>
              <w:end w:w="65" w:type="dxa"/>
            </w:tcMar>
            <w:vAlign w:val="center"/>
          </w:tcPr>
          <w:p>
            <w:r>
              <w:rPr>
                <w:sz w:val="14"/>
              </w:rPr>
              <w:t>Mandatory accounting rule.</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UT-INT-01</w:t>
            </w:r>
          </w:p>
        </w:tc>
        <w:tc>
          <w:tcPr>
            <w:tcW w:type="dxa" w:w="2114"/>
            <w:tcMar>
              <w:top w:w="55" w:type="dxa"/>
              <w:start w:w="65" w:type="dxa"/>
              <w:bottom w:w="55" w:type="dxa"/>
              <w:end w:w="65" w:type="dxa"/>
            </w:tcMar>
            <w:vAlign w:val="center"/>
          </w:tcPr>
          <w:p>
            <w:r>
              <w:rPr>
                <w:sz w:val="13"/>
              </w:rPr>
              <w:t>Written request received.</w:t>
            </w:r>
          </w:p>
        </w:tc>
        <w:tc>
          <w:tcPr>
            <w:tcW w:type="dxa" w:w="2114"/>
            <w:tcMar>
              <w:top w:w="55" w:type="dxa"/>
              <w:start w:w="65" w:type="dxa"/>
              <w:bottom w:w="55" w:type="dxa"/>
              <w:end w:w="65" w:type="dxa"/>
            </w:tcMar>
            <w:vAlign w:val="center"/>
          </w:tcPr>
          <w:p>
            <w:r>
              <w:rPr>
                <w:sz w:val="13"/>
              </w:rPr>
              <w:t>Validate required contact fields, reasonable specificity, correct entity, and recipient.</w:t>
            </w:r>
          </w:p>
        </w:tc>
        <w:tc>
          <w:tcPr>
            <w:tcW w:type="dxa" w:w="2114"/>
            <w:tcMar>
              <w:top w:w="55" w:type="dxa"/>
              <w:start w:w="65" w:type="dxa"/>
              <w:bottom w:w="55" w:type="dxa"/>
              <w:end w:w="65" w:type="dxa"/>
            </w:tcMar>
            <w:vAlign w:val="center"/>
          </w:tcPr>
          <w:p>
            <w:r>
              <w:rPr>
                <w:sz w:val="13"/>
              </w:rPr>
              <w:t>Before timer start.</w:t>
            </w:r>
          </w:p>
        </w:tc>
        <w:tc>
          <w:tcPr>
            <w:tcW w:type="dxa" w:w="2114"/>
            <w:tcMar>
              <w:top w:w="55" w:type="dxa"/>
              <w:start w:w="65" w:type="dxa"/>
              <w:bottom w:w="55" w:type="dxa"/>
              <w:end w:w="65" w:type="dxa"/>
            </w:tcMar>
            <w:vAlign w:val="center"/>
          </w:tcPr>
          <w:p>
            <w:r>
              <w:rPr>
                <w:sz w:val="13"/>
              </w:rPr>
              <w:t>§ 63G-2-204.</w:t>
            </w:r>
          </w:p>
        </w:tc>
      </w:tr>
      <w:tr>
        <w:trPr>
          <w:cantSplit/>
        </w:trPr>
        <w:tc>
          <w:tcPr>
            <w:tcW w:type="dxa" w:w="2114"/>
            <w:tcMar>
              <w:top w:w="55" w:type="dxa"/>
              <w:start w:w="65" w:type="dxa"/>
              <w:bottom w:w="55" w:type="dxa"/>
              <w:end w:w="65" w:type="dxa"/>
            </w:tcMar>
            <w:vAlign w:val="center"/>
            <w:shd w:fill="F8FAFC"/>
          </w:tcPr>
          <w:p>
            <w:r>
              <w:rPr>
                <w:sz w:val="13"/>
              </w:rPr>
              <w:t>UT-ROUTE-01</w:t>
            </w:r>
          </w:p>
        </w:tc>
        <w:tc>
          <w:tcPr>
            <w:tcW w:type="dxa" w:w="2114"/>
            <w:tcMar>
              <w:top w:w="55" w:type="dxa"/>
              <w:start w:w="65" w:type="dxa"/>
              <w:bottom w:w="55" w:type="dxa"/>
              <w:end w:w="65" w:type="dxa"/>
            </w:tcMar>
            <w:vAlign w:val="center"/>
            <w:shd w:fill="F8FAFC"/>
          </w:tcPr>
          <w:p>
            <w:r>
              <w:rPr>
                <w:sz w:val="13"/>
              </w:rPr>
              <w:t>Wrong office receives request.</w:t>
            </w:r>
          </w:p>
        </w:tc>
        <w:tc>
          <w:tcPr>
            <w:tcW w:type="dxa" w:w="2114"/>
            <w:tcMar>
              <w:top w:w="55" w:type="dxa"/>
              <w:start w:w="65" w:type="dxa"/>
              <w:bottom w:w="55" w:type="dxa"/>
              <w:end w:w="65" w:type="dxa"/>
            </w:tcMar>
            <w:vAlign w:val="center"/>
            <w:shd w:fill="F8FAFC"/>
          </w:tcPr>
          <w:p>
            <w:r>
              <w:rPr>
                <w:sz w:val="13"/>
              </w:rPr>
              <w:t>Promptly forward; start timer at correct-office receipt.</w:t>
            </w:r>
          </w:p>
        </w:tc>
        <w:tc>
          <w:tcPr>
            <w:tcW w:type="dxa" w:w="2114"/>
            <w:tcMar>
              <w:top w:w="55" w:type="dxa"/>
              <w:start w:w="65" w:type="dxa"/>
              <w:bottom w:w="55" w:type="dxa"/>
              <w:end w:w="65" w:type="dxa"/>
            </w:tcMar>
            <w:vAlign w:val="center"/>
            <w:shd w:fill="F8FAFC"/>
          </w:tcPr>
          <w:p>
            <w:r>
              <w:rPr>
                <w:sz w:val="13"/>
              </w:rPr>
              <w:t>Promptly.</w:t>
            </w:r>
          </w:p>
        </w:tc>
        <w:tc>
          <w:tcPr>
            <w:tcW w:type="dxa" w:w="2114"/>
            <w:tcMar>
              <w:top w:w="55" w:type="dxa"/>
              <w:start w:w="65" w:type="dxa"/>
              <w:bottom w:w="55" w:type="dxa"/>
              <w:end w:w="65" w:type="dxa"/>
            </w:tcMar>
            <w:vAlign w:val="center"/>
            <w:shd w:fill="F8FAFC"/>
          </w:tcPr>
          <w:p>
            <w:r>
              <w:rPr>
                <w:sz w:val="13"/>
              </w:rPr>
              <w:t>State routing rule.</w:t>
            </w:r>
          </w:p>
        </w:tc>
      </w:tr>
      <w:tr>
        <w:trPr>
          <w:cantSplit/>
        </w:trPr>
        <w:tc>
          <w:tcPr>
            <w:tcW w:type="dxa" w:w="2114"/>
            <w:tcMar>
              <w:top w:w="55" w:type="dxa"/>
              <w:start w:w="65" w:type="dxa"/>
              <w:bottom w:w="55" w:type="dxa"/>
              <w:end w:w="65" w:type="dxa"/>
            </w:tcMar>
            <w:vAlign w:val="center"/>
          </w:tcPr>
          <w:p>
            <w:r>
              <w:rPr>
                <w:sz w:val="13"/>
              </w:rPr>
              <w:t>UT-EXP-01</w:t>
            </w:r>
          </w:p>
        </w:tc>
        <w:tc>
          <w:tcPr>
            <w:tcW w:type="dxa" w:w="2114"/>
            <w:tcMar>
              <w:top w:w="55" w:type="dxa"/>
              <w:start w:w="65" w:type="dxa"/>
              <w:bottom w:w="55" w:type="dxa"/>
              <w:end w:w="65" w:type="dxa"/>
            </w:tcMar>
            <w:vAlign w:val="center"/>
          </w:tcPr>
          <w:p>
            <w:r>
              <w:rPr>
                <w:sz w:val="13"/>
              </w:rPr>
              <w:t>Expedited public-benefit demonstration accepted.</w:t>
            </w:r>
          </w:p>
        </w:tc>
        <w:tc>
          <w:tcPr>
            <w:tcW w:type="dxa" w:w="2114"/>
            <w:tcMar>
              <w:top w:w="55" w:type="dxa"/>
              <w:start w:w="65" w:type="dxa"/>
              <w:bottom w:w="55" w:type="dxa"/>
              <w:end w:w="65" w:type="dxa"/>
            </w:tcMar>
            <w:vAlign w:val="center"/>
          </w:tcPr>
          <w:p>
            <w:r>
              <w:rPr>
                <w:sz w:val="13"/>
              </w:rPr>
              <w:t>Open five-business-day track.</w:t>
            </w:r>
          </w:p>
        </w:tc>
        <w:tc>
          <w:tcPr>
            <w:tcW w:type="dxa" w:w="2114"/>
            <w:tcMar>
              <w:top w:w="55" w:type="dxa"/>
              <w:start w:w="65" w:type="dxa"/>
              <w:bottom w:w="55" w:type="dxa"/>
              <w:end w:w="65" w:type="dxa"/>
            </w:tcMar>
            <w:vAlign w:val="center"/>
          </w:tcPr>
          <w:p>
            <w:r>
              <w:rPr>
                <w:sz w:val="13"/>
              </w:rPr>
              <w:t>5 business days.</w:t>
            </w:r>
          </w:p>
        </w:tc>
        <w:tc>
          <w:tcPr>
            <w:tcW w:type="dxa" w:w="2114"/>
            <w:tcMar>
              <w:top w:w="55" w:type="dxa"/>
              <w:start w:w="65" w:type="dxa"/>
              <w:bottom w:w="55" w:type="dxa"/>
              <w:end w:w="65" w:type="dxa"/>
            </w:tcMar>
            <w:vAlign w:val="center"/>
          </w:tcPr>
          <w:p>
            <w:r>
              <w:rPr>
                <w:sz w:val="13"/>
              </w:rPr>
              <w:t>Human determination.</w:t>
            </w:r>
          </w:p>
        </w:tc>
      </w:tr>
      <w:tr>
        <w:trPr>
          <w:cantSplit/>
        </w:trPr>
        <w:tc>
          <w:tcPr>
            <w:tcW w:type="dxa" w:w="2114"/>
            <w:tcMar>
              <w:top w:w="55" w:type="dxa"/>
              <w:start w:w="65" w:type="dxa"/>
              <w:bottom w:w="55" w:type="dxa"/>
              <w:end w:w="65" w:type="dxa"/>
            </w:tcMar>
            <w:vAlign w:val="center"/>
            <w:shd w:fill="F8FAFC"/>
          </w:tcPr>
          <w:p>
            <w:r>
              <w:rPr>
                <w:sz w:val="13"/>
              </w:rPr>
              <w:t>UT-EXP-02</w:t>
            </w:r>
          </w:p>
        </w:tc>
        <w:tc>
          <w:tcPr>
            <w:tcW w:type="dxa" w:w="2114"/>
            <w:tcMar>
              <w:top w:w="55" w:type="dxa"/>
              <w:start w:w="65" w:type="dxa"/>
              <w:bottom w:w="55" w:type="dxa"/>
              <w:end w:w="65" w:type="dxa"/>
            </w:tcMar>
            <w:vAlign w:val="center"/>
            <w:shd w:fill="F8FAFC"/>
          </w:tcPr>
          <w:p>
            <w:r>
              <w:rPr>
                <w:sz w:val="13"/>
              </w:rPr>
              <w:t>Expedited status not demonstrated.</w:t>
            </w:r>
          </w:p>
        </w:tc>
        <w:tc>
          <w:tcPr>
            <w:tcW w:type="dxa" w:w="2114"/>
            <w:tcMar>
              <w:top w:w="55" w:type="dxa"/>
              <w:start w:w="65" w:type="dxa"/>
              <w:bottom w:w="55" w:type="dxa"/>
              <w:end w:w="65" w:type="dxa"/>
            </w:tcMar>
            <w:vAlign w:val="center"/>
            <w:shd w:fill="F8FAFC"/>
          </w:tcPr>
          <w:p>
            <w:r>
              <w:rPr>
                <w:sz w:val="13"/>
              </w:rPr>
              <w:t>Notify requester and continue normal track.</w:t>
            </w:r>
          </w:p>
        </w:tc>
        <w:tc>
          <w:tcPr>
            <w:tcW w:type="dxa" w:w="2114"/>
            <w:tcMar>
              <w:top w:w="55" w:type="dxa"/>
              <w:start w:w="65" w:type="dxa"/>
              <w:bottom w:w="55" w:type="dxa"/>
              <w:end w:w="65" w:type="dxa"/>
            </w:tcMar>
            <w:vAlign w:val="center"/>
            <w:shd w:fill="F8FAFC"/>
          </w:tcPr>
          <w:p>
            <w:r>
              <w:rPr>
                <w:sz w:val="13"/>
              </w:rPr>
              <w:t>Notice within 5 business days; normal max 10.</w:t>
            </w:r>
          </w:p>
        </w:tc>
        <w:tc>
          <w:tcPr>
            <w:tcW w:type="dxa" w:w="2114"/>
            <w:tcMar>
              <w:top w:w="55" w:type="dxa"/>
              <w:start w:w="65" w:type="dxa"/>
              <w:bottom w:w="55" w:type="dxa"/>
              <w:end w:w="65" w:type="dxa"/>
            </w:tcMar>
            <w:vAlign w:val="center"/>
            <w:shd w:fill="F8FAFC"/>
          </w:tcPr>
          <w:p>
            <w:r>
              <w:rPr>
                <w:sz w:val="13"/>
              </w:rPr>
              <w:t>Mandatory.</w:t>
            </w:r>
          </w:p>
        </w:tc>
      </w:tr>
      <w:tr>
        <w:trPr>
          <w:cantSplit/>
        </w:trPr>
        <w:tc>
          <w:tcPr>
            <w:tcW w:type="dxa" w:w="2114"/>
            <w:tcMar>
              <w:top w:w="55" w:type="dxa"/>
              <w:start w:w="65" w:type="dxa"/>
              <w:bottom w:w="55" w:type="dxa"/>
              <w:end w:w="65" w:type="dxa"/>
            </w:tcMar>
            <w:vAlign w:val="center"/>
          </w:tcPr>
          <w:p>
            <w:r>
              <w:rPr>
                <w:sz w:val="13"/>
              </w:rPr>
              <w:t>UT-RESP-01</w:t>
            </w:r>
          </w:p>
        </w:tc>
        <w:tc>
          <w:tcPr>
            <w:tcW w:type="dxa" w:w="2114"/>
            <w:tcMar>
              <w:top w:w="55" w:type="dxa"/>
              <w:start w:w="65" w:type="dxa"/>
              <w:bottom w:w="55" w:type="dxa"/>
              <w:end w:w="65" w:type="dxa"/>
            </w:tcMar>
            <w:vAlign w:val="center"/>
          </w:tcPr>
          <w:p>
            <w:r>
              <w:rPr>
                <w:sz w:val="13"/>
              </w:rPr>
              <w:t>Normal/expedited deadline.</w:t>
            </w:r>
          </w:p>
        </w:tc>
        <w:tc>
          <w:tcPr>
            <w:tcW w:type="dxa" w:w="2114"/>
            <w:tcMar>
              <w:top w:w="55" w:type="dxa"/>
              <w:start w:w="65" w:type="dxa"/>
              <w:bottom w:w="55" w:type="dxa"/>
              <w:end w:w="65" w:type="dxa"/>
            </w:tcMar>
            <w:vAlign w:val="center"/>
          </w:tcPr>
          <w:p>
            <w:r>
              <w:rPr>
                <w:sz w:val="13"/>
              </w:rPr>
              <w:t>Provide, deny, state noncustody, or issue extraordinary notice.</w:t>
            </w:r>
          </w:p>
        </w:tc>
        <w:tc>
          <w:tcPr>
            <w:tcW w:type="dxa" w:w="2114"/>
            <w:tcMar>
              <w:top w:w="55" w:type="dxa"/>
              <w:start w:w="65" w:type="dxa"/>
              <w:bottom w:w="55" w:type="dxa"/>
              <w:end w:w="65" w:type="dxa"/>
            </w:tcMar>
            <w:vAlign w:val="center"/>
          </w:tcPr>
          <w:p>
            <w:r>
              <w:rPr>
                <w:sz w:val="13"/>
              </w:rPr>
              <w:t>10 or 5 business days.</w:t>
            </w:r>
          </w:p>
        </w:tc>
        <w:tc>
          <w:tcPr>
            <w:tcW w:type="dxa" w:w="2114"/>
            <w:tcMar>
              <w:top w:w="55" w:type="dxa"/>
              <w:start w:w="65" w:type="dxa"/>
              <w:bottom w:w="55" w:type="dxa"/>
              <w:end w:w="65" w:type="dxa"/>
            </w:tcMar>
            <w:vAlign w:val="center"/>
          </w:tcPr>
          <w:p>
            <w:r>
              <w:rPr>
                <w:sz w:val="13"/>
              </w:rPr>
              <w:t>§ 63G-2-204.</w:t>
            </w:r>
          </w:p>
        </w:tc>
      </w:tr>
      <w:tr>
        <w:trPr>
          <w:cantSplit/>
        </w:trPr>
        <w:tc>
          <w:tcPr>
            <w:tcW w:type="dxa" w:w="2114"/>
            <w:tcMar>
              <w:top w:w="55" w:type="dxa"/>
              <w:start w:w="65" w:type="dxa"/>
              <w:bottom w:w="55" w:type="dxa"/>
              <w:end w:w="65" w:type="dxa"/>
            </w:tcMar>
            <w:vAlign w:val="center"/>
            <w:shd w:fill="F8FAFC"/>
          </w:tcPr>
          <w:p>
            <w:r>
              <w:rPr>
                <w:sz w:val="13"/>
              </w:rPr>
              <w:t>UT-EXT-01</w:t>
            </w:r>
          </w:p>
        </w:tc>
        <w:tc>
          <w:tcPr>
            <w:tcW w:type="dxa" w:w="2114"/>
            <w:tcMar>
              <w:top w:w="55" w:type="dxa"/>
              <w:start w:w="65" w:type="dxa"/>
              <w:bottom w:w="55" w:type="dxa"/>
              <w:end w:w="65" w:type="dxa"/>
            </w:tcMar>
            <w:vAlign w:val="center"/>
            <w:shd w:fill="F8FAFC"/>
          </w:tcPr>
          <w:p>
            <w:r>
              <w:rPr>
                <w:sz w:val="13"/>
              </w:rPr>
              <w:t>Extraordinary circumstance exists.</w:t>
            </w:r>
          </w:p>
        </w:tc>
        <w:tc>
          <w:tcPr>
            <w:tcW w:type="dxa" w:w="2114"/>
            <w:tcMar>
              <w:top w:w="55" w:type="dxa"/>
              <w:start w:w="65" w:type="dxa"/>
              <w:bottom w:w="55" w:type="dxa"/>
              <w:end w:w="65" w:type="dxa"/>
            </w:tcMar>
            <w:vAlign w:val="center"/>
            <w:shd w:fill="F8FAFC"/>
          </w:tcPr>
          <w:p>
            <w:r>
              <w:rPr>
                <w:sz w:val="13"/>
              </w:rPr>
              <w:t>Select subtype; issue description and availability/estimated-time information; follow subtype completion rule.</w:t>
            </w:r>
          </w:p>
        </w:tc>
        <w:tc>
          <w:tcPr>
            <w:tcW w:type="dxa" w:w="2114"/>
            <w:tcMar>
              <w:top w:w="55" w:type="dxa"/>
              <w:start w:w="65" w:type="dxa"/>
              <w:bottom w:w="55" w:type="dxa"/>
              <w:end w:w="65" w:type="dxa"/>
            </w:tcMar>
            <w:vAlign w:val="center"/>
            <w:shd w:fill="F8FAFC"/>
          </w:tcPr>
          <w:p>
            <w:r>
              <w:rPr>
                <w:sz w:val="13"/>
              </w:rPr>
              <w:t>Subtype-specific.</w:t>
            </w:r>
          </w:p>
        </w:tc>
        <w:tc>
          <w:tcPr>
            <w:tcW w:type="dxa" w:w="2114"/>
            <w:tcMar>
              <w:top w:w="55" w:type="dxa"/>
              <w:start w:w="65" w:type="dxa"/>
              <w:bottom w:w="55" w:type="dxa"/>
              <w:end w:w="65" w:type="dxa"/>
            </w:tcMar>
            <w:vAlign w:val="center"/>
            <w:shd w:fill="F8FAFC"/>
          </w:tcPr>
          <w:p>
            <w:r>
              <w:rPr>
                <w:sz w:val="13"/>
              </w:rPr>
              <w:t>Do not use generic extension.</w:t>
            </w:r>
          </w:p>
        </w:tc>
      </w:tr>
      <w:tr>
        <w:trPr>
          <w:cantSplit/>
        </w:trPr>
        <w:tc>
          <w:tcPr>
            <w:tcW w:type="dxa" w:w="2114"/>
            <w:tcMar>
              <w:top w:w="55" w:type="dxa"/>
              <w:start w:w="65" w:type="dxa"/>
              <w:bottom w:w="55" w:type="dxa"/>
              <w:end w:w="65" w:type="dxa"/>
            </w:tcMar>
            <w:vAlign w:val="center"/>
          </w:tcPr>
          <w:p>
            <w:r>
              <w:rPr>
                <w:sz w:val="13"/>
              </w:rPr>
              <w:t>UT-FEE-01</w:t>
            </w:r>
          </w:p>
        </w:tc>
        <w:tc>
          <w:tcPr>
            <w:tcW w:type="dxa" w:w="2114"/>
            <w:tcMar>
              <w:top w:w="55" w:type="dxa"/>
              <w:start w:w="65" w:type="dxa"/>
              <w:bottom w:w="55" w:type="dxa"/>
              <w:end w:w="65" w:type="dxa"/>
            </w:tcMar>
            <w:vAlign w:val="center"/>
          </w:tcPr>
          <w:p>
            <w:r>
              <w:rPr>
                <w:sz w:val="13"/>
              </w:rPr>
              <w:t>Expected fees &gt;$50 or prior invoiced fees unpaid.</w:t>
            </w:r>
          </w:p>
        </w:tc>
        <w:tc>
          <w:tcPr>
            <w:tcW w:type="dxa" w:w="2114"/>
            <w:tcMar>
              <w:top w:w="55" w:type="dxa"/>
              <w:start w:w="65" w:type="dxa"/>
              <w:bottom w:w="55" w:type="dxa"/>
              <w:end w:w="65" w:type="dxa"/>
            </w:tcMar>
            <w:vAlign w:val="center"/>
          </w:tcPr>
          <w:p>
            <w:r>
              <w:rPr>
                <w:sz w:val="13"/>
              </w:rPr>
              <w:t>Require configured prepayment and suspend processing until paid.</w:t>
            </w:r>
          </w:p>
        </w:tc>
        <w:tc>
          <w:tcPr>
            <w:tcW w:type="dxa" w:w="2114"/>
            <w:tcMar>
              <w:top w:w="55" w:type="dxa"/>
              <w:start w:w="65" w:type="dxa"/>
              <w:bottom w:w="55" w:type="dxa"/>
              <w:end w:w="65" w:type="dxa"/>
            </w:tcMar>
            <w:vAlign w:val="center"/>
          </w:tcPr>
          <w:p>
            <w:r>
              <w:rPr>
                <w:sz w:val="13"/>
              </w:rPr>
              <w:t>Before beginning processing.</w:t>
            </w:r>
          </w:p>
        </w:tc>
        <w:tc>
          <w:tcPr>
            <w:tcW w:type="dxa" w:w="2114"/>
            <w:tcMar>
              <w:top w:w="55" w:type="dxa"/>
              <w:start w:w="65" w:type="dxa"/>
              <w:bottom w:w="55" w:type="dxa"/>
              <w:end w:w="65" w:type="dxa"/>
            </w:tcMar>
            <w:vAlign w:val="center"/>
          </w:tcPr>
          <w:p>
            <w:r>
              <w:rPr>
                <w:sz w:val="13"/>
              </w:rPr>
              <w:t>§ 63G-2-203(8).</w:t>
            </w:r>
          </w:p>
        </w:tc>
      </w:tr>
      <w:tr>
        <w:trPr>
          <w:cantSplit/>
        </w:trPr>
        <w:tc>
          <w:tcPr>
            <w:tcW w:type="dxa" w:w="2114"/>
            <w:tcMar>
              <w:top w:w="55" w:type="dxa"/>
              <w:start w:w="65" w:type="dxa"/>
              <w:bottom w:w="55" w:type="dxa"/>
              <w:end w:w="65" w:type="dxa"/>
            </w:tcMar>
            <w:vAlign w:val="center"/>
            <w:shd w:fill="F8FAFC"/>
          </w:tcPr>
          <w:p>
            <w:r>
              <w:rPr>
                <w:sz w:val="13"/>
              </w:rPr>
              <w:t>UT-DEN-01</w:t>
            </w:r>
          </w:p>
        </w:tc>
        <w:tc>
          <w:tcPr>
            <w:tcW w:type="dxa" w:w="2114"/>
            <w:tcMar>
              <w:top w:w="55" w:type="dxa"/>
              <w:start w:w="65" w:type="dxa"/>
              <w:bottom w:w="55" w:type="dxa"/>
              <w:end w:w="65" w:type="dxa"/>
            </w:tcMar>
            <w:vAlign w:val="center"/>
            <w:shd w:fill="F8FAFC"/>
          </w:tcPr>
          <w:p>
            <w:r>
              <w:rPr>
                <w:sz w:val="13"/>
              </w:rPr>
              <w:t>Full/partial denial or deemed denial.</w:t>
            </w:r>
          </w:p>
        </w:tc>
        <w:tc>
          <w:tcPr>
            <w:tcW w:type="dxa" w:w="2114"/>
            <w:tcMar>
              <w:top w:w="55" w:type="dxa"/>
              <w:start w:w="65" w:type="dxa"/>
              <w:bottom w:w="55" w:type="dxa"/>
              <w:end w:w="65" w:type="dxa"/>
            </w:tcMar>
            <w:vAlign w:val="center"/>
            <w:shd w:fill="F8FAFC"/>
          </w:tcPr>
          <w:p>
            <w:r>
              <w:rPr>
                <w:sz w:val="13"/>
              </w:rPr>
              <w:t>Generate structured § 205 notice and appeal route; flag deemed denial at missed deadline.</w:t>
            </w:r>
          </w:p>
        </w:tc>
        <w:tc>
          <w:tcPr>
            <w:tcW w:type="dxa" w:w="2114"/>
            <w:tcMar>
              <w:top w:w="55" w:type="dxa"/>
              <w:start w:w="65" w:type="dxa"/>
              <w:bottom w:w="55" w:type="dxa"/>
              <w:end w:w="65" w:type="dxa"/>
            </w:tcMar>
            <w:vAlign w:val="center"/>
            <w:shd w:fill="F8FAFC"/>
          </w:tcPr>
          <w:p>
            <w:r>
              <w:rPr>
                <w:sz w:val="13"/>
              </w:rPr>
              <w:t>With denial / deadline expiration.</w:t>
            </w:r>
          </w:p>
        </w:tc>
        <w:tc>
          <w:tcPr>
            <w:tcW w:type="dxa" w:w="2114"/>
            <w:tcMar>
              <w:top w:w="55" w:type="dxa"/>
              <w:start w:w="65" w:type="dxa"/>
              <w:bottom w:w="55" w:type="dxa"/>
              <w:end w:w="65" w:type="dxa"/>
            </w:tcMar>
            <w:vAlign w:val="center"/>
            <w:shd w:fill="F8FAFC"/>
          </w:tcPr>
          <w:p>
            <w:r>
              <w:rPr>
                <w:sz w:val="13"/>
              </w:rPr>
              <w:t>Mandatory.</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Correct recipient and routing</w:t>
            </w:r>
          </w:p>
        </w:tc>
        <w:tc>
          <w:tcPr>
            <w:tcW w:type="dxa" w:w="2642"/>
            <w:tcMar>
              <w:top w:w="55" w:type="dxa"/>
              <w:start w:w="65" w:type="dxa"/>
              <w:bottom w:w="55" w:type="dxa"/>
              <w:end w:w="65" w:type="dxa"/>
            </w:tcMar>
            <w:vAlign w:val="center"/>
          </w:tcPr>
          <w:p>
            <w:r>
              <w:rPr>
                <w:sz w:val="14"/>
              </w:rPr>
              <w:t>Local rules</w:t>
            </w:r>
          </w:p>
        </w:tc>
        <w:tc>
          <w:tcPr>
            <w:tcW w:type="dxa" w:w="2642"/>
            <w:tcMar>
              <w:top w:w="55" w:type="dxa"/>
              <w:start w:w="65" w:type="dxa"/>
              <w:bottom w:w="55" w:type="dxa"/>
              <w:end w:w="65" w:type="dxa"/>
            </w:tcMar>
            <w:vAlign w:val="center"/>
          </w:tcPr>
          <w:p>
            <w:r>
              <w:rPr>
                <w:sz w:val="14"/>
              </w:rPr>
              <w:t>Where/to whom requests are directed; forwarding map.</w:t>
            </w:r>
          </w:p>
        </w:tc>
        <w:tc>
          <w:tcPr>
            <w:tcW w:type="dxa" w:w="2642"/>
            <w:tcMar>
              <w:top w:w="55" w:type="dxa"/>
              <w:start w:w="65" w:type="dxa"/>
              <w:bottom w:w="55" w:type="dxa"/>
              <w:end w:w="65" w:type="dxa"/>
            </w:tcMar>
            <w:vAlign w:val="center"/>
          </w:tcPr>
          <w:p>
            <w:r>
              <w:rPr>
                <w:sz w:val="14"/>
              </w:rPr>
              <w:t>Controls effective receipt.</w:t>
            </w:r>
          </w:p>
        </w:tc>
      </w:tr>
      <w:tr>
        <w:trPr>
          <w:cantSplit/>
        </w:trPr>
        <w:tc>
          <w:tcPr>
            <w:tcW w:type="dxa" w:w="2642"/>
            <w:tcMar>
              <w:top w:w="55" w:type="dxa"/>
              <w:start w:w="65" w:type="dxa"/>
              <w:bottom w:w="55" w:type="dxa"/>
              <w:end w:w="65" w:type="dxa"/>
            </w:tcMar>
            <w:vAlign w:val="center"/>
            <w:shd w:fill="F8FAFC"/>
          </w:tcPr>
          <w:p>
            <w:r>
              <w:rPr>
                <w:sz w:val="14"/>
              </w:rPr>
              <w:t>Expedited public-benefit criteria/approver</w:t>
            </w:r>
          </w:p>
        </w:tc>
        <w:tc>
          <w:tcPr>
            <w:tcW w:type="dxa" w:w="2642"/>
            <w:tcMar>
              <w:top w:w="55" w:type="dxa"/>
              <w:start w:w="65" w:type="dxa"/>
              <w:bottom w:w="55" w:type="dxa"/>
              <w:end w:w="65" w:type="dxa"/>
            </w:tcMar>
            <w:vAlign w:val="center"/>
            <w:shd w:fill="F8FAFC"/>
          </w:tcPr>
          <w:p>
            <w:r>
              <w:rPr>
                <w:sz w:val="14"/>
              </w:rPr>
              <w:t>State standard + human decision</w:t>
            </w:r>
          </w:p>
        </w:tc>
        <w:tc>
          <w:tcPr>
            <w:tcW w:type="dxa" w:w="2642"/>
            <w:tcMar>
              <w:top w:w="55" w:type="dxa"/>
              <w:start w:w="65" w:type="dxa"/>
              <w:bottom w:w="55" w:type="dxa"/>
              <w:end w:w="65" w:type="dxa"/>
            </w:tcMar>
            <w:vAlign w:val="center"/>
            <w:shd w:fill="F8FAFC"/>
          </w:tcPr>
          <w:p>
            <w:r>
              <w:rPr>
                <w:sz w:val="14"/>
              </w:rPr>
              <w:t>Evidence fields and decision role.</w:t>
            </w:r>
          </w:p>
        </w:tc>
        <w:tc>
          <w:tcPr>
            <w:tcW w:type="dxa" w:w="2642"/>
            <w:tcMar>
              <w:top w:w="55" w:type="dxa"/>
              <w:start w:w="65" w:type="dxa"/>
              <w:bottom w:w="55" w:type="dxa"/>
              <w:end w:w="65" w:type="dxa"/>
            </w:tcMar>
            <w:vAlign w:val="center"/>
            <w:shd w:fill="F8FAFC"/>
          </w:tcPr>
          <w:p>
            <w:r>
              <w:rPr>
                <w:sz w:val="14"/>
              </w:rPr>
              <w:t>5-day notice if rejected.</w:t>
            </w:r>
          </w:p>
        </w:tc>
      </w:tr>
      <w:tr>
        <w:trPr>
          <w:cantSplit/>
        </w:trPr>
        <w:tc>
          <w:tcPr>
            <w:tcW w:type="dxa" w:w="2642"/>
            <w:tcMar>
              <w:top w:w="55" w:type="dxa"/>
              <w:start w:w="65" w:type="dxa"/>
              <w:bottom w:w="55" w:type="dxa"/>
              <w:end w:w="65" w:type="dxa"/>
            </w:tcMar>
            <w:vAlign w:val="center"/>
          </w:tcPr>
          <w:p>
            <w:r>
              <w:rPr>
                <w:sz w:val="14"/>
              </w:rPr>
              <w:t>Extraordinary-circumstance subtype catalog</w:t>
            </w:r>
          </w:p>
        </w:tc>
        <w:tc>
          <w:tcPr>
            <w:tcW w:type="dxa" w:w="2642"/>
            <w:tcMar>
              <w:top w:w="55" w:type="dxa"/>
              <w:start w:w="65" w:type="dxa"/>
              <w:bottom w:w="55" w:type="dxa"/>
              <w:end w:w="65" w:type="dxa"/>
            </w:tcMar>
            <w:vAlign w:val="center"/>
          </w:tcPr>
          <w:p>
            <w:r>
              <w:rPr>
                <w:sz w:val="14"/>
              </w:rPr>
              <w:t>State law</w:t>
            </w:r>
          </w:p>
        </w:tc>
        <w:tc>
          <w:tcPr>
            <w:tcW w:type="dxa" w:w="2642"/>
            <w:tcMar>
              <w:top w:w="55" w:type="dxa"/>
              <w:start w:w="65" w:type="dxa"/>
              <w:bottom w:w="55" w:type="dxa"/>
              <w:end w:w="65" w:type="dxa"/>
            </w:tcMar>
            <w:vAlign w:val="center"/>
          </w:tcPr>
          <w:p>
            <w:r>
              <w:rPr>
                <w:sz w:val="14"/>
              </w:rPr>
              <w:t>Each trigger, notice, completion rule, partial-release duty.</w:t>
            </w:r>
          </w:p>
        </w:tc>
        <w:tc>
          <w:tcPr>
            <w:tcW w:type="dxa" w:w="2642"/>
            <w:tcMar>
              <w:top w:w="55" w:type="dxa"/>
              <w:start w:w="65" w:type="dxa"/>
              <w:bottom w:w="55" w:type="dxa"/>
              <w:end w:w="65" w:type="dxa"/>
            </w:tcMar>
            <w:vAlign w:val="center"/>
          </w:tcPr>
          <w:p>
            <w:r>
              <w:rPr>
                <w:sz w:val="14"/>
              </w:rPr>
              <w:t>Noneditable legal template with local roles.</w:t>
            </w:r>
          </w:p>
        </w:tc>
      </w:tr>
      <w:tr>
        <w:trPr>
          <w:cantSplit/>
        </w:trPr>
        <w:tc>
          <w:tcPr>
            <w:tcW w:type="dxa" w:w="2642"/>
            <w:tcMar>
              <w:top w:w="55" w:type="dxa"/>
              <w:start w:w="65" w:type="dxa"/>
              <w:bottom w:w="55" w:type="dxa"/>
              <w:end w:w="65" w:type="dxa"/>
            </w:tcMar>
            <w:vAlign w:val="center"/>
            <w:shd w:fill="F8FAFC"/>
          </w:tcPr>
          <w:p>
            <w:r>
              <w:rPr>
                <w:sz w:val="14"/>
              </w:rPr>
              <w:t>City fee ordinance/formal policy</w:t>
            </w:r>
          </w:p>
        </w:tc>
        <w:tc>
          <w:tcPr>
            <w:tcW w:type="dxa" w:w="2642"/>
            <w:tcMar>
              <w:top w:w="55" w:type="dxa"/>
              <w:start w:w="65" w:type="dxa"/>
              <w:bottom w:w="55" w:type="dxa"/>
              <w:end w:w="65" w:type="dxa"/>
            </w:tcMar>
            <w:vAlign w:val="center"/>
            <w:shd w:fill="F8FAFC"/>
          </w:tcPr>
          <w:p>
            <w:r>
              <w:rPr>
                <w:sz w:val="14"/>
              </w:rPr>
              <w:t>Local law/policy</w:t>
            </w:r>
          </w:p>
        </w:tc>
        <w:tc>
          <w:tcPr>
            <w:tcW w:type="dxa" w:w="2642"/>
            <w:tcMar>
              <w:top w:w="55" w:type="dxa"/>
              <w:start w:w="65" w:type="dxa"/>
              <w:bottom w:w="55" w:type="dxa"/>
              <w:end w:w="65" w:type="dxa"/>
            </w:tcMar>
            <w:vAlign w:val="center"/>
            <w:shd w:fill="F8FAFC"/>
          </w:tcPr>
          <w:p>
            <w:r>
              <w:rPr>
                <w:sz w:val="14"/>
              </w:rPr>
              <w:t>Actual-cost components and rates.</w:t>
            </w:r>
          </w:p>
        </w:tc>
        <w:tc>
          <w:tcPr>
            <w:tcW w:type="dxa" w:w="2642"/>
            <w:tcMar>
              <w:top w:w="55" w:type="dxa"/>
              <w:start w:w="65" w:type="dxa"/>
              <w:bottom w:w="55" w:type="dxa"/>
              <w:end w:w="65" w:type="dxa"/>
            </w:tcMar>
            <w:vAlign w:val="center"/>
            <w:shd w:fill="F8FAFC"/>
          </w:tcPr>
          <w:p>
            <w:r>
              <w:rPr>
                <w:sz w:val="14"/>
              </w:rPr>
              <w:t>Required for political subdivision fees.</w:t>
            </w:r>
          </w:p>
        </w:tc>
      </w:tr>
      <w:tr>
        <w:trPr>
          <w:cantSplit/>
        </w:trPr>
        <w:tc>
          <w:tcPr>
            <w:tcW w:type="dxa" w:w="2642"/>
            <w:tcMar>
              <w:top w:w="55" w:type="dxa"/>
              <w:start w:w="65" w:type="dxa"/>
              <w:bottom w:w="55" w:type="dxa"/>
              <w:end w:w="65" w:type="dxa"/>
            </w:tcMar>
            <w:vAlign w:val="center"/>
          </w:tcPr>
          <w:p>
            <w:r>
              <w:rPr>
                <w:sz w:val="14"/>
              </w:rPr>
              <w:t>Free quarter-hour logic</w:t>
            </w:r>
          </w:p>
        </w:tc>
        <w:tc>
          <w:tcPr>
            <w:tcW w:type="dxa" w:w="2642"/>
            <w:tcMar>
              <w:top w:w="55" w:type="dxa"/>
              <w:start w:w="65" w:type="dxa"/>
              <w:bottom w:w="55" w:type="dxa"/>
              <w:end w:w="65" w:type="dxa"/>
            </w:tcMar>
            <w:vAlign w:val="center"/>
          </w:tcPr>
          <w:p>
            <w:r>
              <w:rPr>
                <w:sz w:val="14"/>
              </w:rPr>
              <w:t>State law</w:t>
            </w:r>
          </w:p>
        </w:tc>
        <w:tc>
          <w:tcPr>
            <w:tcW w:type="dxa" w:w="2642"/>
            <w:tcMar>
              <w:top w:w="55" w:type="dxa"/>
              <w:start w:w="65" w:type="dxa"/>
              <w:bottom w:w="55" w:type="dxa"/>
              <w:end w:w="65" w:type="dxa"/>
            </w:tcMar>
            <w:vAlign w:val="center"/>
          </w:tcPr>
          <w:p>
            <w:r>
              <w:rPr>
                <w:sz w:val="14"/>
              </w:rPr>
              <w:t>Allowance and repeat-request exception.</w:t>
            </w:r>
          </w:p>
        </w:tc>
        <w:tc>
          <w:tcPr>
            <w:tcW w:type="dxa" w:w="2642"/>
            <w:tcMar>
              <w:top w:w="55" w:type="dxa"/>
              <w:start w:w="65" w:type="dxa"/>
              <w:bottom w:w="55" w:type="dxa"/>
              <w:end w:w="65" w:type="dxa"/>
            </w:tcMar>
            <w:vAlign w:val="center"/>
          </w:tcPr>
          <w:p>
            <w:r>
              <w:rPr>
                <w:sz w:val="14"/>
              </w:rPr>
              <w:t>Requires requester/request-history classification.</w:t>
            </w:r>
          </w:p>
        </w:tc>
      </w:tr>
      <w:tr>
        <w:trPr>
          <w:cantSplit/>
        </w:trPr>
        <w:tc>
          <w:tcPr>
            <w:tcW w:type="dxa" w:w="2642"/>
            <w:tcMar>
              <w:top w:w="55" w:type="dxa"/>
              <w:start w:w="65" w:type="dxa"/>
              <w:bottom w:w="55" w:type="dxa"/>
              <w:end w:w="65" w:type="dxa"/>
            </w:tcMar>
            <w:vAlign w:val="center"/>
            <w:shd w:fill="F8FAFC"/>
          </w:tcPr>
          <w:p>
            <w:r>
              <w:rPr>
                <w:sz w:val="14"/>
              </w:rPr>
              <w:t>Prepayment rule</w:t>
            </w:r>
          </w:p>
        </w:tc>
        <w:tc>
          <w:tcPr>
            <w:tcW w:type="dxa" w:w="2642"/>
            <w:tcMar>
              <w:top w:w="55" w:type="dxa"/>
              <w:start w:w="65" w:type="dxa"/>
              <w:bottom w:w="55" w:type="dxa"/>
              <w:end w:w="65" w:type="dxa"/>
            </w:tcMar>
            <w:vAlign w:val="center"/>
            <w:shd w:fill="F8FAFC"/>
          </w:tcPr>
          <w:p>
            <w:r>
              <w:rPr>
                <w:sz w:val="14"/>
              </w:rPr>
              <w:t>State law + local invocation</w:t>
            </w:r>
          </w:p>
        </w:tc>
        <w:tc>
          <w:tcPr>
            <w:tcW w:type="dxa" w:w="2642"/>
            <w:tcMar>
              <w:top w:w="55" w:type="dxa"/>
              <w:start w:w="65" w:type="dxa"/>
              <w:bottom w:w="55" w:type="dxa"/>
              <w:end w:w="65" w:type="dxa"/>
            </w:tcMar>
            <w:vAlign w:val="center"/>
            <w:shd w:fill="F8FAFC"/>
          </w:tcPr>
          <w:p>
            <w:r>
              <w:rPr>
                <w:sz w:val="14"/>
              </w:rPr>
              <w:t>&gt;$50 expected or prior invoice unpaid.</w:t>
            </w:r>
          </w:p>
        </w:tc>
        <w:tc>
          <w:tcPr>
            <w:tcW w:type="dxa" w:w="2642"/>
            <w:tcMar>
              <w:top w:w="55" w:type="dxa"/>
              <w:start w:w="65" w:type="dxa"/>
              <w:bottom w:w="55" w:type="dxa"/>
              <w:end w:w="65" w:type="dxa"/>
            </w:tcMar>
            <w:vAlign w:val="center"/>
            <w:shd w:fill="F8FAFC"/>
          </w:tcPr>
          <w:p>
            <w:r>
              <w:rPr>
                <w:sz w:val="14"/>
              </w:rPr>
              <w:t>Payment gate.</w:t>
            </w:r>
          </w:p>
        </w:tc>
      </w:tr>
      <w:tr>
        <w:trPr>
          <w:cantSplit/>
        </w:trPr>
        <w:tc>
          <w:tcPr>
            <w:tcW w:type="dxa" w:w="2642"/>
            <w:tcMar>
              <w:top w:w="55" w:type="dxa"/>
              <w:start w:w="65" w:type="dxa"/>
              <w:bottom w:w="55" w:type="dxa"/>
              <w:end w:w="65" w:type="dxa"/>
            </w:tcMar>
            <w:vAlign w:val="center"/>
          </w:tcPr>
          <w:p>
            <w:r>
              <w:rPr>
                <w:sz w:val="14"/>
              </w:rPr>
              <w:t>Waiver decision</w:t>
            </w:r>
          </w:p>
        </w:tc>
        <w:tc>
          <w:tcPr>
            <w:tcW w:type="dxa" w:w="2642"/>
            <w:tcMar>
              <w:top w:w="55" w:type="dxa"/>
              <w:start w:w="65" w:type="dxa"/>
              <w:bottom w:w="55" w:type="dxa"/>
              <w:end w:w="65" w:type="dxa"/>
            </w:tcMar>
            <w:vAlign w:val="center"/>
          </w:tcPr>
          <w:p>
            <w:r>
              <w:rPr>
                <w:sz w:val="14"/>
              </w:rPr>
              <w:t>State law + human determination</w:t>
            </w:r>
          </w:p>
        </w:tc>
        <w:tc>
          <w:tcPr>
            <w:tcW w:type="dxa" w:w="2642"/>
            <w:tcMar>
              <w:top w:w="55" w:type="dxa"/>
              <w:start w:w="65" w:type="dxa"/>
              <w:bottom w:w="55" w:type="dxa"/>
              <w:end w:w="65" w:type="dxa"/>
            </w:tcMar>
            <w:vAlign w:val="center"/>
          </w:tcPr>
          <w:p>
            <w:r>
              <w:rPr>
                <w:sz w:val="14"/>
              </w:rPr>
              <w:t>Public benefit/subject/legal rights/impecunious.</w:t>
            </w:r>
          </w:p>
        </w:tc>
        <w:tc>
          <w:tcPr>
            <w:tcW w:type="dxa" w:w="2642"/>
            <w:tcMar>
              <w:top w:w="55" w:type="dxa"/>
              <w:start w:w="65" w:type="dxa"/>
              <w:bottom w:w="55" w:type="dxa"/>
              <w:end w:w="65" w:type="dxa"/>
            </w:tcMar>
            <w:vAlign w:val="center"/>
          </w:tcPr>
          <w:p>
            <w:r>
              <w:rPr>
                <w:sz w:val="14"/>
              </w:rPr>
              <w:t>Appealable decision.</w:t>
            </w:r>
          </w:p>
        </w:tc>
      </w:tr>
      <w:tr>
        <w:trPr>
          <w:cantSplit/>
        </w:trPr>
        <w:tc>
          <w:tcPr>
            <w:tcW w:type="dxa" w:w="2642"/>
            <w:tcMar>
              <w:top w:w="55" w:type="dxa"/>
              <w:start w:w="65" w:type="dxa"/>
              <w:bottom w:w="55" w:type="dxa"/>
              <w:end w:w="65" w:type="dxa"/>
            </w:tcMar>
            <w:vAlign w:val="center"/>
            <w:shd w:fill="F8FAFC"/>
          </w:tcPr>
          <w:p>
            <w:r>
              <w:rPr>
                <w:sz w:val="14"/>
              </w:rPr>
              <w:t>Clarification/nonresponse policy</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Assistance, reminders, closure.</w:t>
            </w:r>
          </w:p>
        </w:tc>
        <w:tc>
          <w:tcPr>
            <w:tcW w:type="dxa" w:w="2642"/>
            <w:tcMar>
              <w:top w:w="55" w:type="dxa"/>
              <w:start w:w="65" w:type="dxa"/>
              <w:bottom w:w="55" w:type="dxa"/>
              <w:end w:w="65" w:type="dxa"/>
            </w:tcMar>
            <w:vAlign w:val="center"/>
            <w:shd w:fill="F8FAFC"/>
          </w:tcPr>
          <w:p>
            <w:r>
              <w:rPr>
                <w:sz w:val="14"/>
              </w:rPr>
              <w:t>No general statutory toll/abandonment value.</w:t>
            </w:r>
          </w:p>
        </w:tc>
      </w:tr>
    </w:tbl>
    <w:p>
      <w:pPr>
        <w:pStyle w:val="Heading1"/>
      </w:pPr>
      <w:r>
        <w:t>12. Recommended Workflow States and Transitions</w:t>
      </w:r>
    </w:p>
    <w:p>
      <w:r>
        <w:rPr>
          <w:b/>
        </w:rPr>
        <w:t xml:space="preserve">Recommended state sequence: </w:t>
      </w:r>
      <w:r>
        <w:t>Received -&gt; Correct-Office Routing -&gt; Specificity/Expedited Review -&gt; Normal 10-Day or Expedited 5-Day Track -&gt; Provide / Deny / Noncustody / Extraordinary Subtype -&gt; Fee/Prepayment -&gt; Partial Release + Search/Editing/Programming/Legal Analysis per subtype -&gt; Final Production/Denial -&gt; Refund/Appeal -&gt; Closed.</w:t>
      </w:r>
    </w:p>
    <w:p>
      <w:pPr>
        <w:pStyle w:val="Heading1"/>
      </w:pPr>
      <w:r>
        <w:t>13. Unresolved Questions and Local-Policy Decisions</w:t>
      </w:r>
    </w:p>
    <w:p>
      <w:pPr>
        <w:pStyle w:val="ListBullet"/>
        <w:spacing w:after="30"/>
      </w:pPr>
      <w:r>
        <w:t>Who decides whether expedited response primarily benefits the public, and what evidence will be required?</w:t>
      </w:r>
    </w:p>
    <w:p>
      <w:pPr>
        <w:pStyle w:val="ListBullet"/>
        <w:spacing w:after="30"/>
      </w:pPr>
      <w:r>
        <w:t>How will each extraordinary-circumstance subtype be presented in the UI with its distinct timer and notice requirements?</w:t>
      </w:r>
    </w:p>
    <w:p>
      <w:pPr>
        <w:pStyle w:val="ListBullet"/>
        <w:spacing w:after="30"/>
      </w:pPr>
      <w:r>
        <w:t>What city ordinance/formal policy rates and waiver criteria will be loaded?</w:t>
      </w:r>
    </w:p>
    <w:p>
      <w:pPr>
        <w:pStyle w:val="ListBullet"/>
        <w:spacing w:after="30"/>
      </w:pPr>
      <w:r>
        <w:t>How will requester history be checked for the first-quarter-hour repeat-request exception?</w:t>
      </w:r>
    </w:p>
    <w:p>
      <w:pPr>
        <w:pStyle w:val="Heading1"/>
      </w:pPr>
      <w:r>
        <w:t>14. Suggestion Added During This Review</w:t>
      </w:r>
    </w:p>
    <w:p>
      <w:r>
        <w:rPr>
          <w:b/>
        </w:rPr>
        <w:t>S-028: Make extension subtype a controlling configuration object because Utah’s extraordinary-circumstance category changes notice contents, partial-release duties, and completion rules differently for each subtype.</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Utah Code § 63G-2-204 (official): https://le.utah.gov/xcode/title63g/chapter2/63g-2-s204.html</w:t>
      </w:r>
    </w:p>
    <w:p>
      <w:pPr>
        <w:pStyle w:val="ListBullet"/>
        <w:spacing w:after="30"/>
      </w:pPr>
      <w:r>
        <w:t>Utah Code § 63G-2-203 (fees; effective March 17, 2025): https://le.utah.gov/xcode/title63g/chapter2/63g-2-s203.html</w:t>
      </w:r>
    </w:p>
    <w:p>
      <w:pPr>
        <w:pStyle w:val="ListBullet"/>
        <w:spacing w:after="30"/>
      </w:pPr>
      <w:r>
        <w:t>Utah Code § 63G-2-205 (denials): https://le.utah.gov/xcode/title63g/chapter2/63g-2-s205.html</w:t>
      </w:r>
    </w:p>
    <w:p>
      <w:pPr>
        <w:pStyle w:val="ListBullet"/>
        <w:spacing w:after="30"/>
      </w:pPr>
      <w:r>
        <w:t>Utah Code Part 4 appeals: https://le.utah.gov/xcode/Title63G/Chapter2/C63G-2-P4_1800010118000101.pdf</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Utah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