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Arizona Public Records Research Results (Working Copy)</w:t>
      </w:r>
    </w:p>
    <w:p>
      <w:r>
        <w:rPr>
          <w:b/>
        </w:rPr>
        <w:t xml:space="preserve">Note: </w:t>
      </w:r>
      <w:r>
        <w:t>This document contains the Arizona research summary produced during our session. It is intended as a working copy that can be edited or incorporated into the Version 2.0 prompt development.</w:t>
        <w:br/>
      </w:r>
    </w:p>
    <w:p>
      <w:pPr>
        <w:pStyle w:val="Heading2"/>
      </w:pPr>
      <w:r>
        <w:t>Summary</w:t>
      </w:r>
    </w:p>
    <w:p>
      <w:r>
        <w:t>Approximately 49 operational/legal rules and about 40 legal concepts were identified from Arizona statutes and official guidance.</w:t>
        <w:br/>
        <w:br/>
        <w:t>Key operational findings included:</w:t>
        <w:br/>
        <w:t>• Five-business-day acknowledgment requirement.</w:t>
        <w:br/>
        <w:t>• Portal receipt exception.</w:t>
        <w:br/>
        <w:t>• Commercial-purpose affirmation requirement.</w:t>
        <w:br/>
        <w:t>• Commercial request fee model.</w:t>
        <w:br/>
        <w:t>• Self-copying under supervision.</w:t>
        <w:br/>
        <w:t>• Prompt production obligation.</w:t>
        <w:br/>
        <w:t>• Governor review process for certain commercial-use disputes.</w:t>
        <w:br/>
        <w:t>• 30-day production/default outcome in applicable Governor review scenarios.</w:t>
      </w:r>
    </w:p>
    <w:p>
      <w:pPr>
        <w:pStyle w:val="Heading2"/>
      </w:pPr>
      <w:r>
        <w:t>Primary Operational Rules to Retain</w:t>
      </w:r>
    </w:p>
    <w:p>
      <w:pPr>
        <w:pStyle w:val="ListBullet"/>
      </w:pPr>
      <w:r>
        <w:t>Requester eligibility</w:t>
      </w:r>
    </w:p>
    <w:p>
      <w:pPr>
        <w:pStyle w:val="ListBullet"/>
      </w:pPr>
      <w:r>
        <w:t>Inspection rights</w:t>
      </w:r>
    </w:p>
    <w:p>
      <w:pPr>
        <w:pStyle w:val="ListBullet"/>
      </w:pPr>
      <w:r>
        <w:t>Copy rights</w:t>
      </w:r>
    </w:p>
    <w:p>
      <w:pPr>
        <w:pStyle w:val="ListBullet"/>
      </w:pPr>
      <w:r>
        <w:t>Mailed copies</w:t>
      </w:r>
    </w:p>
    <w:p>
      <w:pPr>
        <w:pStyle w:val="ListBullet"/>
      </w:pPr>
      <w:r>
        <w:t>Commercial-purpose declaration</w:t>
      </w:r>
    </w:p>
    <w:p>
      <w:pPr>
        <w:pStyle w:val="ListBullet"/>
      </w:pPr>
      <w:r>
        <w:t>Request routing</w:t>
      </w:r>
    </w:p>
    <w:p>
      <w:pPr>
        <w:pStyle w:val="ListBullet"/>
      </w:pPr>
      <w:r>
        <w:t>Acknowledgment timing</w:t>
      </w:r>
    </w:p>
    <w:p>
      <w:pPr>
        <w:pStyle w:val="ListBullet"/>
      </w:pPr>
      <w:r>
        <w:t>Portal acknowledgment exception</w:t>
      </w:r>
    </w:p>
    <w:p>
      <w:pPr>
        <w:pStyle w:val="ListBullet"/>
      </w:pPr>
      <w:r>
        <w:t>Prompt production</w:t>
      </w:r>
    </w:p>
    <w:p>
      <w:pPr>
        <w:pStyle w:val="ListBullet"/>
      </w:pPr>
      <w:r>
        <w:t>Self-copying rules</w:t>
      </w:r>
    </w:p>
    <w:p>
      <w:pPr>
        <w:pStyle w:val="ListBullet"/>
      </w:pPr>
      <w:r>
        <w:t>Supervision during inspection</w:t>
      </w:r>
    </w:p>
    <w:p>
      <w:pPr>
        <w:pStyle w:val="ListBullet"/>
      </w:pPr>
      <w:r>
        <w:t>Deemed denial concepts</w:t>
      </w:r>
    </w:p>
    <w:p>
      <w:pPr>
        <w:pStyle w:val="ListBullet"/>
      </w:pPr>
      <w:r>
        <w:t>Ordinary copy fees</w:t>
      </w:r>
    </w:p>
    <w:p>
      <w:pPr>
        <w:pStyle w:val="ListBullet"/>
      </w:pPr>
      <w:r>
        <w:t>Mailing/prepayment</w:t>
      </w:r>
    </w:p>
    <w:p>
      <w:pPr>
        <w:pStyle w:val="ListBullet"/>
      </w:pPr>
      <w:r>
        <w:t>Commercial fee calculations</w:t>
      </w:r>
    </w:p>
    <w:p>
      <w:pPr>
        <w:pStyle w:val="ListBullet"/>
      </w:pPr>
      <w:r>
        <w:t>Deposits/payment requirements where applicable</w:t>
      </w:r>
    </w:p>
    <w:p>
      <w:pPr>
        <w:pStyle w:val="ListBullet"/>
      </w:pPr>
      <w:r>
        <w:t>Commercial request classification</w:t>
      </w:r>
    </w:p>
    <w:p>
      <w:pPr>
        <w:pStyle w:val="ListBullet"/>
      </w:pPr>
      <w:r>
        <w:t>Review/redaction requirements</w:t>
      </w:r>
    </w:p>
    <w:p>
      <w:pPr>
        <w:pStyle w:val="ListBullet"/>
      </w:pPr>
      <w:r>
        <w:t>Production</w:t>
      </w:r>
    </w:p>
    <w:p>
      <w:pPr>
        <w:pStyle w:val="ListBullet"/>
      </w:pPr>
      <w:r>
        <w:t>Denial</w:t>
      </w:r>
    </w:p>
    <w:p>
      <w:pPr>
        <w:pStyle w:val="ListBullet"/>
      </w:pPr>
      <w:r>
        <w:t>Appeal workflow</w:t>
      </w:r>
    </w:p>
    <w:p>
      <w:pPr>
        <w:pStyle w:val="ListBullet"/>
      </w:pPr>
      <w:r>
        <w:t>Special record workflows that alter processing</w:t>
      </w:r>
    </w:p>
    <w:p>
      <w:pPr>
        <w:pStyle w:val="Heading2"/>
      </w:pPr>
      <w:r>
        <w:t>Items Recommended for Removal from Primary Workflow Inventory</w:t>
      </w:r>
    </w:p>
    <w:p>
      <w:pPr>
        <w:pStyle w:val="ListBullet"/>
      </w:pPr>
      <w:r>
        <w:t>Definitions of public body and officer</w:t>
      </w:r>
    </w:p>
    <w:p>
      <w:pPr>
        <w:pStyle w:val="ListBullet"/>
      </w:pPr>
      <w:r>
        <w:t>General recordkeeping obligations</w:t>
      </w:r>
    </w:p>
    <w:p>
      <w:pPr>
        <w:pStyle w:val="ListBullet"/>
      </w:pPr>
      <w:r>
        <w:t>General preservation responsibilities</w:t>
      </w:r>
    </w:p>
    <w:p>
      <w:pPr>
        <w:pStyle w:val="ListBullet"/>
      </w:pPr>
      <w:r>
        <w:t>Historical preservation requirements</w:t>
      </w:r>
    </w:p>
    <w:p>
      <w:pPr>
        <w:pStyle w:val="ListBullet"/>
      </w:pPr>
      <w:r>
        <w:t>Archive governance</w:t>
      </w:r>
    </w:p>
    <w:p>
      <w:pPr>
        <w:pStyle w:val="ListBullet"/>
      </w:pPr>
      <w:r>
        <w:t>Annual destruction reports</w:t>
      </w:r>
    </w:p>
    <w:p>
      <w:pPr>
        <w:pStyle w:val="ListBullet"/>
      </w:pPr>
      <w:r>
        <w:t>State Library administration</w:t>
      </w:r>
    </w:p>
    <w:p>
      <w:pPr>
        <w:pStyle w:val="ListBullet"/>
      </w:pPr>
      <w:r>
        <w:t>Routine records-retention governance</w:t>
      </w:r>
    </w:p>
    <w:p>
      <w:pPr>
        <w:pStyle w:val="ListBullet"/>
      </w:pPr>
      <w:r>
        <w:t>Attorney-fee provisions</w:t>
      </w:r>
    </w:p>
    <w:p>
      <w:pPr>
        <w:pStyle w:val="ListBullet"/>
      </w:pPr>
      <w:r>
        <w:t>Civil damages</w:t>
      </w:r>
    </w:p>
    <w:p>
      <w:pPr>
        <w:pStyle w:val="ListBullet"/>
      </w:pPr>
      <w:r>
        <w:t>Criminal penalties</w:t>
      </w:r>
    </w:p>
    <w:p>
      <w:pPr>
        <w:pStyle w:val="ListBullet"/>
      </w:pPr>
      <w:r>
        <w:t>Legislative proposals</w:t>
      </w:r>
    </w:p>
    <w:p>
      <w:pPr>
        <w:pStyle w:val="ListBullet"/>
      </w:pPr>
      <w:r>
        <w:t>Legislative history</w:t>
      </w:r>
    </w:p>
    <w:p>
      <w:pPr>
        <w:pStyle w:val="ListBullet"/>
      </w:pPr>
      <w:r>
        <w:t>General transparency policy statements</w:t>
      </w:r>
    </w:p>
    <w:p>
      <w:pPr>
        <w:pStyle w:val="ListBullet"/>
      </w:pPr>
      <w:r>
        <w:t>Government organization definitions</w:t>
      </w:r>
    </w:p>
    <w:p>
      <w:pPr>
        <w:pStyle w:val="Heading2"/>
      </w:pPr>
      <w:r>
        <w:t>Recommended Direction for Version 2.0 Prompt</w:t>
      </w:r>
    </w:p>
    <w:p>
      <w:r>
        <w:t>Refocus research on workflow events rather than legal background.</w:t>
        <w:br/>
        <w:br/>
        <w:t>Primary inclusion principle:</w:t>
        <w:br/>
        <w:t>Include a rule only if it defines an operational step, decision, calculation, communication, documentation requirement, deadline, state transition, or other requirement necessary to process an individual public-records request.</w:t>
        <w:br/>
        <w:br/>
        <w:t>Exclude legal background that does not affect request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