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Заметки архитектурного обзора</w:t>
      </w:r>
    </w:p>
    <w:p>
      <w:r>
        <w:t>Вымышленный документ для проверки Office-to-Markdown конвертации в patent-ru-skill.</w:t>
      </w:r>
    </w:p>
    <w:p>
      <w:pPr>
        <w:pStyle w:val="Heading2"/>
      </w:pPr>
      <w:r>
        <w:t>Технический контекст</w:t>
      </w:r>
    </w:p>
    <w:p>
      <w:pPr>
        <w:pStyle w:val="ListBullet"/>
      </w:pPr>
      <w:r>
        <w:t>Планировщик ведет глобальную очередь ожидающих пакетных задач.</w:t>
      </w:r>
    </w:p>
    <w:p>
      <w:pPr>
        <w:pStyle w:val="ListBullet"/>
      </w:pPr>
      <w:r>
        <w:t>Рабочие узлы передают метрики CPU, памяти и I/O через периодический heartbeat.</w:t>
      </w:r>
    </w:p>
    <w:p>
      <w:pPr>
        <w:pStyle w:val="ListBullet"/>
      </w:pPr>
      <w:r>
        <w:t>Score соответствия объединяет вектор требований задачи и ресурсный профиль узла.</w:t>
      </w:r>
    </w:p>
    <w:p>
      <w:pPr>
        <w:pStyle w:val="ListBullet"/>
      </w:pPr>
      <w:r>
        <w:t>Переупорядочивание ограничено по времени, чтобы снизить колебания очереди.</w:t>
      </w:r>
    </w:p>
    <w:p>
      <w:pPr>
        <w:pStyle w:val="Heading2"/>
      </w:pPr>
      <w:r>
        <w:t>Признаки, потенциально важные для заявки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Признак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  <w:tc>
          <w:tcPr>
            <w:tcW w:type="dxa" w:w="2880"/>
          </w:tcPr>
          <w:p>
            <w:r>
              <w:t>Возможный технический результат</w:t>
            </w:r>
          </w:p>
        </w:tc>
      </w:tr>
      <w:tr>
        <w:tc>
          <w:tcPr>
            <w:tcW w:type="dxa" w:w="2880"/>
          </w:tcPr>
          <w:p>
            <w:r>
              <w:t>Агрегация ресурсных профилей</w:t>
            </w:r>
          </w:p>
        </w:tc>
        <w:tc>
          <w:tcPr>
            <w:tcW w:type="dxa" w:w="2880"/>
          </w:tcPr>
          <w:p>
            <w:r>
              <w:t>Сглаживает метрики узлов в окне времени</w:t>
            </w:r>
          </w:p>
        </w:tc>
        <w:tc>
          <w:tcPr>
            <w:tcW w:type="dxa" w:w="2880"/>
          </w:tcPr>
          <w:p>
            <w:r>
              <w:t>Более стабильные решения планировщика</w:t>
            </w:r>
          </w:p>
        </w:tc>
      </w:tr>
      <w:tr>
        <w:tc>
          <w:tcPr>
            <w:tcW w:type="dxa" w:w="2880"/>
          </w:tcPr>
          <w:p>
            <w:r>
              <w:t>Score соответствия</w:t>
            </w:r>
          </w:p>
        </w:tc>
        <w:tc>
          <w:tcPr>
            <w:tcW w:type="dxa" w:w="2880"/>
          </w:tcPr>
          <w:p>
            <w:r>
              <w:t>Сопоставляет требования задачи и состояние узла до отправки</w:t>
            </w:r>
          </w:p>
        </w:tc>
        <w:tc>
          <w:tcPr>
            <w:tcW w:type="dxa" w:w="2880"/>
          </w:tcPr>
          <w:p>
            <w:r>
              <w:t>Меньше ресурсных несоответствий</w:t>
            </w:r>
          </w:p>
        </w:tc>
      </w:tr>
      <w:tr>
        <w:tc>
          <w:tcPr>
            <w:tcW w:type="dxa" w:w="2880"/>
          </w:tcPr>
          <w:p>
            <w:r>
              <w:t>Ограниченное переупорядочивание</w:t>
            </w:r>
          </w:p>
        </w:tc>
        <w:tc>
          <w:tcPr>
            <w:tcW w:type="dxa" w:w="2880"/>
          </w:tcPr>
          <w:p>
            <w:r>
              <w:t>Изменяет очередь только при выполнении порогов</w:t>
            </w:r>
          </w:p>
        </w:tc>
        <w:tc>
          <w:tcPr>
            <w:tcW w:type="dxa" w:w="2880"/>
          </w:tcPr>
          <w:p>
            <w:r>
              <w:t>Снижение колебаний очереди</w:t>
            </w:r>
          </w:p>
        </w:tc>
      </w:tr>
    </w:tbl>
    <w:p>
      <w:pPr>
        <w:pStyle w:val="Heading2"/>
      </w:pPr>
      <w:r>
        <w:t>Схема модулей</w:t>
      </w:r>
    </w:p>
    <w:p>
      <w:r>
        <w:drawing>
          <wp:inline xmlns:a="http://schemas.openxmlformats.org/drawingml/2006/main" xmlns:pic="http://schemas.openxmlformats.org/drawingml/2006/picture">
            <wp:extent cx="4114800" cy="2314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fig_modu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Схема очереди</w:t>
      </w:r>
    </w:p>
    <w:p>
      <w:r>
        <w:drawing>
          <wp:inline xmlns:a="http://schemas.openxmlformats.org/drawingml/2006/main" xmlns:pic="http://schemas.openxmlformats.org/drawingml/2006/picture">
            <wp:extent cx="4114800" cy="2314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fig_que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Arial"/>
        <a:font script="Hant" typeface="Arial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Arial"/>
        <a:font script="Hant" typeface="Arial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