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tructured-observation-protocol"/>
    <w:p>
      <w:pPr>
        <w:pStyle w:val="Heading1"/>
      </w:pPr>
      <w:r>
        <w:t xml:space="preserve">Structured Observation Protocol</w:t>
      </w:r>
    </w:p>
    <w:bookmarkStart w:id="21" w:name="exhibition-no-to-genocide"/>
    <w:p>
      <w:pPr>
        <w:pStyle w:val="Heading2"/>
      </w:pPr>
      <w:r>
        <w:t xml:space="preserve">Exhibition</w:t>
      </w:r>
      <w:r>
        <w:t xml:space="preserve"> </w:t>
      </w:r>
      <w:r>
        <w:t xml:space="preserve">“</w:t>
      </w:r>
      <w:r>
        <w:t xml:space="preserve">No to Genocide!</w:t>
      </w:r>
      <w:r>
        <w:t xml:space="preserve">”</w:t>
      </w:r>
    </w:p>
    <w:bookmarkStart w:id="20" w:name="X33924075c349b4a951e03b8d904c09b67549c36"/>
    <w:p>
      <w:pPr>
        <w:pStyle w:val="Heading3"/>
      </w:pPr>
      <w:r>
        <w:t xml:space="preserve">Multimodal Discourse Analysis after Kress and van Leeuwen (2001; 2006)</w:t>
      </w:r>
    </w:p>
    <w:p>
      <w:r>
        <w:pict>
          <v:rect style="width:0;height:1.5pt" o:hralign="center" o:hrstd="t" o:hr="t"/>
        </w:pict>
      </w:r>
    </w:p>
    <w:bookmarkEnd w:id="20"/>
    <w:bookmarkEnd w:id="21"/>
    <w:bookmarkStart w:id="22" w:name="block-0.-general-spatial-organisation"/>
    <w:p>
      <w:pPr>
        <w:pStyle w:val="Heading2"/>
      </w:pPr>
      <w:r>
        <w:t xml:space="preserve">BLOCK 0. GENERAL SPATIAL ORGANISATION</w:t>
      </w:r>
    </w:p>
    <w:p>
      <w:pPr>
        <w:pStyle w:val="FirstParagraph"/>
      </w:pPr>
      <w:r>
        <w:rPr>
          <w:iCs/>
          <w:i/>
        </w:rPr>
        <w:t xml:space="preserve">Completed once — on entering and at the end of the visit.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Route</w:t>
            </w:r>
          </w:p>
        </w:tc>
        <w:tc>
          <w:tcPr/>
          <w:p>
            <w:pPr>
              <w:pStyle w:val="Compact"/>
              <w:jc w:val="left"/>
            </w:pPr>
            <w:r>
              <w:t xml:space="preserve">Linear or free? Branches?</w:t>
            </w:r>
          </w:p>
        </w:tc>
        <w:tc>
          <w:tcPr/>
          <w:p>
            <w:pPr>
              <w:pStyle w:val="Compact"/>
              <w:jc w:val="left"/>
            </w:pPr>
            <w:r>
              <w:t xml:space="preserve">Linear, directed. Four consecutive halls without branches. Movement strictly forward along the walls with LED screens.</w:t>
            </w:r>
          </w:p>
        </w:tc>
      </w:tr>
      <w:tr>
        <w:tc>
          <w:tcPr/>
          <w:p>
            <w:pPr>
              <w:pStyle w:val="Compact"/>
              <w:jc w:val="left"/>
            </w:pPr>
            <w:r>
              <w:t xml:space="preserve">Light regime</w:t>
            </w:r>
          </w:p>
        </w:tc>
        <w:tc>
          <w:tcPr/>
          <w:p>
            <w:pPr>
              <w:pStyle w:val="Compact"/>
              <w:jc w:val="left"/>
            </w:pPr>
            <w:r>
              <w:t xml:space="preserve">Dark / light, transitions</w:t>
            </w:r>
          </w:p>
        </w:tc>
        <w:tc>
          <w:tcPr/>
          <w:p>
            <w:pPr>
              <w:pStyle w:val="Compact"/>
              <w:jc w:val="left"/>
            </w:pPr>
            <w:r>
              <w:t xml:space="preserve">Full darkening along the entire route. Spot lighting of the screens and banners. The contrast of dark space and bright screens creates an immersive effect.</w:t>
            </w:r>
          </w:p>
        </w:tc>
      </w:tr>
      <w:tr>
        <w:tc>
          <w:tcPr/>
          <w:p>
            <w:pPr>
              <w:pStyle w:val="Compact"/>
              <w:jc w:val="left"/>
            </w:pPr>
            <w:r>
              <w:t xml:space="preserve">Layout</w:t>
            </w:r>
          </w:p>
        </w:tc>
        <w:tc>
          <w:tcPr/>
          <w:p>
            <w:pPr>
              <w:pStyle w:val="Compact"/>
              <w:jc w:val="left"/>
            </w:pPr>
            <w:r>
              <w:t xml:space="preserve">Where the screens are located</w:t>
            </w:r>
          </w:p>
        </w:tc>
        <w:tc>
          <w:tcPr/>
          <w:p>
            <w:pPr>
              <w:pStyle w:val="Compact"/>
              <w:jc w:val="left"/>
            </w:pPr>
            <w:r>
              <w:t xml:space="preserve">LED screens — along the perimeter of the halls along the route. In front of each LED screen there is a duplicating sensor table. In the centre of the first hall — a long sensor table (flags → forget-me-nots). Banners with quotations — at the entrance, on both sides of the passageway.</w:t>
            </w:r>
          </w:p>
        </w:tc>
      </w:tr>
      <w:tr>
        <w:tc>
          <w:tcPr/>
          <w:p>
            <w:pPr>
              <w:pStyle w:val="Compact"/>
              <w:jc w:val="left"/>
            </w:pPr>
            <w:r>
              <w:t xml:space="preserve">Soundscape</w:t>
            </w:r>
          </w:p>
        </w:tc>
        <w:tc>
          <w:tcPr/>
          <w:p>
            <w:pPr>
              <w:pStyle w:val="Compact"/>
              <w:jc w:val="left"/>
            </w:pPr>
            <w:r>
              <w:t xml:space="preserve">Background sound, music, silence</w:t>
            </w:r>
          </w:p>
        </w:tc>
        <w:tc>
          <w:tcPr/>
          <w:p>
            <w:pPr>
              <w:pStyle w:val="Compact"/>
              <w:jc w:val="left"/>
            </w:pPr>
            <w:r>
              <w:t xml:space="preserve">Continuous background music — an Armenian melody dedicated to the genocide. No additional sound effects. The music creates a unified affective background for the entire route.</w:t>
            </w:r>
          </w:p>
        </w:tc>
      </w:tr>
      <w:tr>
        <w:tc>
          <w:tcPr/>
          <w:p>
            <w:pPr>
              <w:pStyle w:val="Compact"/>
              <w:jc w:val="left"/>
            </w:pPr>
            <w:r>
              <w:t xml:space="preserve">Transitions</w:t>
            </w:r>
          </w:p>
        </w:tc>
        <w:tc>
          <w:tcPr/>
          <w:p>
            <w:pPr>
              <w:pStyle w:val="Compact"/>
              <w:jc w:val="left"/>
            </w:pPr>
            <w:r>
              <w:t xml:space="preserve">Screen changes, spatial thresholds</w:t>
            </w:r>
          </w:p>
        </w:tc>
        <w:tc>
          <w:tcPr/>
          <w:p>
            <w:pPr>
              <w:pStyle w:val="Compact"/>
              <w:jc w:val="left"/>
            </w:pPr>
            <w:r>
              <w:t xml:space="preserve">Every few seconds all LED screens switch synchronously to a dark screen with a symbol (forget-me-not or thorn crown) and the title of the next theme — a visual pause between sections.</w:t>
            </w:r>
          </w:p>
        </w:tc>
      </w:tr>
      <w:tr>
        <w:tc>
          <w:tcPr/>
          <w:p>
            <w:pPr>
              <w:pStyle w:val="Compact"/>
              <w:jc w:val="left"/>
            </w:pPr>
            <w:r>
              <w:t xml:space="preserve">Number of elements</w:t>
            </w:r>
          </w:p>
        </w:tc>
        <w:tc>
          <w:tcPr/>
          <w:p>
            <w:pPr>
              <w:pStyle w:val="Compact"/>
              <w:jc w:val="left"/>
            </w:pPr>
            <w:r>
              <w:t xml:space="preserve">Thematic screens, tables, banners</w:t>
            </w:r>
          </w:p>
        </w:tc>
        <w:tc>
          <w:tcPr/>
          <w:p>
            <w:pPr>
              <w:pStyle w:val="Compact"/>
              <w:jc w:val="left"/>
            </w:pPr>
            <w:r>
              <w:t xml:space="preserve">11 thematic LED screens (some of them paired by theme), one sensor table at the entrance, duplicating sensor tables in front of each LED screen, a series of 6 banners at the entrance, 1 screen with the symbolism of the exhibition.</w:t>
            </w:r>
          </w:p>
        </w:tc>
      </w:tr>
    </w:tbl>
    <w:p>
      <w:r>
        <w:pict>
          <v:rect style="width:0;height:1.5pt" o:hralign="center" o:hrstd="t" o:hr="t"/>
        </w:pict>
      </w:r>
    </w:p>
    <w:bookmarkEnd w:id="22"/>
    <w:bookmarkEnd w:id="23"/>
    <w:bookmarkStart w:id="109" w:name="analysis-of-individual-elements"/>
    <w:p>
      <w:pPr>
        <w:pStyle w:val="Heading1"/>
      </w:pPr>
      <w:r>
        <w:t xml:space="preserve">ANALYSIS OF INDIVIDUAL ELEMENTS</w:t>
      </w:r>
    </w:p>
    <w:bookmarkStart w:id="28" w:name="X905b197095120f134add88182bb4baf8fb6383e"/>
    <w:p>
      <w:pPr>
        <w:pStyle w:val="Heading2"/>
      </w:pPr>
      <w:r>
        <w:t xml:space="preserve">Element 1: Entrance banners (quotations from authoritative figures)</w:t>
      </w:r>
    </w:p>
    <w:p>
      <w:pPr>
        <w:pStyle w:val="FirstParagraph"/>
      </w:pPr>
      <w:r>
        <w:rPr>
          <w:bCs/>
          <w:b/>
        </w:rPr>
        <w:t xml:space="preserve">Type of element:</w:t>
      </w:r>
      <w:r>
        <w:t xml:space="preserve"> </w:t>
      </w:r>
      <w:r>
        <w:t xml:space="preserve">Banners (a series of ~6 vertical banners on dark walls).</w:t>
      </w:r>
    </w:p>
    <w:bookmarkStart w:id="24" w:name="block-1-representation"/>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text, graphics</w:t>
            </w:r>
          </w:p>
        </w:tc>
        <w:tc>
          <w:tcPr/>
          <w:p>
            <w:pPr>
              <w:pStyle w:val="Compact"/>
              <w:jc w:val="left"/>
            </w:pPr>
            <w:r>
              <w:t xml:space="preserve">Monochrome / sepia portraits of historical and contemporary figures + their quotations about the Armenian genocide. Name and position at the bottom of the banner.</w:t>
            </w:r>
          </w:p>
        </w:tc>
      </w:tr>
      <w:tr>
        <w:tc>
          <w:tcPr/>
          <w:p>
            <w:pPr>
              <w:pStyle w:val="Compact"/>
              <w:jc w:val="left"/>
            </w:pPr>
            <w:r>
              <w:t xml:space="preserve">Participants</w:t>
            </w:r>
          </w:p>
        </w:tc>
        <w:tc>
          <w:tcPr/>
          <w:p>
            <w:pPr>
              <w:pStyle w:val="Compact"/>
              <w:jc w:val="left"/>
            </w:pPr>
            <w:r>
              <w:t xml:space="preserve">Victims, witnesses, historical figures</w:t>
            </w:r>
          </w:p>
        </w:tc>
        <w:tc>
          <w:tcPr/>
          <w:p>
            <w:pPr>
              <w:pStyle w:val="Compact"/>
              <w:jc w:val="left"/>
            </w:pPr>
            <w:r>
              <w:t xml:space="preserve">Authoritative declarative witnesses: Pope John Paul II, V. V. Putin, Catholicos Vazgen I, Fridtjof Nansen, Pope Francis, Anatole France.</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 static official portraits. The narrative is produced by the quotation, not by the image.</w:t>
            </w:r>
          </w:p>
        </w:tc>
      </w:tr>
      <w:tr>
        <w:tc>
          <w:tcPr/>
          <w:p>
            <w:pPr>
              <w:pStyle w:val="Compact"/>
              <w:jc w:val="left"/>
            </w:pPr>
            <w:r>
              <w:t xml:space="preserve">Language of the text</w:t>
            </w:r>
          </w:p>
        </w:tc>
        <w:tc>
          <w:tcPr/>
          <w:p>
            <w:pPr>
              <w:pStyle w:val="Compact"/>
              <w:jc w:val="left"/>
            </w:pPr>
            <w:r>
              <w:t xml:space="preserve">Documentary, emotional, neutral</w:t>
            </w:r>
          </w:p>
        </w:tc>
        <w:tc>
          <w:tcPr/>
          <w:p>
            <w:pPr>
              <w:pStyle w:val="Compact"/>
              <w:jc w:val="left"/>
            </w:pPr>
            <w:r>
              <w:t xml:space="preserve">Rhetorical and declarative register. The quotations contain evaluative judgements (</w:t>
            </w:r>
            <w:r>
              <w:t xml:space="preserve">“</w:t>
            </w:r>
            <w:r>
              <w:t xml:space="preserve">prelude to horrors</w:t>
            </w:r>
            <w:r>
              <w:t xml:space="preserve">”</w:t>
            </w:r>
            <w:r>
              <w:t xml:space="preserve">,</w:t>
            </w:r>
            <w:r>
              <w:t xml:space="preserve"> </w:t>
            </w:r>
            <w:r>
              <w:t xml:space="preserve">“</w:t>
            </w:r>
            <w:r>
              <w:t xml:space="preserve">mournful date</w:t>
            </w:r>
            <w:r>
              <w:t xml:space="preserve">”</w:t>
            </w:r>
            <w:r>
              <w:t xml:space="preserve">,</w:t>
            </w:r>
            <w:r>
              <w:t xml:space="preserve"> </w:t>
            </w:r>
            <w:r>
              <w:t xml:space="preserve">“</w:t>
            </w:r>
            <w:r>
              <w:t xml:space="preserve">unheard-of tragedies</w:t>
            </w:r>
            <w:r>
              <w:t xml:space="preserve">”</w:t>
            </w:r>
            <w:r>
              <w:t xml:space="preserve">).</w:t>
            </w:r>
          </w:p>
        </w:tc>
      </w:tr>
    </w:tbl>
    <w:bookmarkEnd w:id="24"/>
    <w:bookmarkStart w:id="25" w:name="block-2-interaction"/>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Direct gaze (demand) / sideways (offer)</w:t>
            </w:r>
          </w:p>
        </w:tc>
        <w:tc>
          <w:tcPr/>
          <w:p>
            <w:pPr>
              <w:pStyle w:val="Compact"/>
              <w:jc w:val="left"/>
            </w:pPr>
            <w:r>
              <w:t xml:space="preserve">Gaze not at the camera on most portraits — offer. Exception: Putin (direct gaze — demand of solidarity).</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(portrait to the chest / shoulders). Creates an official but not intimate distance.</w:t>
            </w:r>
          </w:p>
        </w:tc>
      </w:tr>
      <w:tr>
        <w:tc>
          <w:tcPr/>
          <w:p>
            <w:pPr>
              <w:pStyle w:val="Compact"/>
              <w:jc w:val="left"/>
            </w:pPr>
            <w:r>
              <w:t xml:space="preserve">Modality</w:t>
            </w:r>
          </w:p>
        </w:tc>
        <w:tc>
          <w:tcPr/>
          <w:p>
            <w:pPr>
              <w:pStyle w:val="Compact"/>
              <w:jc w:val="left"/>
            </w:pPr>
            <w:r>
              <w:t xml:space="preserve">Realism — archival photo vs graphics</w:t>
            </w:r>
          </w:p>
        </w:tc>
        <w:tc>
          <w:tcPr/>
          <w:p>
            <w:pPr>
              <w:pStyle w:val="Compact"/>
              <w:jc w:val="left"/>
            </w:pPr>
            <w:r>
              <w:t xml:space="preserve">High modality — real photographs of people. Sepia / monochrome slightly reduces naturalism, adds solemnity.</w:t>
            </w:r>
          </w:p>
        </w:tc>
      </w:tr>
    </w:tbl>
    <w:bookmarkEnd w:id="25"/>
    <w:bookmarkStart w:id="26" w:name="block-3-composition"/>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(known) / right (new)</w:t>
            </w:r>
          </w:p>
        </w:tc>
        <w:tc>
          <w:tcPr/>
          <w:p>
            <w:pPr>
              <w:pStyle w:val="Compact"/>
              <w:jc w:val="left"/>
            </w:pPr>
            <w:r>
              <w:t xml:space="preserve">Portrait — at the top (the already-known figure as given). Quotation — below / to the right (new — this figure’s statement about the genocide).</w:t>
            </w:r>
          </w:p>
        </w:tc>
      </w:tr>
      <w:tr>
        <w:tc>
          <w:tcPr/>
          <w:p>
            <w:pPr>
              <w:pStyle w:val="Compact"/>
              <w:jc w:val="left"/>
            </w:pPr>
            <w:r>
              <w:t xml:space="preserve">Ideal / real</w:t>
            </w:r>
          </w:p>
        </w:tc>
        <w:tc>
          <w:tcPr/>
          <w:p>
            <w:pPr>
              <w:pStyle w:val="Compact"/>
              <w:jc w:val="left"/>
            </w:pPr>
            <w:r>
              <w:t xml:space="preserve">Top (symbol) / bottom (fact)</w:t>
            </w:r>
          </w:p>
        </w:tc>
        <w:tc>
          <w:tcPr/>
          <w:p>
            <w:pPr>
              <w:pStyle w:val="Compact"/>
              <w:jc w:val="left"/>
            </w:pPr>
            <w:r>
              <w:t xml:space="preserve">Ideal — the portrait (authority, symbolic figure). Real — the quotation (a concrete utterance). Name and position — at the bottom, as a caption to the real.</w:t>
            </w:r>
          </w:p>
        </w:tc>
      </w:tr>
      <w:tr>
        <w:tc>
          <w:tcPr/>
          <w:p>
            <w:pPr>
              <w:pStyle w:val="Compact"/>
              <w:jc w:val="left"/>
            </w:pPr>
            <w:r>
              <w:t xml:space="preserve">Salience</w:t>
            </w:r>
          </w:p>
        </w:tc>
        <w:tc>
          <w:tcPr/>
          <w:p>
            <w:pPr>
              <w:pStyle w:val="Compact"/>
              <w:jc w:val="left"/>
            </w:pPr>
            <w:r>
              <w:t xml:space="preserve">What dominates — size, colour, contrast</w:t>
            </w:r>
          </w:p>
        </w:tc>
        <w:tc>
          <w:tcPr/>
          <w:p>
            <w:pPr>
              <w:pStyle w:val="Compact"/>
              <w:jc w:val="left"/>
            </w:pPr>
            <w:r>
              <w:t xml:space="preserve">The quotations dominate — large font in the centre of the banner. The portrait occupies the upper third. The dark background of the wall amplifies the contrast of the banner.</w:t>
            </w:r>
          </w:p>
        </w:tc>
      </w:tr>
    </w:tbl>
    <w:bookmarkEnd w:id="26"/>
    <w:bookmarkStart w:id="27" w:name="block-4-multimodal-synthesis"/>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 — same or different</w:t>
            </w:r>
          </w:p>
        </w:tc>
        <w:tc>
          <w:tcPr/>
          <w:p>
            <w:pPr>
              <w:pStyle w:val="Compact"/>
              <w:jc w:val="left"/>
            </w:pPr>
            <w:r>
              <w:t xml:space="preserve">Full coherence: the portrait legitimates the quotation. The authority of the face works as a visual signature under the words.</w:t>
            </w:r>
          </w:p>
        </w:tc>
      </w:tr>
      <w:tr>
        <w:tc>
          <w:tcPr/>
          <w:p>
            <w:pPr>
              <w:pStyle w:val="Compact"/>
              <w:jc w:val="left"/>
            </w:pPr>
            <w:r>
              <w:t xml:space="preserve">Dominant mode</w:t>
            </w:r>
          </w:p>
        </w:tc>
        <w:tc>
          <w:tcPr/>
          <w:p>
            <w:pPr>
              <w:pStyle w:val="Compact"/>
              <w:jc w:val="left"/>
            </w:pPr>
            <w:r>
              <w:t xml:space="preserve">Text / visual / sound / space</w:t>
            </w:r>
          </w:p>
        </w:tc>
        <w:tc>
          <w:tcPr/>
          <w:p>
            <w:pPr>
              <w:pStyle w:val="Compact"/>
              <w:jc w:val="left"/>
            </w:pPr>
            <w:r>
              <w:t xml:space="preserve">Text (quotation) — content dominant. Visual (portrait) — authorising dominant. They work together.</w:t>
            </w:r>
          </w:p>
        </w:tc>
      </w:tr>
      <w:tr>
        <w:tc>
          <w:tcPr/>
          <w:p>
            <w:pPr>
              <w:pStyle w:val="Compact"/>
              <w:jc w:val="left"/>
            </w:pPr>
            <w:r>
              <w:t xml:space="preserve">Interactivity</w:t>
            </w:r>
          </w:p>
        </w:tc>
        <w:tc>
          <w:tcPr/>
          <w:p>
            <w:pPr>
              <w:pStyle w:val="Compact"/>
              <w:jc w:val="left"/>
            </w:pPr>
            <w:r>
              <w:t xml:space="preserve">Requires physical action</w:t>
            </w:r>
          </w:p>
        </w:tc>
        <w:tc>
          <w:tcPr/>
          <w:p>
            <w:pPr>
              <w:pStyle w:val="Compact"/>
              <w:jc w:val="left"/>
            </w:pPr>
            <w:r>
              <w:t xml:space="preserve">Passive. The viewer reads and looks. The very placement — on both sides of the passageway — forms a corridor of authoritative voices, through which the visitor has to physically pass.</w:t>
            </w:r>
          </w:p>
        </w:tc>
      </w:tr>
    </w:tbl>
    <w:p>
      <w:r>
        <w:pict>
          <v:rect style="width:0;height:1.5pt" o:hralign="center" o:hrstd="t" o:hr="t"/>
        </w:pict>
      </w:r>
    </w:p>
    <w:bookmarkEnd w:id="27"/>
    <w:bookmarkEnd w:id="28"/>
    <w:bookmarkStart w:id="33" w:name="element-2-led-screen-contents"/>
    <w:p>
      <w:pPr>
        <w:pStyle w:val="Heading2"/>
      </w:pPr>
      <w:r>
        <w:t xml:space="preserve">Element 2: LED screen</w:t>
      </w:r>
      <w:r>
        <w:t xml:space="preserve"> </w:t>
      </w:r>
      <w:r>
        <w:t xml:space="preserve">“</w:t>
      </w:r>
      <w:r>
        <w:t xml:space="preserve">Contents</w:t>
      </w:r>
      <w:r>
        <w:t xml:space="preserve">”</w:t>
      </w:r>
    </w:p>
    <w:p>
      <w:pPr>
        <w:pStyle w:val="FirstParagraph"/>
      </w:pPr>
      <w:r>
        <w:rPr>
          <w:bCs/>
          <w:b/>
        </w:rPr>
        <w:t xml:space="preserve">Type of element:</w:t>
      </w:r>
      <w:r>
        <w:t xml:space="preserve"> </w:t>
      </w:r>
      <w:r>
        <w:t xml:space="preserve">LED screen (informational, navigational).</w:t>
      </w:r>
    </w:p>
    <w:bookmarkStart w:id="29" w:name="block-1-representation-1"/>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text, infographics</w:t>
            </w:r>
          </w:p>
        </w:tc>
        <w:tc>
          <w:tcPr/>
          <w:p>
            <w:pPr>
              <w:pStyle w:val="Compact"/>
              <w:jc w:val="left"/>
            </w:pPr>
            <w:r>
              <w:t xml:space="preserve">Infographics: numbered themes (1–11) on a red-and-white background with geometric shapes. No photographs.</w:t>
            </w:r>
          </w:p>
        </w:tc>
      </w:tr>
      <w:tr>
        <w:tc>
          <w:tcPr/>
          <w:p>
            <w:pPr>
              <w:pStyle w:val="Compact"/>
              <w:jc w:val="left"/>
            </w:pPr>
            <w:r>
              <w:t xml:space="preserve">Participants</w:t>
            </w:r>
          </w:p>
        </w:tc>
        <w:tc>
          <w:tcPr/>
          <w:p>
            <w:pPr>
              <w:pStyle w:val="Compact"/>
              <w:jc w:val="left"/>
            </w:pPr>
            <w:r>
              <w:t xml:space="preserve">Victims, witnesses, symbols, figures</w:t>
            </w:r>
          </w:p>
        </w:tc>
        <w:tc>
          <w:tcPr/>
          <w:p>
            <w:pPr>
              <w:pStyle w:val="Compact"/>
              <w:jc w:val="left"/>
            </w:pPr>
            <w:r>
              <w:t xml:space="preserve">None. Only structural information.</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A static scheme.</w:t>
            </w:r>
          </w:p>
        </w:tc>
      </w:tr>
      <w:tr>
        <w:tc>
          <w:tcPr/>
          <w:p>
            <w:pPr>
              <w:pStyle w:val="Compact"/>
              <w:jc w:val="left"/>
            </w:pPr>
            <w:r>
              <w:t xml:space="preserve">Language of the text</w:t>
            </w:r>
          </w:p>
        </w:tc>
        <w:tc>
          <w:tcPr/>
          <w:p>
            <w:pPr>
              <w:pStyle w:val="Compact"/>
              <w:jc w:val="left"/>
            </w:pPr>
            <w:r>
              <w:t xml:space="preserve">Documentary, emotional, neutral</w:t>
            </w:r>
          </w:p>
        </w:tc>
        <w:tc>
          <w:tcPr/>
          <w:p>
            <w:pPr>
              <w:pStyle w:val="Compact"/>
              <w:jc w:val="left"/>
            </w:pPr>
            <w:r>
              <w:t xml:space="preserve">Neutral informational: a list of themes in chronological order from 1877 to</w:t>
            </w:r>
            <w:r>
              <w:t xml:space="preserve"> </w:t>
            </w:r>
            <w:r>
              <w:t xml:space="preserve">“</w:t>
            </w:r>
            <w:r>
              <w:t xml:space="preserve">The World Recognises and Condemns</w:t>
            </w:r>
            <w:r>
              <w:t xml:space="preserve">”</w:t>
            </w:r>
            <w:r>
              <w:t xml:space="preserve">.</w:t>
            </w:r>
          </w:p>
        </w:tc>
      </w:tr>
    </w:tbl>
    <w:bookmarkEnd w:id="29"/>
    <w:bookmarkStart w:id="30" w:name="block-2-interaction-1"/>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No gaze. An abstract scheme.</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Long shot — the entire scheme is taken in by the eye at once.</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Low — a purely graphic scheme. Geometric design, not a representation of reality.</w:t>
            </w:r>
          </w:p>
        </w:tc>
      </w:tr>
    </w:tbl>
    <w:bookmarkEnd w:id="30"/>
    <w:bookmarkStart w:id="31" w:name="block-3-composition-1"/>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The left side — earlier themes (given, known history); the right — later themes (new for the viewer). Themes 1–7 on the left, 8–11 on the right.</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w:t>
            </w:r>
            <w:r>
              <w:t xml:space="preserve">Contents</w:t>
            </w:r>
            <w:r>
              <w:t xml:space="preserve">”</w:t>
            </w:r>
            <w:r>
              <w:t xml:space="preserve"> </w:t>
            </w:r>
            <w:r>
              <w:t xml:space="preserve">— large at the top (ideal — the promise of a narrative). The concrete themes — below (real — what will be shown).</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Large numerals 1–11 scattered across the screen in different sizes. The red colour of the geometric shapes. The word</w:t>
            </w:r>
            <w:r>
              <w:t xml:space="preserve"> </w:t>
            </w:r>
            <w:r>
              <w:t xml:space="preserve">“</w:t>
            </w:r>
            <w:r>
              <w:t xml:space="preserve">CONTENTS</w:t>
            </w:r>
            <w:r>
              <w:t xml:space="preserve">”</w:t>
            </w:r>
            <w:r>
              <w:t xml:space="preserve"> </w:t>
            </w:r>
            <w:r>
              <w:t xml:space="preserve">— in the largest typeface.</w:t>
            </w:r>
          </w:p>
        </w:tc>
      </w:tr>
    </w:tbl>
    <w:bookmarkEnd w:id="31"/>
    <w:bookmarkStart w:id="32" w:name="block-4-multimodal-synthesis-1"/>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Only typography and colour — they are coherent.</w:t>
            </w:r>
          </w:p>
        </w:tc>
      </w:tr>
      <w:tr>
        <w:tc>
          <w:tcPr/>
          <w:p>
            <w:pPr>
              <w:pStyle w:val="Compact"/>
              <w:jc w:val="left"/>
            </w:pPr>
            <w:r>
              <w:t xml:space="preserve">Dominant mode</w:t>
            </w:r>
          </w:p>
        </w:tc>
        <w:tc>
          <w:tcPr/>
          <w:p>
            <w:pPr>
              <w:pStyle w:val="Compact"/>
              <w:jc w:val="left"/>
            </w:pPr>
            <w:r>
              <w:t xml:space="preserve">Text / visual / sound</w:t>
            </w:r>
          </w:p>
        </w:tc>
        <w:tc>
          <w:tcPr/>
          <w:p>
            <w:pPr>
              <w:pStyle w:val="Compact"/>
              <w:jc w:val="left"/>
            </w:pPr>
            <w:r>
              <w:t xml:space="preserve">Typography. Numerals function as a visual route map.</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 The function is to orient the viewer in the structure of the narrative before the route begins.</w:t>
            </w:r>
          </w:p>
        </w:tc>
      </w:tr>
    </w:tbl>
    <w:p>
      <w:r>
        <w:pict>
          <v:rect style="width:0;height:1.5pt" o:hralign="center" o:hrstd="t" o:hr="t"/>
        </w:pict>
      </w:r>
    </w:p>
    <w:bookmarkEnd w:id="32"/>
    <w:bookmarkEnd w:id="33"/>
    <w:bookmarkStart w:id="38" w:name="X54efe61ef3d7b002a8ed3bdf04dd6e60b13fbf9"/>
    <w:p>
      <w:pPr>
        <w:pStyle w:val="Heading2"/>
      </w:pPr>
      <w:r>
        <w:t xml:space="preserve">Element 3: Entrance sensor table (flags → forget-me-nots)</w:t>
      </w:r>
    </w:p>
    <w:p>
      <w:pPr>
        <w:pStyle w:val="FirstParagraph"/>
      </w:pPr>
      <w:r>
        <w:rPr>
          <w:bCs/>
          <w:b/>
        </w:rPr>
        <w:t xml:space="preserve">Type of element:</w:t>
      </w:r>
      <w:r>
        <w:t xml:space="preserve"> </w:t>
      </w:r>
      <w:r>
        <w:t xml:space="preserve">Interactive sensor table.</w:t>
      </w:r>
    </w:p>
    <w:bookmarkStart w:id="34" w:name="block-1-representation-2"/>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graphics, symbol</w:t>
            </w:r>
          </w:p>
        </w:tc>
        <w:tc>
          <w:tcPr/>
          <w:p>
            <w:pPr>
              <w:pStyle w:val="Compact"/>
              <w:jc w:val="left"/>
            </w:pPr>
            <w:r>
              <w:t xml:space="preserve">Digital graphics: the flags of Russia and Armenia → at the touch, the surface fills with forget-me-nots (blue / violet flowers on a light-blue background). On the screen: an instruction —</w:t>
            </w:r>
            <w:r>
              <w:t xml:space="preserve"> </w:t>
            </w:r>
            <w:r>
              <w:t xml:space="preserve">“</w:t>
            </w:r>
            <w:r>
              <w:t xml:space="preserve">wave your hand</w:t>
            </w:r>
            <w:r>
              <w:t xml:space="preserve">”</w:t>
            </w:r>
            <w:r>
              <w:t xml:space="preserve">.</w:t>
            </w:r>
          </w:p>
        </w:tc>
      </w:tr>
      <w:tr>
        <w:tc>
          <w:tcPr/>
          <w:p>
            <w:pPr>
              <w:pStyle w:val="Compact"/>
              <w:jc w:val="left"/>
            </w:pPr>
            <w:r>
              <w:t xml:space="preserve">Participants</w:t>
            </w:r>
          </w:p>
        </w:tc>
        <w:tc>
          <w:tcPr/>
          <w:p>
            <w:pPr>
              <w:pStyle w:val="Compact"/>
              <w:jc w:val="left"/>
            </w:pPr>
            <w:r>
              <w:t xml:space="preserve">Victims, witnesses, symbols</w:t>
            </w:r>
          </w:p>
        </w:tc>
        <w:tc>
          <w:tcPr/>
          <w:p>
            <w:pPr>
              <w:pStyle w:val="Compact"/>
              <w:jc w:val="left"/>
            </w:pPr>
            <w:r>
              <w:t xml:space="preserve">No people. Flags = the states that are participants in the history. Forget-me-nots = the (official) symbol of the genocide.</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Action — the transformation of the image under the viewer’s hand. The viewer themselves produces the change of image.</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Instructive (</w:t>
            </w:r>
            <w:r>
              <w:t xml:space="preserve">“</w:t>
            </w:r>
            <w:r>
              <w:t xml:space="preserve">wave your hand</w:t>
            </w:r>
            <w:r>
              <w:t xml:space="preserve">”</w:t>
            </w:r>
            <w:r>
              <w:t xml:space="preserve">). Minimal.</w:t>
            </w:r>
          </w:p>
        </w:tc>
      </w:tr>
    </w:tbl>
    <w:bookmarkEnd w:id="34"/>
    <w:bookmarkStart w:id="35" w:name="block-2-interaction-2"/>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No gaze. But the instruction is a direct address to the viewer (</w:t>
            </w:r>
            <w:r>
              <w:t xml:space="preserve">“</w:t>
            </w:r>
            <w:r>
              <w:t xml:space="preserve">wave</w:t>
            </w:r>
            <w:r>
              <w:t xml:space="preserve">”</w:t>
            </w:r>
            <w:r>
              <w:t xml:space="preserve">).</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Looks downward at a horizontal surface. A non-standard angle — the table as a stage.</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 bright, saturated colours of the flags. The forget-me-nots are stylised but recognisable. The digital animation reduces documentary character but amplifies symbolism.</w:t>
            </w:r>
          </w:p>
        </w:tc>
      </w:tr>
    </w:tbl>
    <w:bookmarkEnd w:id="35"/>
    <w:bookmarkStart w:id="36" w:name="block-3-composition-2"/>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 / transformation</w:t>
            </w:r>
          </w:p>
        </w:tc>
        <w:tc>
          <w:tcPr/>
          <w:p>
            <w:pPr>
              <w:pStyle w:val="Compact"/>
              <w:jc w:val="left"/>
            </w:pPr>
            <w:r>
              <w:t xml:space="preserve">Flags = given (states, history). Forget-me-nots = new (the result of the touch, the symbol of memory). The transformation occurs in the moment of interaction.</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Not applicable in the standard sense — a horizontal surface. The entire space of the table = a single field of meaning.</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Before the touch: the colours of the flags (red, blue, orange of Armenia; white, blue, red of Russia). After: a blue field of forget-me-nots occupies the entire table.</w:t>
            </w:r>
          </w:p>
        </w:tc>
      </w:tr>
    </w:tbl>
    <w:bookmarkEnd w:id="36"/>
    <w:bookmarkStart w:id="37" w:name="block-4-multimodal-synthesis-2"/>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Coherence through action: the instruction + the transformation of the image work together. The viewer becomes the</w:t>
            </w:r>
            <w:r>
              <w:t xml:space="preserve"> </w:t>
            </w:r>
            <w:r>
              <w:t xml:space="preserve">“</w:t>
            </w:r>
            <w:r>
              <w:t xml:space="preserve">author</w:t>
            </w:r>
            <w:r>
              <w:t xml:space="preserve">”</w:t>
            </w:r>
            <w:r>
              <w:t xml:space="preserve"> </w:t>
            </w:r>
            <w:r>
              <w:t xml:space="preserve">of the change of narrative — from the political (flags) to the memorial (forget-me-nots).</w:t>
            </w:r>
          </w:p>
        </w:tc>
      </w:tr>
      <w:tr>
        <w:tc>
          <w:tcPr/>
          <w:p>
            <w:pPr>
              <w:pStyle w:val="Compact"/>
              <w:jc w:val="left"/>
            </w:pPr>
            <w:r>
              <w:t xml:space="preserve">Dominant mode</w:t>
            </w:r>
          </w:p>
        </w:tc>
        <w:tc>
          <w:tcPr/>
          <w:p>
            <w:pPr>
              <w:pStyle w:val="Compact"/>
              <w:jc w:val="left"/>
            </w:pPr>
            <w:r>
              <w:t xml:space="preserve">Text / visual / space</w:t>
            </w:r>
          </w:p>
        </w:tc>
        <w:tc>
          <w:tcPr/>
          <w:p>
            <w:pPr>
              <w:pStyle w:val="Compact"/>
              <w:jc w:val="left"/>
            </w:pPr>
            <w:r>
              <w:t xml:space="preserve">Tactile + visual. The physical action is dominant. This is the only element of the exhibition in which the viewer literally</w:t>
            </w:r>
            <w:r>
              <w:t xml:space="preserve"> </w:t>
            </w:r>
            <w:r>
              <w:t xml:space="preserve">“</w:t>
            </w:r>
            <w:r>
              <w:t xml:space="preserve">creates</w:t>
            </w:r>
            <w:r>
              <w:t xml:space="preserve">”</w:t>
            </w:r>
            <w:r>
              <w:t xml:space="preserve"> </w:t>
            </w:r>
            <w:r>
              <w:t xml:space="preserve">the image of memory.</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Active (obligatory). The content is fully revealed only at the touch. The transformation from flags to forget-me-nots = a curatorially staged gesture of</w:t>
            </w:r>
            <w:r>
              <w:t xml:space="preserve"> </w:t>
            </w:r>
            <w:r>
              <w:t xml:space="preserve">“</w:t>
            </w:r>
            <w:r>
              <w:t xml:space="preserve">turning the political into the memorial</w:t>
            </w:r>
            <w:r>
              <w:t xml:space="preserve">”</w:t>
            </w:r>
            <w:r>
              <w:t xml:space="preserve">.</w:t>
            </w:r>
          </w:p>
        </w:tc>
      </w:tr>
    </w:tbl>
    <w:p>
      <w:r>
        <w:pict>
          <v:rect style="width:0;height:1.5pt" o:hralign="center" o:hrstd="t" o:hr="t"/>
        </w:pict>
      </w:r>
    </w:p>
    <w:bookmarkEnd w:id="37"/>
    <w:bookmarkEnd w:id="38"/>
    <w:bookmarkStart w:id="43" w:name="X792f2b76f3e6b8bd043b65ecf7079feabfd21b1"/>
    <w:p>
      <w:pPr>
        <w:pStyle w:val="Heading2"/>
      </w:pPr>
      <w:r>
        <w:t xml:space="preserve">Element 4: LED screen</w:t>
      </w:r>
      <w:r>
        <w:t xml:space="preserve"> </w:t>
      </w:r>
      <w:r>
        <w:t xml:space="preserve">“</w:t>
      </w:r>
      <w:r>
        <w:t xml:space="preserve">Symbolism of the exhibition and its meanings</w:t>
      </w:r>
      <w:r>
        <w:t xml:space="preserve">”</w:t>
      </w:r>
    </w:p>
    <w:p>
      <w:pPr>
        <w:pStyle w:val="FirstParagraph"/>
      </w:pPr>
      <w:r>
        <w:rPr>
          <w:bCs/>
          <w:b/>
        </w:rPr>
        <w:t xml:space="preserve">Type of element:</w:t>
      </w:r>
      <w:r>
        <w:t xml:space="preserve"> </w:t>
      </w:r>
      <w:r>
        <w:t xml:space="preserve">LED screen (explanatory).</w:t>
      </w:r>
    </w:p>
    <w:bookmarkStart w:id="39" w:name="block-1-representation-3"/>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Graphics, text</w:t>
            </w:r>
          </w:p>
        </w:tc>
        <w:tc>
          <w:tcPr/>
          <w:p>
            <w:pPr>
              <w:pStyle w:val="Compact"/>
              <w:jc w:val="left"/>
            </w:pPr>
            <w:r>
              <w:t xml:space="preserve">Black background. White graphic symbols (wings, thorn crown) + textual explanations. No photographs.</w:t>
            </w:r>
          </w:p>
        </w:tc>
      </w:tr>
      <w:tr>
        <w:tc>
          <w:tcPr/>
          <w:p>
            <w:pPr>
              <w:pStyle w:val="Compact"/>
              <w:jc w:val="left"/>
            </w:pPr>
            <w:r>
              <w:t xml:space="preserve">Participants</w:t>
            </w:r>
          </w:p>
        </w:tc>
        <w:tc>
          <w:tcPr/>
          <w:p>
            <w:pPr>
              <w:pStyle w:val="Compact"/>
              <w:jc w:val="left"/>
            </w:pPr>
            <w:r>
              <w:t xml:space="preserve">Symbols</w:t>
            </w:r>
          </w:p>
        </w:tc>
        <w:tc>
          <w:tcPr/>
          <w:p>
            <w:pPr>
              <w:pStyle w:val="Compact"/>
              <w:jc w:val="left"/>
            </w:pPr>
            <w:r>
              <w:t xml:space="preserve">No people. Wings =</w:t>
            </w:r>
            <w:r>
              <w:t xml:space="preserve"> </w:t>
            </w:r>
            <w:r>
              <w:t xml:space="preserve">“</w:t>
            </w:r>
            <w:r>
              <w:t xml:space="preserve">emancipation, freedom, recognition of the genocide</w:t>
            </w:r>
            <w:r>
              <w:t xml:space="preserve">”</w:t>
            </w:r>
            <w:r>
              <w:t xml:space="preserve">. Thorn crown =</w:t>
            </w:r>
            <w:r>
              <w:t xml:space="preserve"> </w:t>
            </w:r>
            <w:r>
              <w:t xml:space="preserve">“</w:t>
            </w:r>
            <w:r>
              <w:t xml:space="preserve">martyrdom, mass exterminations</w:t>
            </w:r>
            <w:r>
              <w:t xml:space="preserve">”</w:t>
            </w:r>
            <w:r>
              <w:t xml:space="preserve">.</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 static symbols.</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Declarative: the curator directly explains to the viewer how to read the images of the exhibition. Metatext — an instruction for interpretation.</w:t>
            </w:r>
          </w:p>
        </w:tc>
      </w:tr>
    </w:tbl>
    <w:bookmarkEnd w:id="39"/>
    <w:bookmarkStart w:id="40" w:name="block-2-interaction-3"/>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No gaze — abstract symbols.</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Long shot — the symbols occupy the entire screen.</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Low — stylised black-and-white graphics. The deliberate abstraction strengthens the universal, not historically concrete character of the symbols.</w:t>
            </w:r>
          </w:p>
        </w:tc>
      </w:tr>
    </w:tbl>
    <w:bookmarkEnd w:id="40"/>
    <w:bookmarkStart w:id="41" w:name="block-3-composition-3"/>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Symbol on the left / in the centre (given — visual sign). The textual explanation on the right (new — the meaning that has to be learned).</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Wings (above) = ideal (freedom, liberation). Thorn crown (below) = real (suffering, martyrdom).</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Sharp contrast of white on black. The wings are a more large-scale symbol and dominate visually. The thorn crown is centrally and geometrically accentuated.</w:t>
            </w:r>
          </w:p>
        </w:tc>
      </w:tr>
    </w:tbl>
    <w:bookmarkEnd w:id="41"/>
    <w:bookmarkStart w:id="42" w:name="block-4-multimodal-synthesis-3"/>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Full: the image of the symbol + its textual decoding. The curator leaves no room for an alternative interpretation — the meaning is set explicitly.</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Text (the explanation) dominates in content. The visual is an illustration of the text.</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 The function is a semiotic instruction: the viewer is taught to</w:t>
            </w:r>
            <w:r>
              <w:t xml:space="preserve"> </w:t>
            </w:r>
            <w:r>
              <w:t xml:space="preserve">“</w:t>
            </w:r>
            <w:r>
              <w:t xml:space="preserve">read</w:t>
            </w:r>
            <w:r>
              <w:t xml:space="preserve">”</w:t>
            </w:r>
            <w:r>
              <w:t xml:space="preserve"> </w:t>
            </w:r>
            <w:r>
              <w:t xml:space="preserve">the exhibition before it begins.</w:t>
            </w:r>
          </w:p>
        </w:tc>
      </w:tr>
    </w:tbl>
    <w:p>
      <w:r>
        <w:pict>
          <v:rect style="width:0;height:1.5pt" o:hralign="center" o:hrstd="t" o:hr="t"/>
        </w:pict>
      </w:r>
    </w:p>
    <w:bookmarkEnd w:id="42"/>
    <w:bookmarkEnd w:id="43"/>
    <w:bookmarkStart w:id="48" w:name="X8d66aeb9cd85f46f8aa846471601460d5c3ad50"/>
    <w:p>
      <w:pPr>
        <w:pStyle w:val="Heading2"/>
      </w:pPr>
      <w:r>
        <w:t xml:space="preserve">Element 5: LED screen</w:t>
      </w:r>
      <w:r>
        <w:t xml:space="preserve"> </w:t>
      </w:r>
      <w:r>
        <w:t xml:space="preserve">“</w:t>
      </w:r>
      <w:r>
        <w:t xml:space="preserve">The Russo-Turkish War of 1877–1878 and the Armenian question</w:t>
      </w:r>
      <w:r>
        <w:t xml:space="preserve">”</w:t>
      </w:r>
      <w:r>
        <w:t xml:space="preserve"> </w:t>
      </w:r>
      <w:r>
        <w:t xml:space="preserve">+ sensor table</w:t>
      </w:r>
    </w:p>
    <w:p>
      <w:pPr>
        <w:pStyle w:val="FirstParagraph"/>
      </w:pPr>
      <w:r>
        <w:rPr>
          <w:bCs/>
          <w:b/>
        </w:rPr>
        <w:t xml:space="preserve">Type of element:</w:t>
      </w:r>
      <w:r>
        <w:t xml:space="preserve"> </w:t>
      </w:r>
      <w:r>
        <w:t xml:space="preserve">LED screen + duplicating sensor table.</w:t>
      </w:r>
    </w:p>
    <w:bookmarkStart w:id="44" w:name="block-1-representation-4"/>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map, text, engraving</w:t>
            </w:r>
          </w:p>
        </w:tc>
        <w:tc>
          <w:tcPr/>
          <w:p>
            <w:pPr>
              <w:pStyle w:val="Compact"/>
              <w:jc w:val="left"/>
            </w:pPr>
            <w:r>
              <w:t xml:space="preserve">Archival black-and-white photographs (refugees, military scenes), a historical engraving, maps of territories (the Near East, the cartography of Greek and Roman sources), a portrait of Mkrtich Khrimian, a photograph of the Berlin Congress of 1878.</w:t>
            </w:r>
          </w:p>
        </w:tc>
      </w:tr>
      <w:tr>
        <w:tc>
          <w:tcPr/>
          <w:p>
            <w:pPr>
              <w:pStyle w:val="Compact"/>
              <w:jc w:val="left"/>
            </w:pPr>
            <w:r>
              <w:t xml:space="preserve">Participants</w:t>
            </w:r>
          </w:p>
        </w:tc>
        <w:tc>
          <w:tcPr/>
          <w:p>
            <w:pPr>
              <w:pStyle w:val="Compact"/>
              <w:jc w:val="left"/>
            </w:pPr>
            <w:r>
              <w:t xml:space="preserve">Victims, figures, witnesses</w:t>
            </w:r>
          </w:p>
        </w:tc>
        <w:tc>
          <w:tcPr/>
          <w:p>
            <w:pPr>
              <w:pStyle w:val="Compact"/>
              <w:jc w:val="left"/>
            </w:pPr>
            <w:r>
              <w:t xml:space="preserve">Refugees (victims — anonymous, in movement). Historical figures: Mkrtich Khrimian. Diplomatic scenes: the Berlin Congress.</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Mixed: refugees in movement (narrative action — flight), cavalry in attack (action — war). Official scenes — state (negotiations).</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Documentary-historical. A neutral academic tone with elements of a narrative of suffering (</w:t>
            </w:r>
            <w:r>
              <w:t xml:space="preserve">“</w:t>
            </w:r>
            <w:r>
              <w:t xml:space="preserve">about 2.5 million Armenians, who were subjected to discrimination</w:t>
            </w:r>
            <w:r>
              <w:t xml:space="preserve">”</w:t>
            </w:r>
            <w:r>
              <w:t xml:space="preserve">).</w:t>
            </w:r>
          </w:p>
        </w:tc>
      </w:tr>
    </w:tbl>
    <w:bookmarkEnd w:id="44"/>
    <w:bookmarkStart w:id="45" w:name="block-2-interaction-4"/>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Predominantly offer — refugees and military scenes look</w:t>
            </w:r>
            <w:r>
              <w:t xml:space="preserve"> </w:t>
            </w:r>
            <w:r>
              <w:t xml:space="preserve">“</w:t>
            </w:r>
            <w:r>
              <w:t xml:space="preserve">past</w:t>
            </w:r>
            <w:r>
              <w:t xml:space="preserve">”</w:t>
            </w:r>
            <w:r>
              <w:t xml:space="preserve">. Khrimian — direct gaze (demand — the legitimacy of the witness).</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and long shots — emphasise the scale of the events, not the individual fate.</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for archival photographs. Medium for engravings (documentary illustrations by contemporaries). The maps — abstract but historically authoritative.</w:t>
            </w:r>
          </w:p>
        </w:tc>
      </w:tr>
    </w:tbl>
    <w:bookmarkEnd w:id="45"/>
    <w:bookmarkStart w:id="46" w:name="block-3-composition-4"/>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images of suffering, refugees (given — the known fact of victimhood). Right — diplomatic documents, maps (new — the political context, the responsibility of the powers).</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Typographic dates 1877–1878 at the top as the ideal (chronological frame, historical status). Photographs of refugees and engravings below — the real (documentation).</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Large red typographic dates 1877 and 1878. Red geometric</w:t>
            </w:r>
            <w:r>
              <w:t xml:space="preserve"> </w:t>
            </w:r>
            <w:r>
              <w:t xml:space="preserve">“</w:t>
            </w:r>
            <w:r>
              <w:t xml:space="preserve">cuts</w:t>
            </w:r>
            <w:r>
              <w:t xml:space="preserve">”</w:t>
            </w:r>
            <w:r>
              <w:t xml:space="preserve"> </w:t>
            </w:r>
            <w:r>
              <w:t xml:space="preserve">over the photographs. Large white text of the heading</w:t>
            </w:r>
            <w:r>
              <w:t xml:space="preserve"> </w:t>
            </w:r>
            <w:r>
              <w:t xml:space="preserve">“</w:t>
            </w:r>
            <w:r>
              <w:t xml:space="preserve">The Russo-Turkish War…</w:t>
            </w:r>
            <w:r>
              <w:t xml:space="preserve">”</w:t>
            </w:r>
            <w:r>
              <w:t xml:space="preserve">.</w:t>
            </w:r>
          </w:p>
        </w:tc>
      </w:tr>
    </w:tbl>
    <w:bookmarkEnd w:id="46"/>
    <w:bookmarkStart w:id="47" w:name="block-4-multimodal-synthesis-4"/>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Coherence: the text explains the photograph, the photograph illustrates the text. The map adds a spatial argument to the historical narrative.</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Visual (archival photograph) is emotionally dominant. Text — informational dominant. Dates — structural dominant.</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The duplicating sensor table — active (the viewer chooses a section to study). But the choice is limited to the predefined sections. The LED screen — passive. The duplication reduces the necessity of interaction.</w:t>
            </w:r>
          </w:p>
        </w:tc>
      </w:tr>
    </w:tbl>
    <w:p>
      <w:r>
        <w:pict>
          <v:rect style="width:0;height:1.5pt" o:hralign="center" o:hrstd="t" o:hr="t"/>
        </w:pict>
      </w:r>
    </w:p>
    <w:bookmarkEnd w:id="47"/>
    <w:bookmarkEnd w:id="48"/>
    <w:bookmarkStart w:id="53" w:name="X5e25bcb43537223a9e408dad2214969ef2b9a09"/>
    <w:p>
      <w:pPr>
        <w:pStyle w:val="Heading2"/>
      </w:pPr>
      <w:r>
        <w:t xml:space="preserve">Element 6: LED screen</w:t>
      </w:r>
      <w:r>
        <w:t xml:space="preserve"> </w:t>
      </w:r>
      <w:r>
        <w:t xml:space="preserve">“</w:t>
      </w:r>
      <w:r>
        <w:t xml:space="preserve">The massacre of the Armenians in the Ottoman Empire 1894–1896</w:t>
      </w:r>
      <w:r>
        <w:t xml:space="preserve">”</w:t>
      </w:r>
    </w:p>
    <w:p>
      <w:pPr>
        <w:pStyle w:val="FirstParagraph"/>
      </w:pPr>
      <w:r>
        <w:rPr>
          <w:bCs/>
          <w:b/>
        </w:rPr>
        <w:t xml:space="preserve">Type of element:</w:t>
      </w:r>
      <w:r>
        <w:t xml:space="preserve"> </w:t>
      </w:r>
      <w:r>
        <w:t xml:space="preserve">LED screen.</w:t>
      </w:r>
    </w:p>
    <w:bookmarkStart w:id="49" w:name="block-1-representation-5"/>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Historical engraving, text</w:t>
            </w:r>
          </w:p>
        </w:tc>
        <w:tc>
          <w:tcPr/>
          <w:p>
            <w:pPr>
              <w:pStyle w:val="Compact"/>
              <w:jc w:val="left"/>
            </w:pPr>
            <w:r>
              <w:t xml:space="preserve">Engravings from the European press of 1894–1896 — scenes of violence (pogroms, killings). Red overlay on the black-and-white images. No photographs.</w:t>
            </w:r>
          </w:p>
        </w:tc>
      </w:tr>
      <w:tr>
        <w:tc>
          <w:tcPr/>
          <w:p>
            <w:pPr>
              <w:pStyle w:val="Compact"/>
              <w:jc w:val="left"/>
            </w:pPr>
            <w:r>
              <w:t xml:space="preserve">Participants</w:t>
            </w:r>
          </w:p>
        </w:tc>
        <w:tc>
          <w:tcPr/>
          <w:p>
            <w:pPr>
              <w:pStyle w:val="Compact"/>
              <w:jc w:val="left"/>
            </w:pPr>
            <w:r>
              <w:t xml:space="preserve">Victims, witnesses</w:t>
            </w:r>
          </w:p>
        </w:tc>
        <w:tc>
          <w:tcPr/>
          <w:p>
            <w:pPr>
              <w:pStyle w:val="Compact"/>
              <w:jc w:val="left"/>
            </w:pPr>
            <w:r>
              <w:t xml:space="preserve">Victims — Armenians (anonymous, in scenes of violence). Perpetrators — Turkish troops, Kurdish militias (identified in the text, not individualised in the image).</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Action — scenes of pogroms, attacks. Dynamic scenes. Movement — flight of victims and attack.</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Documentary-factual: dates, numbers of the killed. Emotional emphasis through concrete detail (</w:t>
            </w:r>
            <w:r>
              <w:t xml:space="preserve">“</w:t>
            </w:r>
            <w:r>
              <w:t xml:space="preserve">on that day about 2 thousand Armenians were killed</w:t>
            </w:r>
            <w:r>
              <w:t xml:space="preserve">”</w:t>
            </w:r>
            <w:r>
              <w:t xml:space="preserve">,</w:t>
            </w:r>
            <w:r>
              <w:t xml:space="preserve"> </w:t>
            </w:r>
            <w:r>
              <w:t xml:space="preserve">“</w:t>
            </w:r>
            <w:r>
              <w:t xml:space="preserve">about 10 thousand people</w:t>
            </w:r>
            <w:r>
              <w:t xml:space="preserve">”</w:t>
            </w:r>
            <w:r>
              <w:t xml:space="preserve">).</w:t>
            </w:r>
          </w:p>
        </w:tc>
      </w:tr>
    </w:tbl>
    <w:bookmarkEnd w:id="49"/>
    <w:bookmarkStart w:id="50" w:name="block-2-interaction-5"/>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Offer — the engraved scenes are massive and impersonal. The victims do not look at the viewer.</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Long shot — scenes of streets, crowds. The scale of victimhood is conveyed through numbers, not through a close-up of individual suffering.</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Medium — the engraving as a 19th-century medium. The curator explicitly indicates:</w:t>
            </w:r>
            <w:r>
              <w:t xml:space="preserve"> </w:t>
            </w:r>
            <w:r>
              <w:t xml:space="preserve">“</w:t>
            </w:r>
            <w:r>
              <w:t xml:space="preserve">based on eyewitness testimony</w:t>
            </w:r>
            <w:r>
              <w:t xml:space="preserve">”</w:t>
            </w:r>
            <w:r>
              <w:t xml:space="preserve">. The red overlay — an additional coding layer that strengthens blood and violence.</w:t>
            </w:r>
          </w:p>
        </w:tc>
      </w:tr>
    </w:tbl>
    <w:bookmarkEnd w:id="50"/>
    <w:bookmarkStart w:id="51" w:name="block-3-composition-5"/>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scenes of violence (given — the fact of the pogrom). Right — chronological development (new — the next stage of repression).</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heading</w:t>
            </w:r>
            <w:r>
              <w:t xml:space="preserve"> </w:t>
            </w:r>
            <w:r>
              <w:t xml:space="preserve">“</w:t>
            </w:r>
            <w:r>
              <w:t xml:space="preserve">The massacre of the Armenians in the Ottoman Empire 1894–1896</w:t>
            </w:r>
            <w:r>
              <w:t xml:space="preserve">”</w:t>
            </w:r>
            <w:r>
              <w:t xml:space="preserve"> </w:t>
            </w:r>
            <w:r>
              <w:t xml:space="preserve">— centred as the ideal (the official historical qualification). The engravings — above and below (the real — the visualisation of the qualification).</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red overlay on the engravings is the strongest visual dominant. The red literally</w:t>
            </w:r>
            <w:r>
              <w:t xml:space="preserve"> </w:t>
            </w:r>
            <w:r>
              <w:t xml:space="preserve">“</w:t>
            </w:r>
            <w:r>
              <w:t xml:space="preserve">colours</w:t>
            </w:r>
            <w:r>
              <w:t xml:space="preserve">”</w:t>
            </w:r>
            <w:r>
              <w:t xml:space="preserve"> </w:t>
            </w:r>
            <w:r>
              <w:t xml:space="preserve">black-and-white history in the colour of blood. A large central heading.</w:t>
            </w:r>
          </w:p>
        </w:tc>
      </w:tr>
    </w:tbl>
    <w:bookmarkEnd w:id="51"/>
    <w:bookmarkStart w:id="52" w:name="block-4-multimodal-synthesis-5"/>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Coherence: the text names what the image shows. The red overlay — a third mode that reinforces both.</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Visual (engravings + red overlay). Colour — a separate semiotic layer.</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w:t>
            </w:r>
          </w:p>
        </w:tc>
      </w:tr>
    </w:tbl>
    <w:p>
      <w:r>
        <w:pict>
          <v:rect style="width:0;height:1.5pt" o:hralign="center" o:hrstd="t" o:hr="t"/>
        </w:pict>
      </w:r>
    </w:p>
    <w:bookmarkEnd w:id="52"/>
    <w:bookmarkEnd w:id="53"/>
    <w:bookmarkStart w:id="58" w:name="Xe0309ebec20649b454290e17b26777bbcc27ab5"/>
    <w:p>
      <w:pPr>
        <w:pStyle w:val="Heading2"/>
      </w:pPr>
      <w:r>
        <w:t xml:space="preserve">Element 7: LED screen</w:t>
      </w:r>
      <w:r>
        <w:t xml:space="preserve"> </w:t>
      </w:r>
      <w:r>
        <w:t xml:space="preserve">“</w:t>
      </w:r>
      <w:r>
        <w:t xml:space="preserve">Fraternal aid to the Armenians suffering in Turkey</w:t>
      </w:r>
      <w:r>
        <w:t xml:space="preserve">”</w:t>
      </w:r>
    </w:p>
    <w:p>
      <w:pPr>
        <w:pStyle w:val="FirstParagraph"/>
      </w:pPr>
      <w:r>
        <w:rPr>
          <w:bCs/>
          <w:b/>
        </w:rPr>
        <w:t xml:space="preserve">Type of element:</w:t>
      </w:r>
      <w:r>
        <w:t xml:space="preserve"> </w:t>
      </w:r>
      <w:r>
        <w:t xml:space="preserve">LED screen.</w:t>
      </w:r>
    </w:p>
    <w:bookmarkStart w:id="54" w:name="block-1-representation-6"/>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documents, text</w:t>
            </w:r>
          </w:p>
        </w:tc>
        <w:tc>
          <w:tcPr/>
          <w:p>
            <w:pPr>
              <w:pStyle w:val="Compact"/>
              <w:jc w:val="left"/>
            </w:pPr>
            <w:r>
              <w:t xml:space="preserve">Archival photographs (children and refugees of 1896, photographer Dmitry Yermakov). The cover of the volume</w:t>
            </w:r>
            <w:r>
              <w:t xml:space="preserve"> </w:t>
            </w:r>
            <w:r>
              <w:rPr>
                <w:iCs/>
                <w:i/>
              </w:rPr>
              <w:t xml:space="preserve">Fraternal Aid</w:t>
            </w:r>
            <w:r>
              <w:t xml:space="preserve">. A letter by L. N. Tolstoy. Documentary pages.</w:t>
            </w:r>
          </w:p>
        </w:tc>
      </w:tr>
      <w:tr>
        <w:tc>
          <w:tcPr/>
          <w:p>
            <w:pPr>
              <w:pStyle w:val="Compact"/>
              <w:jc w:val="left"/>
            </w:pPr>
            <w:r>
              <w:t xml:space="preserve">Participants</w:t>
            </w:r>
          </w:p>
        </w:tc>
        <w:tc>
          <w:tcPr/>
          <w:p>
            <w:pPr>
              <w:pStyle w:val="Compact"/>
              <w:jc w:val="left"/>
            </w:pPr>
            <w:r>
              <w:t xml:space="preserve">Victims, witnesses, figures</w:t>
            </w:r>
          </w:p>
        </w:tc>
        <w:tc>
          <w:tcPr/>
          <w:p>
            <w:pPr>
              <w:pStyle w:val="Compact"/>
              <w:jc w:val="left"/>
            </w:pPr>
            <w:r>
              <w:t xml:space="preserve">Victims — children, orphans, refugees. Witnesses / figures — Tolstoy (the letter), Janayev (a publicist). The presence of children as participants amplifies the affective load.</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 group portraits of children, documents. One photograph with refugees: a state of waiting.</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 with a humanitarian emphasis. The editorial board of the volume became the centre of fundraising for the Armenian orphans and refugees.</w:t>
            </w:r>
          </w:p>
        </w:tc>
      </w:tr>
    </w:tbl>
    <w:bookmarkEnd w:id="54"/>
    <w:bookmarkStart w:id="55" w:name="block-2-interaction-6"/>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Direct gaze of the children on part of the photographs — demand. Creates a direct emotional contact with the contemporary viewer.</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 group portraits. Sufficient proximity for the identification of faces.</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 documentary photographs. The names of the photographers (Dmitry Yermakov) add authority to the source.</w:t>
            </w:r>
          </w:p>
        </w:tc>
      </w:tr>
    </w:tbl>
    <w:bookmarkEnd w:id="55"/>
    <w:bookmarkStart w:id="56" w:name="block-3-composition-6"/>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children and refugees (given — the fact of victimhood). Right — documents of solidarity (new — the response of Russian society).</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date 1897 — large at the top (ideal — the point of solidarity). Real — photographs of suffering and documents of aid.</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typographic</w:t>
            </w:r>
            <w:r>
              <w:t xml:space="preserve"> </w:t>
            </w:r>
            <w:r>
              <w:t xml:space="preserve">“</w:t>
            </w:r>
            <w:r>
              <w:t xml:space="preserve">1897</w:t>
            </w:r>
            <w:r>
              <w:t xml:space="preserve">”</w:t>
            </w:r>
            <w:r>
              <w:t xml:space="preserve">. The direct gaze of the children in the group photo. The cover of</w:t>
            </w:r>
            <w:r>
              <w:t xml:space="preserve"> </w:t>
            </w:r>
            <w:r>
              <w:rPr>
                <w:iCs/>
                <w:i/>
              </w:rPr>
              <w:t xml:space="preserve">Fraternal Aid</w:t>
            </w:r>
            <w:r>
              <w:t xml:space="preserve">.</w:t>
            </w:r>
          </w:p>
        </w:tc>
      </w:tr>
    </w:tbl>
    <w:bookmarkEnd w:id="56"/>
    <w:bookmarkStart w:id="57" w:name="block-4-multimodal-synthesis-6"/>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High: photographs of suffering + documents of aid = a single narrative of Russian–Armenian solidarity.</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Documentary character — equal weight of photographs and written sources.</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w:t>
            </w:r>
          </w:p>
        </w:tc>
      </w:tr>
    </w:tbl>
    <w:p>
      <w:r>
        <w:pict>
          <v:rect style="width:0;height:1.5pt" o:hralign="center" o:hrstd="t" o:hr="t"/>
        </w:pict>
      </w:r>
    </w:p>
    <w:bookmarkEnd w:id="57"/>
    <w:bookmarkEnd w:id="58"/>
    <w:bookmarkStart w:id="63" w:name="X3ed5b4a72f2a0e465b6b4f2d9bf5b1871d9eb8e"/>
    <w:p>
      <w:pPr>
        <w:pStyle w:val="Heading2"/>
      </w:pPr>
      <w:r>
        <w:t xml:space="preserve">Element 8: LED screens</w:t>
      </w:r>
      <w:r>
        <w:t xml:space="preserve"> </w:t>
      </w:r>
      <w:r>
        <w:t xml:space="preserve">“</w:t>
      </w:r>
      <w:r>
        <w:t xml:space="preserve">Armenian reforms and the beginning of the First World War</w:t>
      </w:r>
      <w:r>
        <w:t xml:space="preserve">”</w:t>
      </w:r>
      <w:r>
        <w:t xml:space="preserve"> </w:t>
      </w:r>
      <w:r>
        <w:t xml:space="preserve">(2 screens)</w:t>
      </w:r>
    </w:p>
    <w:p>
      <w:pPr>
        <w:pStyle w:val="FirstParagraph"/>
      </w:pPr>
      <w:r>
        <w:rPr>
          <w:bCs/>
          <w:b/>
        </w:rPr>
        <w:t xml:space="preserve">Type of element:</w:t>
      </w:r>
      <w:r>
        <w:t xml:space="preserve"> </w:t>
      </w:r>
      <w:r>
        <w:t xml:space="preserve">LED screens (two consecutive).</w:t>
      </w:r>
    </w:p>
    <w:bookmarkStart w:id="59" w:name="block-1-representation-7"/>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Map, documents, caricature, photo</w:t>
            </w:r>
          </w:p>
        </w:tc>
        <w:tc>
          <w:tcPr/>
          <w:p>
            <w:pPr>
              <w:pStyle w:val="Compact"/>
              <w:jc w:val="left"/>
            </w:pPr>
            <w:r>
              <w:t xml:space="preserve">Maps of the Near East. Diplomatic documents (the volume</w:t>
            </w:r>
            <w:r>
              <w:t xml:space="preserve"> </w:t>
            </w:r>
            <w:r>
              <w:rPr>
                <w:iCs/>
                <w:i/>
              </w:rPr>
              <w:t xml:space="preserve">Reforms in Armenia</w:t>
            </w:r>
            <w:r>
              <w:t xml:space="preserve">). Archival photographs (diplomatic meetings). Political caricatures from the European and Russian press (Turkey as the anti-hero).</w:t>
            </w:r>
          </w:p>
        </w:tc>
      </w:tr>
      <w:tr>
        <w:tc>
          <w:tcPr/>
          <w:p>
            <w:pPr>
              <w:pStyle w:val="Compact"/>
              <w:jc w:val="left"/>
            </w:pPr>
            <w:r>
              <w:t xml:space="preserve">Participants</w:t>
            </w:r>
          </w:p>
        </w:tc>
        <w:tc>
          <w:tcPr/>
          <w:p>
            <w:pPr>
              <w:pStyle w:val="Compact"/>
              <w:jc w:val="left"/>
            </w:pPr>
            <w:r>
              <w:t xml:space="preserve">Figures, symbols</w:t>
            </w:r>
          </w:p>
        </w:tc>
        <w:tc>
          <w:tcPr/>
          <w:p>
            <w:pPr>
              <w:pStyle w:val="Compact"/>
              <w:jc w:val="left"/>
            </w:pPr>
            <w:r>
              <w:t xml:space="preserve">Historical figures: S. D. Sazonov (Russian Minister of Foreign Affairs), members of the Young Turk government. Caricatured images of Turkey.</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 official portraits. Action — in the caricatures (satirical movement).</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Documentary-historical + quotations from diplomatic documents. Explains the failure of the reforms and the intentionality of the genocide.</w:t>
            </w:r>
          </w:p>
        </w:tc>
      </w:tr>
    </w:tbl>
    <w:bookmarkEnd w:id="59"/>
    <w:bookmarkStart w:id="60" w:name="block-2-interaction-7"/>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Direct gaze of the official portraits (Sazonov) — demand (the authority of the protecting state). Caricatures — no gaze.</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for portraits. Long shot for caricatures.</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for photographs and documents. Low for caricatures — satirical exaggeration. A mixture of registers.</w:t>
            </w:r>
          </w:p>
        </w:tc>
      </w:tr>
    </w:tbl>
    <w:bookmarkEnd w:id="60"/>
    <w:bookmarkStart w:id="61" w:name="block-3-composition-7"/>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maps and diplomatic failures (given — the geopolitical context). Right — caricatures and the declaration of war (new — the turning point).</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heading and the maps — at the top (ideal — the geopolitical frame). The caricatures and texts about intentionality — below (the real — the intention of destruction).</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quotation about the intention to destroy the Armenians is the largest text block on the second screen. The caricatured images are visually contrasting.</w:t>
            </w:r>
          </w:p>
        </w:tc>
      </w:tr>
    </w:tbl>
    <w:bookmarkEnd w:id="61"/>
    <w:bookmarkStart w:id="62" w:name="block-4-multimodal-synthesis-7"/>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Partial contradiction: the official tone of the diplomatic documents vs the satirical tone of the caricatures. The tension between the serious and the grotesque creates a double effect — document + condemnation.</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Text (diplomatic narrative) dominates informationally. The caricatures — emotionally.</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 The sensor table duplicates the content.</w:t>
            </w:r>
          </w:p>
        </w:tc>
      </w:tr>
    </w:tbl>
    <w:p>
      <w:r>
        <w:pict>
          <v:rect style="width:0;height:1.5pt" o:hralign="center" o:hrstd="t" o:hr="t"/>
        </w:pict>
      </w:r>
    </w:p>
    <w:bookmarkEnd w:id="62"/>
    <w:bookmarkEnd w:id="63"/>
    <w:bookmarkStart w:id="68" w:name="Xa8732db1d7d5404061a753de55b66c4404b828b"/>
    <w:p>
      <w:pPr>
        <w:pStyle w:val="Heading2"/>
      </w:pPr>
      <w:r>
        <w:t xml:space="preserve">Element 9: LED screen</w:t>
      </w:r>
      <w:r>
        <w:t xml:space="preserve"> </w:t>
      </w:r>
      <w:r>
        <w:t xml:space="preserve">“</w:t>
      </w:r>
      <w:r>
        <w:t xml:space="preserve">The Russian soldier — eyewitness of the genocide</w:t>
      </w:r>
      <w:r>
        <w:t xml:space="preserve">”</w:t>
      </w:r>
    </w:p>
    <w:p>
      <w:pPr>
        <w:pStyle w:val="FirstParagraph"/>
      </w:pPr>
      <w:r>
        <w:rPr>
          <w:bCs/>
          <w:b/>
        </w:rPr>
        <w:t xml:space="preserve">Type of element:</w:t>
      </w:r>
      <w:r>
        <w:t xml:space="preserve"> </w:t>
      </w:r>
      <w:r>
        <w:t xml:space="preserve">LED screen + duplicating sensor table.</w:t>
      </w:r>
    </w:p>
    <w:bookmarkStart w:id="64" w:name="block-1-representation-8"/>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military map, documents</w:t>
            </w:r>
          </w:p>
        </w:tc>
        <w:tc>
          <w:tcPr/>
          <w:p>
            <w:pPr>
              <w:pStyle w:val="Compact"/>
              <w:jc w:val="left"/>
            </w:pPr>
            <w:r>
              <w:t xml:space="preserve">Archival photographs — the consequences of the genocide: mutilated bodies of Armenians, burned houses. A military map of the Caucasian front of 1914–1918 (Zayonchkovsky). Photographs of survivors in Trebizond.</w:t>
            </w:r>
          </w:p>
        </w:tc>
      </w:tr>
      <w:tr>
        <w:tc>
          <w:tcPr/>
          <w:p>
            <w:pPr>
              <w:pStyle w:val="Compact"/>
              <w:jc w:val="left"/>
            </w:pPr>
            <w:r>
              <w:t xml:space="preserve">Participants</w:t>
            </w:r>
          </w:p>
        </w:tc>
        <w:tc>
          <w:tcPr/>
          <w:p>
            <w:pPr>
              <w:pStyle w:val="Compact"/>
              <w:jc w:val="left"/>
            </w:pPr>
            <w:r>
              <w:t xml:space="preserve">Victims, witnesses</w:t>
            </w:r>
          </w:p>
        </w:tc>
        <w:tc>
          <w:tcPr/>
          <w:p>
            <w:pPr>
              <w:pStyle w:val="Compact"/>
              <w:jc w:val="left"/>
            </w:pPr>
            <w:r>
              <w:t xml:space="preserve">Victims — the bodies of killed Armenians (anonymous, documentary). Witnesses — Russian soldiers (their letters, not their faces). The role of the eyewitness is central to the narrative of this screen.</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 the bodies of the dead. This is a principled choice: not the action (killing) but its result. A stopped moment — documentation.</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Documentary-testimonial:</w:t>
            </w:r>
            <w:r>
              <w:t xml:space="preserve"> </w:t>
            </w:r>
            <w:r>
              <w:t xml:space="preserve">“</w:t>
            </w:r>
            <w:r>
              <w:t xml:space="preserve">About the events on the Turkish front they wrote, describing the horrors committed by the Turks. These letters became the first eyewitness testimonies of the Genocide of the Armenian people in Turkey.</w:t>
            </w:r>
            <w:r>
              <w:t xml:space="preserve">”</w:t>
            </w:r>
          </w:p>
        </w:tc>
      </w:tr>
    </w:tbl>
    <w:bookmarkEnd w:id="64"/>
    <w:bookmarkStart w:id="65" w:name="block-2-interaction-8"/>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Offer — the bodies of the dead, the ruins. None of those depicted looks at the viewer. The viewer’s gaze — that of an investigator / witness.</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and long shots. The camera does not move into close-up — it preserves a documentary distance, does not exploit.</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Highest — documentary photographs of the consequences. The map — abstract but with an authoritative attribution.</w:t>
            </w:r>
          </w:p>
        </w:tc>
      </w:tr>
    </w:tbl>
    <w:bookmarkEnd w:id="65"/>
    <w:bookmarkStart w:id="66" w:name="block-3-composition-8"/>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photographs of the consequences (given — the fact of the killings). Right — the military map (new — the spatial scale of the operation).</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Typographic dates 1914–1916 — at the top as the ideal (the historical frame). The photographs of bodies — below as the real (proof).</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heading</w:t>
            </w:r>
            <w:r>
              <w:t xml:space="preserve"> </w:t>
            </w:r>
            <w:r>
              <w:t xml:space="preserve">“</w:t>
            </w:r>
            <w:r>
              <w:t xml:space="preserve">The Russian soldier — eyewitness of the genocide</w:t>
            </w:r>
            <w:r>
              <w:t xml:space="preserve">”</w:t>
            </w:r>
            <w:r>
              <w:t xml:space="preserve"> </w:t>
            </w:r>
            <w:r>
              <w:t xml:space="preserve">— in the largest typeface. The photographs of bodies — the maximum affective load. Red in the dates.</w:t>
            </w:r>
          </w:p>
        </w:tc>
      </w:tr>
    </w:tbl>
    <w:bookmarkEnd w:id="66"/>
    <w:bookmarkStart w:id="67" w:name="block-4-multimodal-synthesis-8"/>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Coherence: the soldiers’ letters + the photographs document the same thing. Testimony is doubled — text and image confirm each other.</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Visual (documentary photographs of the consequences) — emotionally and evidentially dominant.</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The sensor table duplicates. Passive by default.</w:t>
            </w:r>
          </w:p>
        </w:tc>
      </w:tr>
    </w:tbl>
    <w:p>
      <w:r>
        <w:pict>
          <v:rect style="width:0;height:1.5pt" o:hralign="center" o:hrstd="t" o:hr="t"/>
        </w:pict>
      </w:r>
    </w:p>
    <w:bookmarkEnd w:id="67"/>
    <w:bookmarkEnd w:id="68"/>
    <w:bookmarkStart w:id="73" w:name="Xda5cf829ff97d8897054d9228db619ca7f8ef0d"/>
    <w:p>
      <w:pPr>
        <w:pStyle w:val="Heading2"/>
      </w:pPr>
      <w:r>
        <w:t xml:space="preserve">Element 10: LED screen</w:t>
      </w:r>
      <w:r>
        <w:t xml:space="preserve"> </w:t>
      </w:r>
      <w:r>
        <w:t xml:space="preserve">“</w:t>
      </w:r>
      <w:r>
        <w:t xml:space="preserve">Crime against humanity and civilisation</w:t>
      </w:r>
      <w:r>
        <w:t xml:space="preserve">”</w:t>
      </w:r>
    </w:p>
    <w:p>
      <w:pPr>
        <w:pStyle w:val="FirstParagraph"/>
      </w:pPr>
      <w:r>
        <w:rPr>
          <w:bCs/>
          <w:b/>
        </w:rPr>
        <w:t xml:space="preserve">Type of element:</w:t>
      </w:r>
      <w:r>
        <w:t xml:space="preserve"> </w:t>
      </w:r>
      <w:r>
        <w:t xml:space="preserve">LED screen.</w:t>
      </w:r>
    </w:p>
    <w:bookmarkStart w:id="69" w:name="block-1-representation-9"/>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w:t>
            </w:r>
          </w:p>
        </w:tc>
        <w:tc>
          <w:tcPr/>
          <w:p>
            <w:pPr>
              <w:pStyle w:val="Compact"/>
              <w:jc w:val="left"/>
            </w:pPr>
            <w:r>
              <w:t xml:space="preserve">Exclusively archival photographs by Armin Wegner and Viktor Pichmann: bodies of those who perished from hunger and deprivation, the deported, children in the concentration settlements (Ras al-Ayn, Deir ez-Zor).</w:t>
            </w:r>
          </w:p>
        </w:tc>
      </w:tr>
      <w:tr>
        <w:tc>
          <w:tcPr/>
          <w:p>
            <w:pPr>
              <w:pStyle w:val="Compact"/>
              <w:jc w:val="left"/>
            </w:pPr>
            <w:r>
              <w:t xml:space="preserve">Participants</w:t>
            </w:r>
          </w:p>
        </w:tc>
        <w:tc>
          <w:tcPr/>
          <w:p>
            <w:pPr>
              <w:pStyle w:val="Compact"/>
              <w:jc w:val="left"/>
            </w:pPr>
            <w:r>
              <w:t xml:space="preserve">Victims</w:t>
            </w:r>
          </w:p>
        </w:tc>
        <w:tc>
          <w:tcPr/>
          <w:p>
            <w:pPr>
              <w:pStyle w:val="Compact"/>
              <w:jc w:val="left"/>
            </w:pPr>
            <w:r>
              <w:t xml:space="preserve">Only victims: the dead, the exhausted, the children. There are no historical figures, no witnesses in the photographs — only victims. The maximum concentration of victimhood.</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A state of death and exhaustion. Bodies, the frozen poses of dying children. A visual fixation of stopped life.</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Documentary-juridical:</w:t>
            </w:r>
            <w:r>
              <w:t xml:space="preserve"> </w:t>
            </w:r>
            <w:r>
              <w:t xml:space="preserve">“</w:t>
            </w:r>
            <w:r>
              <w:t xml:space="preserve">On 24 May 1915 Great Britain, France and Russia issued a joint declaration condemning the massacre…</w:t>
            </w:r>
            <w:r>
              <w:t xml:space="preserve">”</w:t>
            </w:r>
            <w:r>
              <w:t xml:space="preserve">. Lemkin is cited (the definition of genocide as the destruction of culture). The register is accusatory.</w:t>
            </w:r>
          </w:p>
        </w:tc>
      </w:tr>
    </w:tbl>
    <w:bookmarkEnd w:id="69"/>
    <w:bookmarkStart w:id="70" w:name="block-2-interaction-9"/>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Direct gaze — in some children in the photographs (demand). This is the most affective moment of the whole exhibition: a child looks directly at the viewer through a hundred years.</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Close-up — the children. Long shot — fields of bodies. A change of scale from the individual to the mass.</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Maximum — professional documentary photographs with attribution (Wegner, Pichmann). This is the</w:t>
            </w:r>
            <w:r>
              <w:t xml:space="preserve"> </w:t>
            </w:r>
            <w:r>
              <w:t xml:space="preserve">“</w:t>
            </w:r>
            <w:r>
              <w:t xml:space="preserve">evidentiary</w:t>
            </w:r>
            <w:r>
              <w:t xml:space="preserve">”</w:t>
            </w:r>
            <w:r>
              <w:t xml:space="preserve"> </w:t>
            </w:r>
            <w:r>
              <w:t xml:space="preserve">level of the narrative.</w:t>
            </w:r>
          </w:p>
        </w:tc>
      </w:tr>
    </w:tbl>
    <w:bookmarkEnd w:id="70"/>
    <w:bookmarkStart w:id="71" w:name="block-3-composition-9"/>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organisational documents (orders for extermination). Right — photographs of the consequences. The narrative logic: order → consequence.</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heading</w:t>
            </w:r>
            <w:r>
              <w:t xml:space="preserve"> </w:t>
            </w:r>
            <w:r>
              <w:t xml:space="preserve">“</w:t>
            </w:r>
            <w:r>
              <w:t xml:space="preserve">Crime against Humanity</w:t>
            </w:r>
            <w:r>
              <w:t xml:space="preserve">”</w:t>
            </w:r>
            <w:r>
              <w:t xml:space="preserve"> </w:t>
            </w:r>
            <w:r>
              <w:t xml:space="preserve">— at the bottom left (non-standard — not an ideal but a verdict). The photographs occupy most of the space — the real dominates over the symbolic.</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photographs of children — the maximum affective salience. The red background behind the dates 1914–1915. The heading in quotation marks reinforces the citational (juridical) character.</w:t>
            </w:r>
          </w:p>
        </w:tc>
      </w:tr>
    </w:tbl>
    <w:bookmarkEnd w:id="71"/>
    <w:bookmarkStart w:id="72" w:name="block-4-multimodal-synthesis-9"/>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Full coherence: juridical definition + photographic evidence + international reaction. Three levels of proof.</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Visual (photographs of victims) is absolutely dominant. This is the emotional peak of the exhibition.</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 Deliberately — the viewer does not need to</w:t>
            </w:r>
            <w:r>
              <w:t xml:space="preserve"> </w:t>
            </w:r>
            <w:r>
              <w:t xml:space="preserve">“</w:t>
            </w:r>
            <w:r>
              <w:t xml:space="preserve">do</w:t>
            </w:r>
            <w:r>
              <w:t xml:space="preserve">”</w:t>
            </w:r>
            <w:r>
              <w:t xml:space="preserve"> </w:t>
            </w:r>
            <w:r>
              <w:t xml:space="preserve">anything other than look.</w:t>
            </w:r>
          </w:p>
        </w:tc>
      </w:tr>
    </w:tbl>
    <w:p>
      <w:r>
        <w:pict>
          <v:rect style="width:0;height:1.5pt" o:hralign="center" o:hrstd="t" o:hr="t"/>
        </w:pict>
      </w:r>
    </w:p>
    <w:bookmarkEnd w:id="72"/>
    <w:bookmarkEnd w:id="73"/>
    <w:bookmarkStart w:id="78" w:name="X1c7d5ded20fe81838e5dda99c869ca04b375fbb"/>
    <w:p>
      <w:pPr>
        <w:pStyle w:val="Heading2"/>
      </w:pPr>
      <w:r>
        <w:t xml:space="preserve">Element 11: LED screen</w:t>
      </w:r>
      <w:r>
        <w:t xml:space="preserve"> </w:t>
      </w:r>
      <w:r>
        <w:t xml:space="preserve">“</w:t>
      </w:r>
      <w:r>
        <w:t xml:space="preserve">The Self-Defence of the Armenians of the City of Van in 1915</w:t>
      </w:r>
      <w:r>
        <w:t xml:space="preserve">”</w:t>
      </w:r>
    </w:p>
    <w:p>
      <w:pPr>
        <w:pStyle w:val="FirstParagraph"/>
      </w:pPr>
      <w:r>
        <w:rPr>
          <w:bCs/>
          <w:b/>
        </w:rPr>
        <w:t xml:space="preserve">Type of element:</w:t>
      </w:r>
      <w:r>
        <w:t xml:space="preserve"> </w:t>
      </w:r>
      <w:r>
        <w:t xml:space="preserve">LED screen.</w:t>
      </w:r>
    </w:p>
    <w:bookmarkStart w:id="74" w:name="block-1-representation-10"/>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text</w:t>
            </w:r>
          </w:p>
        </w:tc>
        <w:tc>
          <w:tcPr/>
          <w:p>
            <w:pPr>
              <w:pStyle w:val="Compact"/>
              <w:jc w:val="left"/>
            </w:pPr>
            <w:r>
              <w:t xml:space="preserve">Archival group photographs of the Armenian defenders. A portrait of Aram Manukian (the leader of the self-defence). Photographs of positional war (trenches, fighters). Mention of women participants.</w:t>
            </w:r>
          </w:p>
        </w:tc>
      </w:tr>
      <w:tr>
        <w:tc>
          <w:tcPr/>
          <w:p>
            <w:pPr>
              <w:pStyle w:val="Compact"/>
              <w:jc w:val="left"/>
            </w:pPr>
            <w:r>
              <w:t xml:space="preserve">Participants</w:t>
            </w:r>
          </w:p>
        </w:tc>
        <w:tc>
          <w:tcPr/>
          <w:p>
            <w:pPr>
              <w:pStyle w:val="Compact"/>
              <w:jc w:val="left"/>
            </w:pPr>
            <w:r>
              <w:t xml:space="preserve">Figures, victims, witnesses</w:t>
            </w:r>
          </w:p>
        </w:tc>
        <w:tc>
          <w:tcPr/>
          <w:p>
            <w:pPr>
              <w:pStyle w:val="Compact"/>
              <w:jc w:val="left"/>
            </w:pPr>
            <w:r>
              <w:t xml:space="preserve">Historical figures: Aram Manukian (personified, portrait with caption). Fighters (group portrait — a collective hero). Women and adolescents — an extension of the image of the defender.</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Mixed: group portraits (state — a demonstration of cohesion), photographs of positions (action — defence).</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Heroic / documentary.</w:t>
            </w:r>
            <w:r>
              <w:t xml:space="preserve"> </w:t>
            </w:r>
            <w:r>
              <w:t xml:space="preserve">“</w:t>
            </w:r>
            <w:r>
              <w:t xml:space="preserve">The Armenians managed not only to repel the Turkish attacks but also to capture some of their positions</w:t>
            </w:r>
            <w:r>
              <w:t xml:space="preserve">”</w:t>
            </w:r>
            <w:r>
              <w:t xml:space="preserve">. An emphasis on victory within the frame of the tragedy.</w:t>
            </w:r>
          </w:p>
        </w:tc>
      </w:tr>
    </w:tbl>
    <w:bookmarkEnd w:id="74"/>
    <w:bookmarkStart w:id="75" w:name="block-2-interaction-10"/>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Direct gaze on the group portrait of the fighters (demand — pride, solidarity). Manukian — direct gaze (the authority of the leader).</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 group portraits. Long shot — battle positions.</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 documentary archival photographs.</w:t>
            </w:r>
          </w:p>
        </w:tc>
      </w:tr>
    </w:tbl>
    <w:bookmarkEnd w:id="75"/>
    <w:bookmarkStart w:id="76" w:name="block-3-composition-10"/>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images of collective defence (given). Right — mention of the Russian troops, a joint victory (new — Russian participation in the rescue).</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inscription</w:t>
            </w:r>
            <w:r>
              <w:t xml:space="preserve"> </w:t>
            </w:r>
            <w:r>
              <w:t xml:space="preserve">“</w:t>
            </w:r>
            <w:r>
              <w:t xml:space="preserve">The Self-Defence of the Armenians of the City of Van in 1915</w:t>
            </w:r>
            <w:r>
              <w:t xml:space="preserve">”</w:t>
            </w:r>
            <w:r>
              <w:t xml:space="preserve"> </w:t>
            </w:r>
            <w:r>
              <w:t xml:space="preserve">— in the largest typeface in the centre (ideal — heroes of resistance). The archival photographs — the real.</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gigantic inscription</w:t>
            </w:r>
            <w:r>
              <w:t xml:space="preserve"> </w:t>
            </w:r>
            <w:r>
              <w:t xml:space="preserve">“</w:t>
            </w:r>
            <w:r>
              <w:t xml:space="preserve">The Self-Defence of the Armenians of the City of Van</w:t>
            </w:r>
            <w:r>
              <w:t xml:space="preserve">”</w:t>
            </w:r>
            <w:r>
              <w:t xml:space="preserve"> </w:t>
            </w:r>
            <w:r>
              <w:t xml:space="preserve">in red on a white background — the unconditional visual dominant. The date 1915 — large-scale typography.</w:t>
            </w:r>
          </w:p>
        </w:tc>
      </w:tr>
    </w:tbl>
    <w:bookmarkEnd w:id="76"/>
    <w:bookmarkStart w:id="77" w:name="block-4-multimodal-synthesis-10"/>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Coherence: a heroic text + documentary group photographs. The scale of the typography reinforces the tone of victory.</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Typography (the heading) dominates visually. This is a curatorial decision — the resistance literally</w:t>
            </w:r>
            <w:r>
              <w:t xml:space="preserve"> </w:t>
            </w:r>
            <w:r>
              <w:t xml:space="preserve">“</w:t>
            </w:r>
            <w:r>
              <w:t xml:space="preserve">shouts</w:t>
            </w:r>
            <w:r>
              <w:t xml:space="preserve">”</w:t>
            </w:r>
            <w:r>
              <w:t xml:space="preserve">.</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w:t>
            </w:r>
          </w:p>
        </w:tc>
      </w:tr>
    </w:tbl>
    <w:p>
      <w:r>
        <w:pict>
          <v:rect style="width:0;height:1.5pt" o:hralign="center" o:hrstd="t" o:hr="t"/>
        </w:pict>
      </w:r>
    </w:p>
    <w:bookmarkEnd w:id="77"/>
    <w:bookmarkEnd w:id="78"/>
    <w:bookmarkStart w:id="83" w:name="X09b2b53ee937a906812da5e7cd895165c323bcf"/>
    <w:p>
      <w:pPr>
        <w:pStyle w:val="Heading2"/>
      </w:pPr>
      <w:r>
        <w:t xml:space="preserve">Element 12: LED screen</w:t>
      </w:r>
      <w:r>
        <w:t xml:space="preserve"> </w:t>
      </w:r>
      <w:r>
        <w:t xml:space="preserve">“</w:t>
      </w:r>
      <w:r>
        <w:t xml:space="preserve">Refugees of the genocide: aid from the Russian authorities and humanitarian organisations</w:t>
      </w:r>
      <w:r>
        <w:t xml:space="preserve">”</w:t>
      </w:r>
    </w:p>
    <w:p>
      <w:pPr>
        <w:pStyle w:val="FirstParagraph"/>
      </w:pPr>
      <w:r>
        <w:rPr>
          <w:bCs/>
          <w:b/>
        </w:rPr>
        <w:t xml:space="preserve">Type of element:</w:t>
      </w:r>
      <w:r>
        <w:t xml:space="preserve"> </w:t>
      </w:r>
      <w:r>
        <w:t xml:space="preserve">LED screen.</w:t>
      </w:r>
    </w:p>
    <w:bookmarkStart w:id="79" w:name="block-1-representation-11"/>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text</w:t>
            </w:r>
          </w:p>
        </w:tc>
        <w:tc>
          <w:tcPr/>
          <w:p>
            <w:pPr>
              <w:pStyle w:val="Compact"/>
              <w:jc w:val="left"/>
            </w:pPr>
            <w:r>
              <w:t xml:space="preserve">Archival photographs: refugees at the foot of Mount Ararat (14 July 1915), perished refugees (bodies lying down — labelled</w:t>
            </w:r>
            <w:r>
              <w:t xml:space="preserve"> </w:t>
            </w:r>
            <w:r>
              <w:t xml:space="preserve">“</w:t>
            </w:r>
            <w:r>
              <w:t xml:space="preserve">Perished refugees</w:t>
            </w:r>
            <w:r>
              <w:t xml:space="preserve">”</w:t>
            </w:r>
            <w:r>
              <w:t xml:space="preserve">), children, groups of displaced Armenians. Numbers: 250 000–300 000 refugees, 25 000–30 000 orphans.</w:t>
            </w:r>
          </w:p>
        </w:tc>
      </w:tr>
      <w:tr>
        <w:tc>
          <w:tcPr/>
          <w:p>
            <w:pPr>
              <w:pStyle w:val="Compact"/>
              <w:jc w:val="left"/>
            </w:pPr>
            <w:r>
              <w:t xml:space="preserve">Participants</w:t>
            </w:r>
          </w:p>
        </w:tc>
        <w:tc>
          <w:tcPr/>
          <w:p>
            <w:pPr>
              <w:pStyle w:val="Compact"/>
              <w:jc w:val="left"/>
            </w:pPr>
            <w:r>
              <w:t xml:space="preserve">Victims, witnesses</w:t>
            </w:r>
          </w:p>
        </w:tc>
        <w:tc>
          <w:tcPr/>
          <w:p>
            <w:pPr>
              <w:pStyle w:val="Compact"/>
              <w:jc w:val="left"/>
            </w:pPr>
            <w:r>
              <w:t xml:space="preserve">Victims — refugees, children, the perished. There are no hero-figures in the photographs. Only an anonymous mass of victims.</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 exhaustion, death, waiting. Exception: the movement of the refugees at Ararat.</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Documentary-statistical. Large numbers structure horror through figures.</w:t>
            </w:r>
            <w:r>
              <w:t xml:space="preserve"> </w:t>
            </w:r>
            <w:r>
              <w:t xml:space="preserve">“</w:t>
            </w:r>
            <w:r>
              <w:t xml:space="preserve">The resettlement was unorganised and was accompanied by losses.</w:t>
            </w:r>
            <w:r>
              <w:t xml:space="preserve">”</w:t>
            </w:r>
          </w:p>
        </w:tc>
      </w:tr>
    </w:tbl>
    <w:bookmarkEnd w:id="79"/>
    <w:bookmarkStart w:id="80" w:name="block-2-interaction-11"/>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Direct gaze on the portrait of Armenian children (demand). The rest — offer (turned away, lying, moving).</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Close-up — the child portrait (proximity). Long shot — the mass of refugees (the scale of tragedy).</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 dated documentary photographs.</w:t>
            </w:r>
          </w:p>
        </w:tc>
      </w:tr>
    </w:tbl>
    <w:bookmarkEnd w:id="80"/>
    <w:bookmarkStart w:id="81" w:name="block-3-composition-11"/>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the mass of refugees and perished (given — the scale of the catastrophe). Right — information about Russian aid (new — the response to the catastrophe).</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heading with the numbers of refugees — at the top (ideal — the historical qualification). Photographs of bodies — below (the real).</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numbers: 250 000–300 000 and 25 000–30 000 — highlighted typographically. Photographs of the bodies of perished refugees — affective dominant.</w:t>
            </w:r>
          </w:p>
        </w:tc>
      </w:tr>
    </w:tbl>
    <w:bookmarkEnd w:id="81"/>
    <w:bookmarkStart w:id="82" w:name="block-4-multimodal-synthesis-11"/>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Tension: the heading promises a narrative of</w:t>
            </w:r>
            <w:r>
              <w:t xml:space="preserve"> </w:t>
            </w:r>
            <w:r>
              <w:t xml:space="preserve">“</w:t>
            </w:r>
            <w:r>
              <w:t xml:space="preserve">aid</w:t>
            </w:r>
            <w:r>
              <w:t xml:space="preserve">”</w:t>
            </w:r>
            <w:r>
              <w:t xml:space="preserve">, while the visual content is predominantly death and suffering. The aid appears in the text, not in the photographs.</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Visual (the documentation of death). Text — information about aid.</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w:t>
            </w:r>
          </w:p>
        </w:tc>
      </w:tr>
    </w:tbl>
    <w:p>
      <w:r>
        <w:pict>
          <v:rect style="width:0;height:1.5pt" o:hralign="center" o:hrstd="t" o:hr="t"/>
        </w:pict>
      </w:r>
    </w:p>
    <w:bookmarkEnd w:id="82"/>
    <w:bookmarkEnd w:id="83"/>
    <w:bookmarkStart w:id="88" w:name="X1e5b2cef7725362f42482315adc6c66b7728e00"/>
    <w:p>
      <w:pPr>
        <w:pStyle w:val="Heading2"/>
      </w:pPr>
      <w:r>
        <w:t xml:space="preserve">Element 13: LED screen</w:t>
      </w:r>
      <w:r>
        <w:t xml:space="preserve"> </w:t>
      </w:r>
      <w:r>
        <w:t xml:space="preserve">“</w:t>
      </w:r>
      <w:r>
        <w:t xml:space="preserve">The Armenian genocide and Russian literature</w:t>
      </w:r>
      <w:r>
        <w:t xml:space="preserve">”</w:t>
      </w:r>
    </w:p>
    <w:p>
      <w:pPr>
        <w:pStyle w:val="FirstParagraph"/>
      </w:pPr>
      <w:r>
        <w:rPr>
          <w:bCs/>
          <w:b/>
        </w:rPr>
        <w:t xml:space="preserve">Type of element:</w:t>
      </w:r>
      <w:r>
        <w:t xml:space="preserve"> </w:t>
      </w:r>
      <w:r>
        <w:t xml:space="preserve">LED screen.</w:t>
      </w:r>
    </w:p>
    <w:bookmarkStart w:id="84" w:name="block-1-representation-12"/>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documents, texts</w:t>
            </w:r>
          </w:p>
        </w:tc>
        <w:tc>
          <w:tcPr/>
          <w:p>
            <w:pPr>
              <w:pStyle w:val="Compact"/>
              <w:jc w:val="left"/>
            </w:pPr>
            <w:r>
              <w:t xml:space="preserve">Portraits of literary figures (Bryusov, Gorodetsky). Book covers (</w:t>
            </w:r>
            <w:r>
              <w:rPr>
                <w:iCs/>
                <w:i/>
              </w:rPr>
              <w:t xml:space="preserve">The Poetry of Armenia</w:t>
            </w:r>
            <w:r>
              <w:t xml:space="preserve">,</w:t>
            </w:r>
            <w:r>
              <w:t xml:space="preserve"> </w:t>
            </w:r>
            <w:r>
              <w:rPr>
                <w:iCs/>
                <w:i/>
              </w:rPr>
              <w:t xml:space="preserve">The Angel of Armenia</w:t>
            </w:r>
            <w:r>
              <w:t xml:space="preserve">). Manuscripts and letters. The portrait of the military commander Kulebyakin.</w:t>
            </w:r>
          </w:p>
        </w:tc>
      </w:tr>
      <w:tr>
        <w:tc>
          <w:tcPr/>
          <w:p>
            <w:pPr>
              <w:pStyle w:val="Compact"/>
              <w:jc w:val="left"/>
            </w:pPr>
            <w:r>
              <w:t xml:space="preserve">Participants</w:t>
            </w:r>
          </w:p>
        </w:tc>
        <w:tc>
          <w:tcPr/>
          <w:p>
            <w:pPr>
              <w:pStyle w:val="Compact"/>
              <w:jc w:val="left"/>
            </w:pPr>
            <w:r>
              <w:t xml:space="preserve">Witnesses, figures</w:t>
            </w:r>
          </w:p>
        </w:tc>
        <w:tc>
          <w:tcPr/>
          <w:p>
            <w:pPr>
              <w:pStyle w:val="Compact"/>
              <w:jc w:val="left"/>
            </w:pPr>
            <w:r>
              <w:t xml:space="preserve">Russian writers as authoritative witnesses. The military figure (Kulebyakin) as a participant in the events. There are no victims — a shift to the narrative of solidarity.</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 official portraits. The narrative is in the cited poems and descriptions of activity.</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Cultural-documentary. Kulebyakin’s poems</w:t>
            </w:r>
            <w:r>
              <w:t xml:space="preserve"> </w:t>
            </w:r>
            <w:r>
              <w:t xml:space="preserve">“</w:t>
            </w:r>
            <w:r>
              <w:t xml:space="preserve">are distinguished by their truthfulness and sincerity</w:t>
            </w:r>
            <w:r>
              <w:t xml:space="preserve">”</w:t>
            </w:r>
            <w:r>
              <w:t xml:space="preserve">. The emphasis is on moral testimony through literature.</w:t>
            </w:r>
          </w:p>
        </w:tc>
      </w:tr>
    </w:tbl>
    <w:bookmarkEnd w:id="84"/>
    <w:bookmarkStart w:id="85" w:name="block-2-interaction-12"/>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Direct gaze — both writers (demand of authority). The gaze</w:t>
            </w:r>
            <w:r>
              <w:t xml:space="preserve"> </w:t>
            </w:r>
            <w:r>
              <w:t xml:space="preserve">“</w:t>
            </w:r>
            <w:r>
              <w:t xml:space="preserve">says</w:t>
            </w:r>
            <w:r>
              <w:t xml:space="preserve">”</w:t>
            </w:r>
            <w:r>
              <w:t xml:space="preserve">: I saw, I wrote about it.</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 portraits to the chest. The distance of authorship.</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for the photographs. The manuscripts — a unique documentary object.</w:t>
            </w:r>
          </w:p>
        </w:tc>
      </w:tr>
    </w:tbl>
    <w:bookmarkEnd w:id="85"/>
    <w:bookmarkStart w:id="86" w:name="block-3-composition-12"/>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Left — Bryusov and his</w:t>
            </w:r>
            <w:r>
              <w:t xml:space="preserve"> </w:t>
            </w:r>
            <w:r>
              <w:rPr>
                <w:iCs/>
                <w:i/>
              </w:rPr>
              <w:t xml:space="preserve">Chronicle</w:t>
            </w:r>
            <w:r>
              <w:t xml:space="preserve"> </w:t>
            </w:r>
            <w:r>
              <w:t xml:space="preserve">(given — the famous author). Right — covers, manuscripts (new — concrete cultural artefacts of solidarity).</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Portraits of the authors at the top (ideal — moral authority). Manuscripts and covers below (the real — material testimony).</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Typographic dates 1915–1918. The portrait of Bryusov — larger than the rest. The cover of</w:t>
            </w:r>
            <w:r>
              <w:t xml:space="preserve"> </w:t>
            </w:r>
            <w:r>
              <w:rPr>
                <w:iCs/>
                <w:i/>
              </w:rPr>
              <w:t xml:space="preserve">The Poetry of Armenia</w:t>
            </w:r>
            <w:r>
              <w:t xml:space="preserve"> </w:t>
            </w:r>
            <w:r>
              <w:t xml:space="preserve">— a cultural artefact.</w:t>
            </w:r>
          </w:p>
        </w:tc>
      </w:tr>
    </w:tbl>
    <w:bookmarkEnd w:id="86"/>
    <w:bookmarkStart w:id="87" w:name="block-4-multimodal-synthesis-12"/>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Coherence: portrait → biography → quotation from the work. Cultural memory is constructed as a chain of authorities.</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Text (the literary narrative) dominates in content. This is the only screen where an artistic text serves as proof.</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w:t>
            </w:r>
          </w:p>
        </w:tc>
      </w:tr>
    </w:tbl>
    <w:p>
      <w:r>
        <w:pict>
          <v:rect style="width:0;height:1.5pt" o:hralign="center" o:hrstd="t" o:hr="t"/>
        </w:pict>
      </w:r>
    </w:p>
    <w:bookmarkEnd w:id="87"/>
    <w:bookmarkEnd w:id="88"/>
    <w:bookmarkStart w:id="93" w:name="Xfb8c9da18e7fcab25b49133d649c5a899291c9c"/>
    <w:p>
      <w:pPr>
        <w:pStyle w:val="Heading2"/>
      </w:pPr>
      <w:r>
        <w:t xml:space="preserve">Element 14: LED screen</w:t>
      </w:r>
      <w:r>
        <w:t xml:space="preserve"> </w:t>
      </w:r>
      <w:r>
        <w:t xml:space="preserve">“</w:t>
      </w:r>
      <w:r>
        <w:t xml:space="preserve">The destruction of the cultural heritage of the Western Armenians</w:t>
      </w:r>
      <w:r>
        <w:t xml:space="preserve">”</w:t>
      </w:r>
    </w:p>
    <w:p>
      <w:pPr>
        <w:pStyle w:val="FirstParagraph"/>
      </w:pPr>
      <w:r>
        <w:rPr>
          <w:bCs/>
          <w:b/>
        </w:rPr>
        <w:t xml:space="preserve">Type of element:</w:t>
      </w:r>
      <w:r>
        <w:t xml:space="preserve"> </w:t>
      </w:r>
      <w:r>
        <w:t xml:space="preserve">LED screen.</w:t>
      </w:r>
    </w:p>
    <w:bookmarkStart w:id="89" w:name="block-1-representation-13"/>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text</w:t>
            </w:r>
          </w:p>
        </w:tc>
        <w:tc>
          <w:tcPr/>
          <w:p>
            <w:pPr>
              <w:pStyle w:val="Compact"/>
              <w:jc w:val="left"/>
            </w:pPr>
            <w:r>
              <w:t xml:space="preserve">Photographs of Armenian churches and monasteries: before 1912–1915 (intact) and after 1972–2008 (ruins). The</w:t>
            </w:r>
            <w:r>
              <w:t xml:space="preserve"> </w:t>
            </w:r>
            <w:r>
              <w:t xml:space="preserve">“</w:t>
            </w:r>
            <w:r>
              <w:t xml:space="preserve">before / after</w:t>
            </w:r>
            <w:r>
              <w:t xml:space="preserve">”</w:t>
            </w:r>
            <w:r>
              <w:t xml:space="preserve"> </w:t>
            </w:r>
            <w:r>
              <w:t xml:space="preserve">principle. No people — only architecture.</w:t>
            </w:r>
          </w:p>
        </w:tc>
      </w:tr>
      <w:tr>
        <w:tc>
          <w:tcPr/>
          <w:p>
            <w:pPr>
              <w:pStyle w:val="Compact"/>
              <w:jc w:val="left"/>
            </w:pPr>
            <w:r>
              <w:t xml:space="preserve">Participants</w:t>
            </w:r>
          </w:p>
        </w:tc>
        <w:tc>
          <w:tcPr/>
          <w:p>
            <w:pPr>
              <w:pStyle w:val="Compact"/>
              <w:jc w:val="left"/>
            </w:pPr>
            <w:r>
              <w:t xml:space="preserve">Symbols, objects</w:t>
            </w:r>
          </w:p>
        </w:tc>
        <w:tc>
          <w:tcPr/>
          <w:p>
            <w:pPr>
              <w:pStyle w:val="Compact"/>
              <w:jc w:val="left"/>
            </w:pPr>
            <w:r>
              <w:t xml:space="preserve">No people. The buildings act as subjects — they are the</w:t>
            </w:r>
            <w:r>
              <w:t xml:space="preserve"> </w:t>
            </w:r>
            <w:r>
              <w:t xml:space="preserve">“</w:t>
            </w:r>
            <w:r>
              <w:t xml:space="preserve">victims</w:t>
            </w:r>
            <w:r>
              <w:t xml:space="preserve">”</w:t>
            </w:r>
            <w:r>
              <w:t xml:space="preserve"> </w:t>
            </w:r>
            <w:r>
              <w:t xml:space="preserve">in this narrative. Lemkin is cited as the theoretical basis.</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at two points in time. The destruction is in the gap between the photographs, not on the photographs themselves.</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Documentary-juridical (Lemkin’s citation). Testimonial (the Arab jurist Faiz al-Husayn — an eyewitness). The emphasis on cultural genocide as a component of the physical.</w:t>
            </w:r>
          </w:p>
        </w:tc>
      </w:tr>
    </w:tbl>
    <w:bookmarkEnd w:id="89"/>
    <w:bookmarkStart w:id="90" w:name="block-2-interaction-13"/>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No gaze — objects. The viewer looks at the ruins as silent witnesses.</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Long shot — architecture in landscape. Emphasises the scale of the loss.</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 dated photographs with precise coordinates of the objects.</w:t>
            </w:r>
          </w:p>
        </w:tc>
      </w:tr>
    </w:tbl>
    <w:bookmarkEnd w:id="90"/>
    <w:bookmarkStart w:id="91" w:name="block-3-composition-13"/>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Given (left, upper row) — photograph of 1912 (before). New (right, lower row) — photograph of 2008 (after). The spatial logic of</w:t>
            </w:r>
            <w:r>
              <w:t xml:space="preserve"> </w:t>
            </w:r>
            <w:r>
              <w:t xml:space="preserve">“</w:t>
            </w:r>
            <w:r>
              <w:t xml:space="preserve">was — became</w:t>
            </w:r>
            <w:r>
              <w:t xml:space="preserve">”</w:t>
            </w:r>
            <w:r>
              <w:t xml:space="preserve">.</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Top — intact buildings (ideal, what is lost). Bottom — ruins (real, what remains).</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numbers 1912 / 2008 — chronological markers of the rupture. The juxtaposition of an intact church and a field of debris on the same site — the strongest visual argument.</w:t>
            </w:r>
          </w:p>
        </w:tc>
      </w:tr>
    </w:tbl>
    <w:bookmarkEnd w:id="91"/>
    <w:bookmarkStart w:id="92" w:name="block-4-multimodal-synthesis-13"/>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w:t>
            </w:r>
            <w:r>
              <w:t xml:space="preserve">Before / after</w:t>
            </w:r>
            <w:r>
              <w:t xml:space="preserve">”</w:t>
            </w:r>
            <w:r>
              <w:t xml:space="preserve"> </w:t>
            </w:r>
            <w:r>
              <w:t xml:space="preserve">— a specific type of coherence: two modes create a narrative through a rupture, not through direct description.</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Visual (the juxtaposition of photographs). Text — the theoretical justification (Lemkin).</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w:t>
            </w:r>
          </w:p>
        </w:tc>
      </w:tr>
    </w:tbl>
    <w:p>
      <w:r>
        <w:pict>
          <v:rect style="width:0;height:1.5pt" o:hralign="center" o:hrstd="t" o:hr="t"/>
        </w:pict>
      </w:r>
    </w:p>
    <w:bookmarkEnd w:id="92"/>
    <w:bookmarkEnd w:id="93"/>
    <w:bookmarkStart w:id="98" w:name="X5901d9d93e36085c55baca38287b3b6c17fcbee"/>
    <w:p>
      <w:pPr>
        <w:pStyle w:val="Heading2"/>
      </w:pPr>
      <w:r>
        <w:t xml:space="preserve">Element 15: LED screens</w:t>
      </w:r>
      <w:r>
        <w:t xml:space="preserve"> </w:t>
      </w:r>
      <w:r>
        <w:t xml:space="preserve">“</w:t>
      </w:r>
      <w:r>
        <w:t xml:space="preserve">Russia and the World Recognise and Condemn the Armenian Genocide</w:t>
      </w:r>
      <w:r>
        <w:t xml:space="preserve">”</w:t>
      </w:r>
      <w:r>
        <w:t xml:space="preserve"> </w:t>
      </w:r>
      <w:r>
        <w:t xml:space="preserve">(2 screens)</w:t>
      </w:r>
    </w:p>
    <w:p>
      <w:pPr>
        <w:pStyle w:val="FirstParagraph"/>
      </w:pPr>
      <w:r>
        <w:rPr>
          <w:bCs/>
          <w:b/>
        </w:rPr>
        <w:t xml:space="preserve">Type of element:</w:t>
      </w:r>
      <w:r>
        <w:t xml:space="preserve"> </w:t>
      </w:r>
      <w:r>
        <w:t xml:space="preserve">LED screens (two consecutive).</w:t>
      </w:r>
    </w:p>
    <w:bookmarkStart w:id="94" w:name="block-1-representation-14"/>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documents, contemporary photo</w:t>
            </w:r>
          </w:p>
        </w:tc>
        <w:tc>
          <w:tcPr/>
          <w:p>
            <w:pPr>
              <w:pStyle w:val="Compact"/>
              <w:jc w:val="left"/>
            </w:pPr>
            <w:r>
              <w:t xml:space="preserve">First screen: speeches in the State Duma (1915–1916), official documents of the Duma, portraits of deputies (Chkheidze, Milyukov), Sazonov. Second screen: contemporary colour photographs of Putin and Medvedev at the memorial in Yerevan (Tsitsernakaberd), Patriarch Kirill. Entries in the memorial book with signatures.</w:t>
            </w:r>
          </w:p>
        </w:tc>
      </w:tr>
      <w:tr>
        <w:tc>
          <w:tcPr/>
          <w:p>
            <w:pPr>
              <w:pStyle w:val="Compact"/>
              <w:jc w:val="left"/>
            </w:pPr>
            <w:r>
              <w:t xml:space="preserve">Participants</w:t>
            </w:r>
          </w:p>
        </w:tc>
        <w:tc>
          <w:tcPr/>
          <w:p>
            <w:pPr>
              <w:pStyle w:val="Compact"/>
              <w:jc w:val="left"/>
            </w:pPr>
            <w:r>
              <w:t xml:space="preserve">Figures, state officials</w:t>
            </w:r>
          </w:p>
        </w:tc>
        <w:tc>
          <w:tcPr/>
          <w:p>
            <w:pPr>
              <w:pStyle w:val="Compact"/>
              <w:jc w:val="left"/>
            </w:pPr>
            <w:r>
              <w:t xml:space="preserve">Historical: Russian deputies of 1915–1916. Contemporary: Putin, Medvedev, Patriarch Kirill. No victims — only recognising witnesses.</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Action: laying of wreaths, signing of the memorial book (second screen). State: official portraits and documents (first screen).</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Official-political: parliamentary quotations, Duma resolutions. State declarations of recognition. The most institutional register of the exhibition.</w:t>
            </w:r>
          </w:p>
        </w:tc>
      </w:tr>
    </w:tbl>
    <w:bookmarkEnd w:id="94"/>
    <w:bookmarkStart w:id="95" w:name="block-2-interaction-14"/>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Putin — direct gaze on the photograph at the memorial (demand — state solidarity, an address to the contemporary). The deputies — no gaze (offer).</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 Putin. Long shot — the hall of the Duma (the scale of the institution).</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High. Contemporary colour photographs (second screen) have higher modality than the archival black-and-white ones. Amplifies the actuality of recognition.</w:t>
            </w:r>
          </w:p>
        </w:tc>
      </w:tr>
    </w:tbl>
    <w:bookmarkEnd w:id="95"/>
    <w:bookmarkStart w:id="96" w:name="block-3-composition-14"/>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Given: the historical condemnation of 1915–1916 (the Russian pre-revolutionary position). New: the contemporary recognition by the Russian Federation (Resolution of the State Duma of 1995).</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Portraits of state officials — at the top (ideal — the authority of the state). Documents of the Duma — below (the real — the juridical confirmation).</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Second screen: Putin at the memorial flame — the only large colour photograph of the entire exhibition. The contrast with the black-and-white archive — the maximum salience of contemporary recognition.</w:t>
            </w:r>
          </w:p>
        </w:tc>
      </w:tr>
    </w:tbl>
    <w:bookmarkEnd w:id="96"/>
    <w:bookmarkStart w:id="97" w:name="block-4-multimodal-synthesis-14"/>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Full: historical documents + contemporary photographs construct a narrative of continuity — Russia has always recognised the genocide, from 1915 to today.</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Second screen: visual (Putin at the memorial) — emotionally dominant. First screen: documents — informationally dominant.</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 This is the final narrative block: not a call to action but a statement.</w:t>
            </w:r>
          </w:p>
        </w:tc>
      </w:tr>
    </w:tbl>
    <w:p>
      <w:r>
        <w:pict>
          <v:rect style="width:0;height:1.5pt" o:hralign="center" o:hrstd="t" o:hr="t"/>
        </w:pict>
      </w:r>
    </w:p>
    <w:bookmarkEnd w:id="97"/>
    <w:bookmarkEnd w:id="98"/>
    <w:bookmarkStart w:id="103" w:name="X474203ab6c21d3d407441dc8e7fe90a376d9814"/>
    <w:p>
      <w:pPr>
        <w:pStyle w:val="Heading2"/>
      </w:pPr>
      <w:r>
        <w:t xml:space="preserve">Element 16: LED screen</w:t>
      </w:r>
      <w:r>
        <w:t xml:space="preserve"> </w:t>
      </w:r>
      <w:r>
        <w:t xml:space="preserve">“</w:t>
      </w:r>
      <w:r>
        <w:t xml:space="preserve">The Nakhichevan Armenian Committee for Refugee Aid</w:t>
      </w:r>
      <w:r>
        <w:t xml:space="preserve">”</w:t>
      </w:r>
    </w:p>
    <w:p>
      <w:pPr>
        <w:pStyle w:val="FirstParagraph"/>
      </w:pPr>
      <w:r>
        <w:rPr>
          <w:bCs/>
          <w:b/>
        </w:rPr>
        <w:t xml:space="preserve">Type of element:</w:t>
      </w:r>
      <w:r>
        <w:t xml:space="preserve"> </w:t>
      </w:r>
      <w:r>
        <w:t xml:space="preserve">LED screen.</w:t>
      </w:r>
    </w:p>
    <w:bookmarkStart w:id="99" w:name="block-1-representation-15"/>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Archival photo, contemporary photo, documents</w:t>
            </w:r>
          </w:p>
        </w:tc>
        <w:tc>
          <w:tcPr/>
          <w:p>
            <w:pPr>
              <w:pStyle w:val="Compact"/>
              <w:jc w:val="left"/>
            </w:pPr>
            <w:r>
              <w:t xml:space="preserve">An archival photograph of the building of the Nakhichevan city administration. A contemporary colour photograph — a group of people (presumably schoolchildren / students) in front of the same building. A mock-up of a memorial plaque.</w:t>
            </w:r>
          </w:p>
        </w:tc>
      </w:tr>
      <w:tr>
        <w:tc>
          <w:tcPr/>
          <w:p>
            <w:pPr>
              <w:pStyle w:val="Compact"/>
              <w:jc w:val="left"/>
            </w:pPr>
            <w:r>
              <w:t xml:space="preserve">Participants</w:t>
            </w:r>
          </w:p>
        </w:tc>
        <w:tc>
          <w:tcPr/>
          <w:p>
            <w:pPr>
              <w:pStyle w:val="Compact"/>
              <w:jc w:val="left"/>
            </w:pPr>
            <w:r>
              <w:t xml:space="preserve">Figures, contemporary visitors</w:t>
            </w:r>
          </w:p>
        </w:tc>
        <w:tc>
          <w:tcPr/>
          <w:p>
            <w:pPr>
              <w:pStyle w:val="Compact"/>
              <w:jc w:val="left"/>
            </w:pPr>
            <w:r>
              <w:t xml:space="preserve">Historical: the Nakhichevan Armenian community, Madame Berberyan. Contemporary: a group standing in front of the building (possibly participants in the exhibition programme). The juxtaposition of historical and contemporary community.</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State: the historical building. State + action: the group of people in front of the building —</w:t>
            </w:r>
            <w:r>
              <w:t xml:space="preserve"> </w:t>
            </w:r>
            <w:r>
              <w:t xml:space="preserve">“</w:t>
            </w:r>
            <w:r>
              <w:t xml:space="preserve">memory in action</w:t>
            </w:r>
            <w:r>
              <w:t xml:space="preserve">”</w:t>
            </w:r>
            <w:r>
              <w:t xml:space="preserve">.</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Documentary. A narrative about a concrete local contribution by the diaspora Armenian community — the only</w:t>
            </w:r>
            <w:r>
              <w:t xml:space="preserve"> </w:t>
            </w:r>
            <w:r>
              <w:t xml:space="preserve">“</w:t>
            </w:r>
            <w:r>
              <w:t xml:space="preserve">local</w:t>
            </w:r>
            <w:r>
              <w:t xml:space="preserve">”</w:t>
            </w:r>
            <w:r>
              <w:t xml:space="preserve"> </w:t>
            </w:r>
            <w:r>
              <w:t xml:space="preserve">narrative of the exhibition.</w:t>
            </w:r>
          </w:p>
        </w:tc>
      </w:tr>
    </w:tbl>
    <w:bookmarkEnd w:id="99"/>
    <w:bookmarkStart w:id="100" w:name="block-2-interaction-15"/>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The contemporary group looks at the camera (demand — a direct connection with today’s viewer). The archival photograph — offer.</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 the group in front of the building. Long shot — the building itself.</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The contemporary colour photograph — high modality, a</w:t>
            </w:r>
            <w:r>
              <w:t xml:space="preserve"> </w:t>
            </w:r>
            <w:r>
              <w:t xml:space="preserve">“</w:t>
            </w:r>
            <w:r>
              <w:t xml:space="preserve">living</w:t>
            </w:r>
            <w:r>
              <w:t xml:space="preserve">”</w:t>
            </w:r>
            <w:r>
              <w:t xml:space="preserve"> </w:t>
            </w:r>
            <w:r>
              <w:t xml:space="preserve">document.</w:t>
            </w:r>
          </w:p>
        </w:tc>
      </w:tr>
    </w:tbl>
    <w:bookmarkEnd w:id="100"/>
    <w:bookmarkStart w:id="101" w:name="block-3-composition-15"/>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Given (left): the historical building, the historical context. New (right): the contemporary group in front of the same building — living memory.</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mock-up of the memorial plaque — at the top (ideal — the planned commemoration). The building — the real (an existing object).</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contemporary photograph of the group stands out against the archival black-and-white aesthetic of the exhibition. This contrast makes it visually significant.</w:t>
            </w:r>
          </w:p>
        </w:tc>
      </w:tr>
    </w:tbl>
    <w:bookmarkEnd w:id="101"/>
    <w:bookmarkStart w:id="102" w:name="block-4-multimodal-synthesis-15"/>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Coherence through continuity: the archival building + the contemporary group in front of it = memory as a living practice.</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The contemporary photograph of the group is an unexpectedly strong dominant because of the contrast with the archival material.</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w:t>
            </w:r>
          </w:p>
        </w:tc>
      </w:tr>
    </w:tbl>
    <w:p>
      <w:r>
        <w:pict>
          <v:rect style="width:0;height:1.5pt" o:hralign="center" o:hrstd="t" o:hr="t"/>
        </w:pict>
      </w:r>
    </w:p>
    <w:bookmarkEnd w:id="102"/>
    <w:bookmarkEnd w:id="103"/>
    <w:bookmarkStart w:id="108" w:name="X6548c97b2230383dffe3b6cc1267c5cda2b7984"/>
    <w:p>
      <w:pPr>
        <w:pStyle w:val="Heading2"/>
      </w:pPr>
      <w:r>
        <w:t xml:space="preserve">Element 17: Transitional screen (forget-me-not / thorn crown between themes)</w:t>
      </w:r>
    </w:p>
    <w:p>
      <w:pPr>
        <w:pStyle w:val="FirstParagraph"/>
      </w:pPr>
      <w:r>
        <w:rPr>
          <w:bCs/>
          <w:b/>
        </w:rPr>
        <w:t xml:space="preserve">Type of element:</w:t>
      </w:r>
      <w:r>
        <w:t xml:space="preserve"> </w:t>
      </w:r>
      <w:r>
        <w:t xml:space="preserve">LED screen (temporary, 5–7 seconds).</w:t>
      </w:r>
    </w:p>
    <w:bookmarkStart w:id="104" w:name="block-1-representation-16"/>
    <w:p>
      <w:pPr>
        <w:pStyle w:val="Heading3"/>
      </w:pPr>
      <w:r>
        <w:t xml:space="preserve">Block 1 — Representation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Type of content</w:t>
            </w:r>
          </w:p>
        </w:tc>
        <w:tc>
          <w:tcPr/>
          <w:p>
            <w:pPr>
              <w:pStyle w:val="Compact"/>
              <w:jc w:val="left"/>
            </w:pPr>
            <w:r>
              <w:t xml:space="preserve">Symbolic graphics, text</w:t>
            </w:r>
          </w:p>
        </w:tc>
        <w:tc>
          <w:tcPr/>
          <w:p>
            <w:pPr>
              <w:pStyle w:val="Compact"/>
              <w:jc w:val="left"/>
            </w:pPr>
            <w:r>
              <w:t xml:space="preserve">A dark-grey background. A single stylised forget-me-not (white with red details) or a thorn crown. The title of the next theme. Appears for 5–7 seconds on all screens at once.</w:t>
            </w:r>
          </w:p>
        </w:tc>
      </w:tr>
      <w:tr>
        <w:tc>
          <w:tcPr/>
          <w:p>
            <w:pPr>
              <w:pStyle w:val="Compact"/>
              <w:jc w:val="left"/>
            </w:pPr>
            <w:r>
              <w:t xml:space="preserve">Participants</w:t>
            </w:r>
          </w:p>
        </w:tc>
        <w:tc>
          <w:tcPr/>
          <w:p>
            <w:pPr>
              <w:pStyle w:val="Compact"/>
              <w:jc w:val="left"/>
            </w:pPr>
            <w:r>
              <w:t xml:space="preserve">Symbols</w:t>
            </w:r>
          </w:p>
        </w:tc>
        <w:tc>
          <w:tcPr/>
          <w:p>
            <w:pPr>
              <w:pStyle w:val="Compact"/>
              <w:jc w:val="left"/>
            </w:pPr>
            <w:r>
              <w:t xml:space="preserve">No people. The symbol as a mediator — between sections and between the viewer and the narrative.</w:t>
            </w:r>
          </w:p>
        </w:tc>
      </w:tr>
      <w:tr>
        <w:tc>
          <w:tcPr/>
          <w:p>
            <w:pPr>
              <w:pStyle w:val="Compact"/>
              <w:jc w:val="left"/>
            </w:pPr>
            <w:r>
              <w:t xml:space="preserve">Narrative processes</w:t>
            </w:r>
          </w:p>
        </w:tc>
        <w:tc>
          <w:tcPr/>
          <w:p>
            <w:pPr>
              <w:pStyle w:val="Compact"/>
              <w:jc w:val="left"/>
            </w:pPr>
            <w:r>
              <w:t xml:space="preserve">Action or state</w:t>
            </w:r>
          </w:p>
        </w:tc>
        <w:tc>
          <w:tcPr/>
          <w:p>
            <w:pPr>
              <w:pStyle w:val="Compact"/>
              <w:jc w:val="left"/>
            </w:pPr>
            <w:r>
              <w:t xml:space="preserve">A state of pause. A rhythmic interruption.</w:t>
            </w:r>
          </w:p>
        </w:tc>
      </w:tr>
      <w:tr>
        <w:tc>
          <w:tcPr/>
          <w:p>
            <w:pPr>
              <w:pStyle w:val="Compact"/>
              <w:jc w:val="left"/>
            </w:pPr>
            <w:r>
              <w:t xml:space="preserve">Language of the text</w:t>
            </w:r>
          </w:p>
        </w:tc>
        <w:tc>
          <w:tcPr/>
          <w:p>
            <w:pPr>
              <w:pStyle w:val="Compact"/>
              <w:jc w:val="left"/>
            </w:pPr>
            <w:r>
              <w:t xml:space="preserve">Register</w:t>
            </w:r>
          </w:p>
        </w:tc>
        <w:tc>
          <w:tcPr/>
          <w:p>
            <w:pPr>
              <w:pStyle w:val="Compact"/>
              <w:jc w:val="left"/>
            </w:pPr>
            <w:r>
              <w:t xml:space="preserve">Minimal — the title of the theme. The function is navigational and ritual.</w:t>
            </w:r>
          </w:p>
        </w:tc>
      </w:tr>
    </w:tbl>
    <w:bookmarkEnd w:id="104"/>
    <w:bookmarkStart w:id="105" w:name="block-2-interaction-16"/>
    <w:p>
      <w:pPr>
        <w:pStyle w:val="Heading3"/>
      </w:pPr>
      <w:r>
        <w:t xml:space="preserve">Block 2 — Interaction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Contact</w:t>
            </w:r>
          </w:p>
        </w:tc>
        <w:tc>
          <w:tcPr/>
          <w:p>
            <w:pPr>
              <w:pStyle w:val="Compact"/>
              <w:jc w:val="left"/>
            </w:pPr>
            <w:r>
              <w:t xml:space="preserve">Demand / offer</w:t>
            </w:r>
          </w:p>
        </w:tc>
        <w:tc>
          <w:tcPr/>
          <w:p>
            <w:pPr>
              <w:pStyle w:val="Compact"/>
              <w:jc w:val="left"/>
            </w:pPr>
            <w:r>
              <w:t xml:space="preserve">No gaze. The symbol is not a subject but an object of contemplation.</w:t>
            </w:r>
          </w:p>
        </w:tc>
      </w:tr>
      <w:tr>
        <w:tc>
          <w:tcPr/>
          <w:p>
            <w:pPr>
              <w:pStyle w:val="Compact"/>
              <w:jc w:val="left"/>
            </w:pPr>
            <w:r>
              <w:t xml:space="preserve">Distance</w:t>
            </w:r>
          </w:p>
        </w:tc>
        <w:tc>
          <w:tcPr/>
          <w:p>
            <w:pPr>
              <w:pStyle w:val="Compact"/>
              <w:jc w:val="left"/>
            </w:pPr>
            <w:r>
              <w:t xml:space="preserve">Close / medium / long shot</w:t>
            </w:r>
          </w:p>
        </w:tc>
        <w:tc>
          <w:tcPr/>
          <w:p>
            <w:pPr>
              <w:pStyle w:val="Compact"/>
              <w:jc w:val="left"/>
            </w:pPr>
            <w:r>
              <w:t xml:space="preserve">Medium shot — the symbol occupies about a third of the screen. Isolated by the dark field.</w:t>
            </w:r>
          </w:p>
        </w:tc>
      </w:tr>
      <w:tr>
        <w:tc>
          <w:tcPr/>
          <w:p>
            <w:pPr>
              <w:pStyle w:val="Compact"/>
              <w:jc w:val="left"/>
            </w:pPr>
            <w:r>
              <w:t xml:space="preserve">Modality</w:t>
            </w:r>
          </w:p>
        </w:tc>
        <w:tc>
          <w:tcPr/>
          <w:p>
            <w:pPr>
              <w:pStyle w:val="Compact"/>
              <w:jc w:val="left"/>
            </w:pPr>
            <w:r>
              <w:t xml:space="preserve">Realism</w:t>
            </w:r>
          </w:p>
        </w:tc>
        <w:tc>
          <w:tcPr/>
          <w:p>
            <w:pPr>
              <w:pStyle w:val="Compact"/>
              <w:jc w:val="left"/>
            </w:pPr>
            <w:r>
              <w:t xml:space="preserve">Low — stylised graphics. The contrast with the high-modality archival photographs of the thematic screens.</w:t>
            </w:r>
          </w:p>
        </w:tc>
      </w:tr>
    </w:tbl>
    <w:bookmarkEnd w:id="105"/>
    <w:bookmarkStart w:id="106" w:name="block-3-composition-16"/>
    <w:p>
      <w:pPr>
        <w:pStyle w:val="Heading3"/>
      </w:pPr>
      <w:r>
        <w:t xml:space="preserve">Block 3 —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Given / new</w:t>
            </w:r>
          </w:p>
        </w:tc>
        <w:tc>
          <w:tcPr/>
          <w:p>
            <w:pPr>
              <w:pStyle w:val="Compact"/>
              <w:jc w:val="left"/>
            </w:pPr>
            <w:r>
              <w:t xml:space="preserve">Left / right</w:t>
            </w:r>
          </w:p>
        </w:tc>
        <w:tc>
          <w:tcPr/>
          <w:p>
            <w:pPr>
              <w:pStyle w:val="Compact"/>
              <w:jc w:val="left"/>
            </w:pPr>
            <w:r>
              <w:t xml:space="preserve">Not applicable — the symbol is centred. This is a</w:t>
            </w:r>
            <w:r>
              <w:t xml:space="preserve"> </w:t>
            </w:r>
            <w:r>
              <w:t xml:space="preserve">“</w:t>
            </w:r>
            <w:r>
              <w:t xml:space="preserve">zero</w:t>
            </w:r>
            <w:r>
              <w:t xml:space="preserve">”</w:t>
            </w:r>
            <w:r>
              <w:t xml:space="preserve"> </w:t>
            </w:r>
            <w:r>
              <w:t xml:space="preserve">point between narrative blocks.</w:t>
            </w:r>
          </w:p>
        </w:tc>
      </w:tr>
      <w:tr>
        <w:tc>
          <w:tcPr/>
          <w:p>
            <w:pPr>
              <w:pStyle w:val="Compact"/>
              <w:jc w:val="left"/>
            </w:pPr>
            <w:r>
              <w:t xml:space="preserve">Ideal / real</w:t>
            </w:r>
          </w:p>
        </w:tc>
        <w:tc>
          <w:tcPr/>
          <w:p>
            <w:pPr>
              <w:pStyle w:val="Compact"/>
              <w:jc w:val="left"/>
            </w:pPr>
            <w:r>
              <w:t xml:space="preserve">Top / bottom</w:t>
            </w:r>
          </w:p>
        </w:tc>
        <w:tc>
          <w:tcPr/>
          <w:p>
            <w:pPr>
              <w:pStyle w:val="Compact"/>
              <w:jc w:val="left"/>
            </w:pPr>
            <w:r>
              <w:t xml:space="preserve">The symbol is exclusively ideal. The dark background removes everything concrete.</w:t>
            </w:r>
          </w:p>
        </w:tc>
      </w:tr>
      <w:tr>
        <w:tc>
          <w:tcPr/>
          <w:p>
            <w:pPr>
              <w:pStyle w:val="Compact"/>
              <w:jc w:val="left"/>
            </w:pPr>
            <w:r>
              <w:t xml:space="preserve">Salience</w:t>
            </w:r>
          </w:p>
        </w:tc>
        <w:tc>
          <w:tcPr/>
          <w:p>
            <w:pPr>
              <w:pStyle w:val="Compact"/>
              <w:jc w:val="left"/>
            </w:pPr>
            <w:r>
              <w:t xml:space="preserve">What dominates</w:t>
            </w:r>
          </w:p>
        </w:tc>
        <w:tc>
          <w:tcPr/>
          <w:p>
            <w:pPr>
              <w:pStyle w:val="Compact"/>
              <w:jc w:val="left"/>
            </w:pPr>
            <w:r>
              <w:t xml:space="preserve">The symbol in isolation — the only element. The maximum concentration of attention on a single sign.</w:t>
            </w:r>
          </w:p>
        </w:tc>
      </w:tr>
    </w:tbl>
    <w:bookmarkEnd w:id="106"/>
    <w:bookmarkStart w:id="107" w:name="block-4-multimodal-synthesis-16"/>
    <w:p>
      <w:pPr>
        <w:pStyle w:val="Heading3"/>
      </w:pPr>
      <w:r>
        <w:t xml:space="preserve">Block 4 — Multimodal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record</w:t>
            </w:r>
          </w:p>
        </w:tc>
        <w:tc>
          <w:tcPr/>
          <w:p>
            <w:pPr>
              <w:pStyle w:val="Compact"/>
              <w:jc w:val="left"/>
            </w:pPr>
            <w:r>
              <w:t xml:space="preserve">Observation</w:t>
            </w:r>
          </w:p>
        </w:tc>
      </w:tr>
      <w:tr>
        <w:tc>
          <w:tcPr/>
          <w:p>
            <w:pPr>
              <w:pStyle w:val="Compact"/>
              <w:jc w:val="left"/>
            </w:pPr>
            <w:r>
              <w:t xml:space="preserve">Coherence of modes</w:t>
            </w:r>
          </w:p>
        </w:tc>
        <w:tc>
          <w:tcPr/>
          <w:p>
            <w:pPr>
              <w:pStyle w:val="Compact"/>
              <w:jc w:val="left"/>
            </w:pPr>
            <w:r>
              <w:t xml:space="preserve">Text and image</w:t>
            </w:r>
          </w:p>
        </w:tc>
        <w:tc>
          <w:tcPr/>
          <w:p>
            <w:pPr>
              <w:pStyle w:val="Compact"/>
              <w:jc w:val="left"/>
            </w:pPr>
            <w:r>
              <w:t xml:space="preserve">Full — the title of the theme + the symbol are coherent. The function of the pause provides rhythm and creates an emotional</w:t>
            </w:r>
            <w:r>
              <w:t xml:space="preserve"> </w:t>
            </w:r>
            <w:r>
              <w:t xml:space="preserve">“</w:t>
            </w:r>
            <w:r>
              <w:t xml:space="preserve">in-breath</w:t>
            </w:r>
            <w:r>
              <w:t xml:space="preserve">”</w:t>
            </w:r>
            <w:r>
              <w:t xml:space="preserve"> </w:t>
            </w:r>
            <w:r>
              <w:t xml:space="preserve">between sections.</w:t>
            </w:r>
          </w:p>
        </w:tc>
      </w:tr>
      <w:tr>
        <w:tc>
          <w:tcPr/>
          <w:p>
            <w:pPr>
              <w:pStyle w:val="Compact"/>
              <w:jc w:val="left"/>
            </w:pPr>
            <w:r>
              <w:t xml:space="preserve">Dominant mode</w:t>
            </w:r>
          </w:p>
        </w:tc>
        <w:tc>
          <w:tcPr/>
          <w:p>
            <w:pPr>
              <w:pStyle w:val="Compact"/>
              <w:jc w:val="left"/>
            </w:pPr>
            <w:r>
              <w:t xml:space="preserve">Text / visual</w:t>
            </w:r>
          </w:p>
        </w:tc>
        <w:tc>
          <w:tcPr/>
          <w:p>
            <w:pPr>
              <w:pStyle w:val="Compact"/>
              <w:jc w:val="left"/>
            </w:pPr>
            <w:r>
              <w:t xml:space="preserve">The symbol (forget-me-not / thorn crown) dominates. This is the rhythmic and memorial dominant of the exhibition as a whole.</w:t>
            </w:r>
          </w:p>
        </w:tc>
      </w:tr>
      <w:tr>
        <w:tc>
          <w:tcPr/>
          <w:p>
            <w:pPr>
              <w:pStyle w:val="Compact"/>
              <w:jc w:val="left"/>
            </w:pPr>
            <w:r>
              <w:t xml:space="preserve">Interactivity</w:t>
            </w:r>
          </w:p>
        </w:tc>
        <w:tc>
          <w:tcPr/>
          <w:p>
            <w:pPr>
              <w:pStyle w:val="Compact"/>
              <w:jc w:val="left"/>
            </w:pPr>
            <w:r>
              <w:t xml:space="preserve">Physical action</w:t>
            </w:r>
          </w:p>
        </w:tc>
        <w:tc>
          <w:tcPr/>
          <w:p>
            <w:pPr>
              <w:pStyle w:val="Compact"/>
              <w:jc w:val="left"/>
            </w:pPr>
            <w:r>
              <w:t xml:space="preserve">Passive. The synchronous switch of all the screens — a collective experience of pause for all visitors simultaneously.</w:t>
            </w:r>
          </w:p>
        </w:tc>
      </w:tr>
    </w:tbl>
    <w:bookmarkEnd w:id="107"/>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2026-05-15T18:06:06Z</dcterms:created>
  <dcterms:modified xsi:type="dcterms:W3CDTF">2026-05-15T18:06:06Z</dcterms:modified>
</cp:coreProperties>
</file>

<file path=docProps/custom.xml><?xml version="1.0" encoding="utf-8"?>
<Properties xmlns="http://schemas.openxmlformats.org/officeDocument/2006/custom-properties" xmlns:vt="http://schemas.openxmlformats.org/officeDocument/2006/docPropsVTypes"/>
</file>