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chapter-1.-theoretical-framework"/>
    <w:p>
      <w:pPr>
        <w:pStyle w:val="Heading1"/>
      </w:pPr>
      <w:r>
        <w:t xml:space="preserve">CHAPTER 1. THEORETICAL FRAMEWORK</w:t>
      </w:r>
    </w:p>
    <w:bookmarkStart w:id="30" w:name="the-mediatization-of-culture"/>
    <w:p>
      <w:pPr>
        <w:pStyle w:val="Heading2"/>
      </w:pPr>
      <w:r>
        <w:t xml:space="preserve">1.1 The Mediatization of Culture</w:t>
      </w:r>
    </w:p>
    <w:p>
      <w:pPr>
        <w:pStyle w:val="FirstParagraph"/>
      </w:pPr>
      <w:r>
        <w:t xml:space="preserve">Contemporary cultural processes are described through the concept of</w:t>
      </w:r>
      <w:r>
        <w:t xml:space="preserve"> </w:t>
      </w:r>
      <w:r>
        <w:t xml:space="preserve">“</w:t>
      </w:r>
      <w:r>
        <w:t xml:space="preserve">mediatization</w:t>
      </w:r>
      <w:r>
        <w:t xml:space="preserve">”</w:t>
      </w:r>
      <w:r>
        <w:t xml:space="preserve">. This term captures the changes that media bring to society. Such changes are especially visible in the era of digital media. The concept of mediatization was elaborated in detail by Stig Hjarvard. He defined it as a central concept in the theory that explains the changing role of media in culture and society</w:t>
      </w:r>
      <w:r>
        <w:rPr>
          <w:rStyle w:val="FootnoteReference"/>
        </w:rPr>
        <w:footnoteReference w:id="20"/>
      </w:r>
      <w:r>
        <w:t xml:space="preserve">. According to S. Hjarvard, the mediatization of society is a process in which society becomes subordinate to the logic of media and dependent on it</w:t>
      </w:r>
      <w:r>
        <w:rPr>
          <w:rStyle w:val="FootnoteReference"/>
        </w:rPr>
        <w:footnoteReference w:id="21"/>
      </w:r>
      <w:r>
        <w:t xml:space="preserve">.</w:t>
      </w:r>
    </w:p>
    <w:p>
      <w:pPr>
        <w:pStyle w:val="BodyText"/>
      </w:pPr>
      <w:r>
        <w:t xml:space="preserve">S. Hjarvard’s concept of mediatization is important for this research because it embeds curatorial work into the media environment. This environment has its own logic. This logic participates in the production of political memory. Any curatorial decision in a multimedia exhibition is taken within such an environment.</w:t>
      </w:r>
    </w:p>
    <w:p>
      <w:pPr>
        <w:pStyle w:val="BodyText"/>
      </w:pPr>
      <w:r>
        <w:t xml:space="preserve">S. Hjarvard treats media as an autonomous institution. This institution has its own set of rules, formats, and principles of operation. Social interaction within institutions and in society increasingly takes place through media</w:t>
      </w:r>
      <w:r>
        <w:rPr>
          <w:rStyle w:val="FootnoteReference"/>
        </w:rPr>
        <w:footnoteReference w:id="22"/>
      </w:r>
      <w:r>
        <w:t xml:space="preserve">.</w:t>
      </w:r>
    </w:p>
    <w:p>
      <w:pPr>
        <w:pStyle w:val="BodyText"/>
      </w:pPr>
      <w:r>
        <w:t xml:space="preserve">The notion of media logic is important for this research because it provides the language for describing the multimedia format. Each format has its own affordances and its own constraints. The curator works with both.</w:t>
      </w:r>
    </w:p>
    <w:p>
      <w:pPr>
        <w:pStyle w:val="BodyText"/>
      </w:pPr>
      <w:r>
        <w:t xml:space="preserve">S. Hjarvard distinguishes two forms of mediatization: the direct (strong) and the indirect (weak)</w:t>
      </w:r>
      <w:r>
        <w:rPr>
          <w:rStyle w:val="FootnoteReference"/>
        </w:rPr>
        <w:footnoteReference w:id="23"/>
      </w:r>
      <w:r>
        <w:t xml:space="preserve">. Direct mediatization operates where an activity is converted into a mediated form. Indirect mediatization operates differently. The activity itself is preserved, while media reshape its form, content, or organisation. These two forms often act together</w:t>
      </w:r>
      <w:r>
        <w:rPr>
          <w:rStyle w:val="FootnoteReference"/>
        </w:rPr>
        <w:footnoteReference w:id="24"/>
      </w:r>
      <w:r>
        <w:t xml:space="preserve">.</w:t>
      </w:r>
    </w:p>
    <w:p>
      <w:pPr>
        <w:pStyle w:val="BodyText"/>
      </w:pPr>
      <w:r>
        <w:t xml:space="preserve">The distinction between direct and indirect mediatization is important for this research because a multimedia exhibition about the genocide activates both forms. The multimedia format itself belongs to direct mediatization. The principles of constructing the narrative within this format belong to indirect mediatization.</w:t>
      </w:r>
    </w:p>
    <w:p>
      <w:pPr>
        <w:pStyle w:val="BodyText"/>
      </w:pPr>
      <w:r>
        <w:t xml:space="preserve">Andreas Hepp proposed the concept of deep mediatization. The concept captures the contemporary scale of the process. Mediatization covers all levels of social life. A. Hepp identifies five quantitative features of this stage: the growing variety of digital devices, their increasing connectedness, their omnipresence, the acceleration of technological innovation, and the conversion of everyday life into data</w:t>
      </w:r>
      <w:r>
        <w:rPr>
          <w:rStyle w:val="FootnoteReference"/>
        </w:rPr>
        <w:footnoteReference w:id="25"/>
      </w:r>
      <w:r>
        <w:t xml:space="preserve">.</w:t>
      </w:r>
    </w:p>
    <w:p>
      <w:pPr>
        <w:pStyle w:val="BodyText"/>
      </w:pPr>
      <w:r>
        <w:t xml:space="preserve">A. Hepp’s concept of deep mediatization is important for this research because it provides the language for speaking about the content of the exhibition and its technology at the same time. Under conditions of deep mediatization, these layers are intertwined. The research question takes the following form: what version of memory becomes possible in such an environment.</w:t>
      </w:r>
    </w:p>
    <w:p>
      <w:pPr>
        <w:pStyle w:val="BodyText"/>
      </w:pPr>
      <w:r>
        <w:t xml:space="preserve">A. Hepp criticises the notion of a single media logic. In his approach, mediatization operates in a concrete context</w:t>
      </w:r>
      <w:r>
        <w:rPr>
          <w:rStyle w:val="FootnoteReference"/>
        </w:rPr>
        <w:footnoteReference w:id="26"/>
      </w:r>
      <w:r>
        <w:t xml:space="preserve">. A. Hepp proposes the concept of molding forces of media. These forces become visible only in a concrete situation. A. Hepp also introduces the concept of mediatized worlds. These are small life-worlds in which media become the main way of producing meaning</w:t>
      </w:r>
      <w:r>
        <w:rPr>
          <w:rStyle w:val="FootnoteReference"/>
        </w:rPr>
        <w:footnoteReference w:id="27"/>
      </w:r>
      <w:r>
        <w:t xml:space="preserve">.</w:t>
      </w:r>
    </w:p>
    <w:p>
      <w:pPr>
        <w:pStyle w:val="BodyText"/>
      </w:pPr>
      <w:r>
        <w:t xml:space="preserve">A. Hepp’s approach is important for this research because it requires the analysis of the exhibition in its own logic. The analysis works with the way this specific configuration of media produces meaning in this particular case.</w:t>
      </w:r>
    </w:p>
    <w:p>
      <w:pPr>
        <w:pStyle w:val="BodyText"/>
      </w:pPr>
      <w:r>
        <w:t xml:space="preserve">Peter Berger and Thomas Luckmann formulated the idea of the social construction of reality. According to their concept, society is a product of human activity. Society exists as an objective reality. The human being is a social product. The human being is formed under the influence of society</w:t>
      </w:r>
      <w:r>
        <w:rPr>
          <w:rStyle w:val="FootnoteReference"/>
        </w:rPr>
        <w:footnoteReference w:id="28"/>
      </w:r>
      <w:r>
        <w:t xml:space="preserve">.</w:t>
      </w:r>
    </w:p>
    <w:p>
      <w:pPr>
        <w:pStyle w:val="BodyText"/>
      </w:pPr>
      <w:r>
        <w:t xml:space="preserve">P. Berger and T. Luckmann’s concept of the social construction of reality is important for this research because it provides the general epistemological grounding. Political memory is understood as a construct. This construct is produced by institutions and by symbolic means. Every curatorial decision takes part in this production.</w:t>
      </w:r>
    </w:p>
    <w:p>
      <w:pPr>
        <w:pStyle w:val="BodyText"/>
      </w:pPr>
      <w:r>
        <w:t xml:space="preserve">Nick Couldry and A. Hepp give the following definition of deep mediatization:</w:t>
      </w:r>
      <w:r>
        <w:t xml:space="preserve"> </w:t>
      </w:r>
      <w:r>
        <w:t xml:space="preserve">“</w:t>
      </w:r>
      <w:r>
        <w:t xml:space="preserve">Deep mediatization is an advanced stage in which all elements of our social world are deeply intertwined with digital media and their underlying infrastructures</w:t>
      </w:r>
      <w:r>
        <w:t xml:space="preserve">”</w:t>
      </w:r>
      <w:r>
        <w:rPr>
          <w:rStyle w:val="FootnoteReference"/>
        </w:rPr>
        <w:footnoteReference w:id="29"/>
      </w:r>
      <w:r>
        <w:t xml:space="preserve">.</w:t>
      </w:r>
    </w:p>
    <w:p>
      <w:pPr>
        <w:pStyle w:val="BodyText"/>
      </w:pPr>
      <w:r>
        <w:t xml:space="preserve">N. Couldry and A. Hepp’s definition is important for this research because it embeds the digital components of the exhibition into the infrastructure of meaning-making. Content and technology are given together. The analysis works with them as a single whole. The mediatization of culture forms the first pillar of the theoretical framework.</w:t>
      </w:r>
    </w:p>
    <w:bookmarkEnd w:id="30"/>
    <w:bookmarkStart w:id="35" w:name="memory-as-a-cultural-and-social-process"/>
    <w:p>
      <w:pPr>
        <w:pStyle w:val="Heading2"/>
      </w:pPr>
      <w:r>
        <w:t xml:space="preserve">1.2 Memory as a Cultural and Social Process</w:t>
      </w:r>
    </w:p>
    <w:p>
      <w:pPr>
        <w:pStyle w:val="FirstParagraph"/>
      </w:pPr>
      <w:r>
        <w:t xml:space="preserve">The analysis of curatorial decisions requires an understanding of memory as a cultural and social process. With such an understanding, the exhibition appears as a space for the production of memory. The starting point here is the concept of social frames of memory. It was proposed by Maurice Halbwachs.</w:t>
      </w:r>
    </w:p>
    <w:p>
      <w:pPr>
        <w:pStyle w:val="BodyText"/>
      </w:pPr>
      <w:r>
        <w:t xml:space="preserve">Social frames create and direct remembrance. Remembrance has a reconstructive character. The past is rebuilt under the pressure of the needs of the present. M. Halbwachs draws a distinction between collective memory and history. Collective memory is the shared experience of the past within a group. This memory shapes the identity of the group. According to M. Halbwachs,</w:t>
      </w:r>
      <w:r>
        <w:t xml:space="preserve"> </w:t>
      </w:r>
      <w:r>
        <w:t xml:space="preserve">“</w:t>
      </w:r>
      <w:r>
        <w:t xml:space="preserve">history begins only at the point where tradition ends and where social memory dissolves</w:t>
      </w:r>
      <w:r>
        <w:t xml:space="preserve">”</w:t>
      </w:r>
      <w:r>
        <w:rPr>
          <w:rStyle w:val="FootnoteReference"/>
        </w:rPr>
        <w:footnoteReference w:id="31"/>
      </w:r>
      <w:r>
        <w:t xml:space="preserve">.</w:t>
      </w:r>
    </w:p>
    <w:p>
      <w:pPr>
        <w:pStyle w:val="BodyText"/>
      </w:pPr>
      <w:r>
        <w:t xml:space="preserve">M. Halbwachs’s concept of social frames is important for this research because it provides the classification for the exhibition</w:t>
      </w:r>
      <w:r>
        <w:t xml:space="preserve"> </w:t>
      </w:r>
      <w:r>
        <w:t xml:space="preserve">“</w:t>
      </w:r>
      <w:r>
        <w:t xml:space="preserve">No to Genocide!</w:t>
      </w:r>
      <w:r>
        <w:t xml:space="preserve">”</w:t>
      </w:r>
      <w:r>
        <w:t xml:space="preserve">. This exhibition operates in the regime of collective memory. It offers the visitor a particular version of the past. This version is built into the identity of the Armenian community. In this case the social frames are defined by the creators of the exhibition themselves.</w:t>
      </w:r>
    </w:p>
    <w:p>
      <w:pPr>
        <w:pStyle w:val="BodyText"/>
      </w:pPr>
      <w:r>
        <w:t xml:space="preserve">Aleida Assmann distinguishes two types of cultural memory: functional memory and storage memory. In her formulation,</w:t>
      </w:r>
      <w:r>
        <w:t xml:space="preserve"> </w:t>
      </w:r>
      <w:r>
        <w:t xml:space="preserve">“</w:t>
      </w:r>
      <w:r>
        <w:t xml:space="preserve">functional memory is highly selective, and only gives presence to a fraction of memory’s contents</w:t>
      </w:r>
      <w:r>
        <w:t xml:space="preserve">”</w:t>
      </w:r>
      <w:r>
        <w:rPr>
          <w:rStyle w:val="FootnoteReference"/>
        </w:rPr>
        <w:footnoteReference w:id="32"/>
      </w:r>
      <w:r>
        <w:t xml:space="preserve">. A. Assmann calls storage memory a</w:t>
      </w:r>
      <w:r>
        <w:t xml:space="preserve"> </w:t>
      </w:r>
      <w:r>
        <w:t xml:space="preserve">“</w:t>
      </w:r>
      <w:r>
        <w:t xml:space="preserve">reservoir of unused possibilities</w:t>
      </w:r>
      <w:r>
        <w:t xml:space="preserve">”</w:t>
      </w:r>
      <w:r>
        <w:rPr>
          <w:rStyle w:val="FootnoteReference"/>
        </w:rPr>
        <w:footnoteReference w:id="33"/>
      </w:r>
      <w:r>
        <w:t xml:space="preserve">. Storage memory contains knowledge that does not find application at the current moment. The transition of material from storage memory to functional memory occurs under certain conditions. Among these conditions A. Assmann names historical and political changes. To these conditions also belong curatorial projects. Without a mobile border between the two types of memory, cultural memory would become fixed and absolute</w:t>
      </w:r>
      <w:r>
        <w:rPr>
          <w:rStyle w:val="FootnoteReference"/>
        </w:rPr>
        <w:footnoteReference w:id="34"/>
      </w:r>
      <w:r>
        <w:t xml:space="preserve">.</w:t>
      </w:r>
    </w:p>
    <w:p>
      <w:pPr>
        <w:pStyle w:val="BodyText"/>
      </w:pPr>
      <w:r>
        <w:t xml:space="preserve">A. Assmann’s distinction between functional memory and storage memory is important for this research because it describes the mechanism of the curators’ work with the archive. The curators of the exhibition decide which archival materials move into functional memory. The empirical question of the research is formulated through this distinction. The analysis asks: which materials are transferred into active memory and through what means this transfer occurs.</w:t>
      </w:r>
    </w:p>
    <w:bookmarkEnd w:id="35"/>
    <w:bookmarkStart w:id="44" w:name="Xdc9f4fcd66d5a2e07c1a88c6e5ceba54f81ec41"/>
    <w:p>
      <w:pPr>
        <w:pStyle w:val="Heading2"/>
      </w:pPr>
      <w:r>
        <w:t xml:space="preserve">1.3 Political Memory and Memory Politics: The Institutional Production of the Past</w:t>
      </w:r>
    </w:p>
    <w:p>
      <w:pPr>
        <w:pStyle w:val="FirstParagraph"/>
      </w:pPr>
      <w:r>
        <w:t xml:space="preserve">Social memory does not require any special effort of maintenance. It lives in customs, conversations, and family stories. Political memory requires deliberate production.</w:t>
      </w:r>
    </w:p>
    <w:p>
      <w:pPr>
        <w:pStyle w:val="BodyText"/>
      </w:pPr>
      <w:r>
        <w:t xml:space="preserve">This distinction is important for this research because the exhibition</w:t>
      </w:r>
      <w:r>
        <w:t xml:space="preserve"> </w:t>
      </w:r>
      <w:r>
        <w:t xml:space="preserve">“</w:t>
      </w:r>
      <w:r>
        <w:t xml:space="preserve">No to Genocide!</w:t>
      </w:r>
      <w:r>
        <w:t xml:space="preserve">”</w:t>
      </w:r>
      <w:r>
        <w:t xml:space="preserve"> </w:t>
      </w:r>
      <w:r>
        <w:t xml:space="preserve">is an institutional project. Such a project belongs to the regime of political memory.</w:t>
      </w:r>
    </w:p>
    <w:p>
      <w:pPr>
        <w:pStyle w:val="BodyText"/>
      </w:pPr>
      <w:r>
        <w:t xml:space="preserve">One of the definitions of political memory is given by A. Assmann:</w:t>
      </w:r>
      <w:r>
        <w:t xml:space="preserve"> </w:t>
      </w:r>
      <w:r>
        <w:t xml:space="preserve">“</w:t>
      </w:r>
      <w:r>
        <w:t xml:space="preserve">institutions and larger social groups, such as nations, states, the church, or a business firm do not</w:t>
      </w:r>
      <w:r>
        <w:t xml:space="preserve"> </w:t>
      </w:r>
      <w:r>
        <w:t xml:space="preserve">‘</w:t>
      </w:r>
      <w:r>
        <w:t xml:space="preserve">have</w:t>
      </w:r>
      <w:r>
        <w:t xml:space="preserve">’</w:t>
      </w:r>
      <w:r>
        <w:t xml:space="preserve"> </w:t>
      </w:r>
      <w:r>
        <w:t xml:space="preserve">a memory, they</w:t>
      </w:r>
      <w:r>
        <w:t xml:space="preserve"> </w:t>
      </w:r>
      <w:r>
        <w:t xml:space="preserve">‘</w:t>
      </w:r>
      <w:r>
        <w:t xml:space="preserve">make</w:t>
      </w:r>
      <w:r>
        <w:t xml:space="preserve">’</w:t>
      </w:r>
      <w:r>
        <w:t xml:space="preserve"> </w:t>
      </w:r>
      <w:r>
        <w:t xml:space="preserve">one for themselves with the aid of memorial signs such as monuments, museums, commemoration rites, and ceremonies</w:t>
      </w:r>
      <w:r>
        <w:t xml:space="preserve">”</w:t>
      </w:r>
      <w:r>
        <w:rPr>
          <w:rStyle w:val="FootnoteReference"/>
        </w:rPr>
        <w:footnoteReference w:id="36"/>
      </w:r>
      <w:r>
        <w:t xml:space="preserve">. This definition captures the key property of political memory. It is produced intentionally.</w:t>
      </w:r>
    </w:p>
    <w:p>
      <w:pPr>
        <w:pStyle w:val="BodyText"/>
      </w:pPr>
      <w:r>
        <w:t xml:space="preserve">The creation of memory is accompanied by selection. Some events take their place in the official version of the past. Others remain outside it. Political memory aims at uniformity. It reduces different versions of the past to one and fixes this version in material carriers. Such carriers include monuments, museums, and rituals. The version thus obtained is transmitted to subsequent generations. In A. Assmann’s formulation,</w:t>
      </w:r>
      <w:r>
        <w:t xml:space="preserve"> </w:t>
      </w:r>
      <w:r>
        <w:t xml:space="preserve">“</w:t>
      </w:r>
      <w:r>
        <w:t xml:space="preserve">political memory is stabilized and can be transmitted from generation to generation</w:t>
      </w:r>
      <w:r>
        <w:t xml:space="preserve">”</w:t>
      </w:r>
      <w:r>
        <w:rPr>
          <w:rStyle w:val="FootnoteReference"/>
        </w:rPr>
        <w:footnoteReference w:id="37"/>
      </w:r>
      <w:r>
        <w:t xml:space="preserve">. The word</w:t>
      </w:r>
      <w:r>
        <w:t xml:space="preserve"> </w:t>
      </w:r>
      <w:r>
        <w:t xml:space="preserve">“</w:t>
      </w:r>
      <w:r>
        <w:t xml:space="preserve">stabilized</w:t>
      </w:r>
      <w:r>
        <w:t xml:space="preserve">”</w:t>
      </w:r>
      <w:r>
        <w:t xml:space="preserve"> </w:t>
      </w:r>
      <w:r>
        <w:t xml:space="preserve">is central here. In a group, memory lives spontaneously. In an institution, it requires constant work of maintenance.</w:t>
      </w:r>
    </w:p>
    <w:p>
      <w:pPr>
        <w:pStyle w:val="BodyText"/>
      </w:pPr>
      <w:r>
        <w:t xml:space="preserve">A. Assmann’s concept of political memory as institutional stabilisation is important for this research because it provides the way of reading individual elements of a memorial exhibition. Each such element works on the stabilisation of a particular version of the past.</w:t>
      </w:r>
    </w:p>
    <w:p>
      <w:pPr>
        <w:pStyle w:val="BodyText"/>
      </w:pPr>
      <w:r>
        <w:t xml:space="preserve">Political memory sets a normative framework. Within this framework some memories receive the status of the legitimate. Other memories are displaced</w:t>
      </w:r>
      <w:r>
        <w:rPr>
          <w:rStyle w:val="FootnoteReference"/>
        </w:rPr>
        <w:footnoteReference w:id="38"/>
      </w:r>
      <w:r>
        <w:t xml:space="preserve">. The recognition of an event at the state level determines its place in the normative symbolic order. This question has a political dimension.</w:t>
      </w:r>
    </w:p>
    <w:p>
      <w:pPr>
        <w:pStyle w:val="BodyText"/>
      </w:pPr>
      <w:r>
        <w:t xml:space="preserve">A. Assmann’s concept of the normative framework is important for this research because the exhibition</w:t>
      </w:r>
      <w:r>
        <w:t xml:space="preserve"> </w:t>
      </w:r>
      <w:r>
        <w:t xml:space="preserve">“</w:t>
      </w:r>
      <w:r>
        <w:t xml:space="preserve">No to Genocide!</w:t>
      </w:r>
      <w:r>
        <w:t xml:space="preserve">”</w:t>
      </w:r>
      <w:r>
        <w:t xml:space="preserve"> </w:t>
      </w:r>
      <w:r>
        <w:t xml:space="preserve">is itself a public act of recognising the genocide of the Armenian people. Through this concept, the recognition reads as an act of normative stabilisation.</w:t>
      </w:r>
    </w:p>
    <w:p>
      <w:pPr>
        <w:pStyle w:val="BodyText"/>
      </w:pPr>
      <w:r>
        <w:t xml:space="preserve">Tony Judt traces the mechanism of institutional memory through the material of post-war Europe. Official memory was built on a separation. What had been done</w:t>
      </w:r>
      <w:r>
        <w:t xml:space="preserve"> </w:t>
      </w:r>
      <w:r>
        <w:t xml:space="preserve">“</w:t>
      </w:r>
      <w:r>
        <w:t xml:space="preserve">to us</w:t>
      </w:r>
      <w:r>
        <w:t xml:space="preserve">”</w:t>
      </w:r>
      <w:r>
        <w:t xml:space="preserve"> </w:t>
      </w:r>
      <w:r>
        <w:t xml:space="preserve">was openly acknowledged. What</w:t>
      </w:r>
      <w:r>
        <w:t xml:space="preserve"> </w:t>
      </w:r>
      <w:r>
        <w:t xml:space="preserve">“</w:t>
      </w:r>
      <w:r>
        <w:t xml:space="preserve">we ourselves</w:t>
      </w:r>
      <w:r>
        <w:t xml:space="preserve">”</w:t>
      </w:r>
      <w:r>
        <w:t xml:space="preserve"> </w:t>
      </w:r>
      <w:r>
        <w:t xml:space="preserve">had done was displaced from public space</w:t>
      </w:r>
      <w:r>
        <w:rPr>
          <w:rStyle w:val="FootnoteReference"/>
        </w:rPr>
        <w:footnoteReference w:id="39"/>
      </w:r>
      <w:r>
        <w:t xml:space="preserve">. To present oneself as a victim and at the same time to keep silent about one’s own complicity is a deliberate choice. Some memories receive institutional support. Others exist in spite of it.</w:t>
      </w:r>
    </w:p>
    <w:p>
      <w:pPr>
        <w:pStyle w:val="BodyText"/>
      </w:pPr>
      <w:r>
        <w:t xml:space="preserve">T. Judt shows that the selection of what is preserved is inseparable from the selection of what is removed. Forgetting is organised by the same institutions that organise memory. T. Judt writes of memorial practices:</w:t>
      </w:r>
      <w:r>
        <w:t xml:space="preserve"> </w:t>
      </w:r>
      <w:r>
        <w:t xml:space="preserve">“</w:t>
      </w:r>
      <w:r>
        <w:t xml:space="preserve">the construction of war memorials was undertaken, all of them with the same pedagogical message</w:t>
      </w:r>
      <w:r>
        <w:t xml:space="preserve">”</w:t>
      </w:r>
      <w:r>
        <w:rPr>
          <w:rStyle w:val="FootnoteReference"/>
        </w:rPr>
        <w:footnoteReference w:id="40"/>
      </w:r>
      <w:r>
        <w:t xml:space="preserve">. The memorial in this logic performs a pedagogical function. It becomes a way of constructing memory.</w:t>
      </w:r>
    </w:p>
    <w:p>
      <w:pPr>
        <w:pStyle w:val="BodyText"/>
      </w:pPr>
      <w:r>
        <w:t xml:space="preserve">T. Judt’s approach is important for this research because it provides the language for analysing the distribution of voice in the exhibition. The analysis pays attention to those whose voices are present. The analysis also pays attention to those whose voices remain outside the exhibition. This structural asymmetry characterises any memorial institution.</w:t>
      </w:r>
    </w:p>
    <w:p>
      <w:pPr>
        <w:pStyle w:val="BodyText"/>
      </w:pPr>
      <w:r>
        <w:t xml:space="preserve">Enzo Traverso formulates the approach to the temporality of political memory. In his words,</w:t>
      </w:r>
      <w:r>
        <w:t xml:space="preserve"> </w:t>
      </w:r>
      <w:r>
        <w:t xml:space="preserve">“</w:t>
      </w:r>
      <w:r>
        <w:t xml:space="preserve">Memory always speaks in the present tense, which determines its modalities: the selection of events worthy of preservation, of witnesses worth listening to, their interpretation, and their</w:t>
      </w:r>
      <w:r>
        <w:t xml:space="preserve"> </w:t>
      </w:r>
      <w:r>
        <w:t xml:space="preserve">‘</w:t>
      </w:r>
      <w:r>
        <w:t xml:space="preserve">lessons</w:t>
      </w:r>
      <w:r>
        <w:t xml:space="preserve">’</w:t>
      </w:r>
      <w:r>
        <w:t xml:space="preserve">”</w:t>
      </w:r>
      <w:r>
        <w:rPr>
          <w:rStyle w:val="FootnoteReference"/>
        </w:rPr>
        <w:footnoteReference w:id="41"/>
      </w:r>
      <w:r>
        <w:t xml:space="preserve">. Political memory works as an instrument of the present. Decisions about what to remember and how to interpret are answers to current political tasks.</w:t>
      </w:r>
    </w:p>
    <w:p>
      <w:pPr>
        <w:pStyle w:val="BodyText"/>
      </w:pPr>
      <w:r>
        <w:t xml:space="preserve">The concepts of A. Assmann and E. Traverso are important for this research taken together, because they describe political memory from two sides. A. Assmann describes its structure. E. Traverso describes its temporality. In the combination of these approaches, memory is produced institutionally, and this work is always directed at current tasks.</w:t>
      </w:r>
    </w:p>
    <w:p>
      <w:pPr>
        <w:pStyle w:val="BodyText"/>
      </w:pPr>
      <w:r>
        <w:t xml:space="preserve">E. Traverso introduces the notion of the</w:t>
      </w:r>
      <w:r>
        <w:t xml:space="preserve"> </w:t>
      </w:r>
      <w:r>
        <w:t xml:space="preserve">“</w:t>
      </w:r>
      <w:r>
        <w:t xml:space="preserve">duty of memory</w:t>
      </w:r>
      <w:r>
        <w:t xml:space="preserve">”</w:t>
      </w:r>
      <w:r>
        <w:t xml:space="preserve">. The duty of memory can turn into a political instrument:</w:t>
      </w:r>
      <w:r>
        <w:t xml:space="preserve"> </w:t>
      </w:r>
      <w:r>
        <w:t xml:space="preserve">“</w:t>
      </w:r>
      <w:r>
        <w:t xml:space="preserve">Memory turns into a political stake and takes the form of an ethical demand of the</w:t>
      </w:r>
      <w:r>
        <w:t xml:space="preserve"> </w:t>
      </w:r>
      <w:r>
        <w:t xml:space="preserve">‘</w:t>
      </w:r>
      <w:r>
        <w:t xml:space="preserve">duty of memory</w:t>
      </w:r>
      <w:r>
        <w:t xml:space="preserve">’</w:t>
      </w:r>
      <w:r>
        <w:t xml:space="preserve">, which often becomes a source of abuses</w:t>
      </w:r>
      <w:r>
        <w:t xml:space="preserve">”</w:t>
      </w:r>
      <w:r>
        <w:rPr>
          <w:rStyle w:val="FootnoteReference"/>
        </w:rPr>
        <w:footnoteReference w:id="42"/>
      </w:r>
      <w:r>
        <w:t xml:space="preserve">. The obligation to remember works on the side of the victims. It also works on the side of those who manage the memorial narrative. The difference between these outcomes is determined by concrete mechanisms of memory production: by who speaks, what they speak about, and what they keep silent about in the process.</w:t>
      </w:r>
    </w:p>
    <w:p>
      <w:pPr>
        <w:pStyle w:val="BodyText"/>
      </w:pPr>
      <w:r>
        <w:t xml:space="preserve">E. Traverso’s notion of the</w:t>
      </w:r>
      <w:r>
        <w:t xml:space="preserve"> </w:t>
      </w:r>
      <w:r>
        <w:t xml:space="preserve">“</w:t>
      </w:r>
      <w:r>
        <w:t xml:space="preserve">duty of memory</w:t>
      </w:r>
      <w:r>
        <w:t xml:space="preserve">”</w:t>
      </w:r>
      <w:r>
        <w:t xml:space="preserve"> </w:t>
      </w:r>
      <w:r>
        <w:t xml:space="preserve">is important for this research because it provides a critical perspective on the memorial ambition of the exhibition. The exhibition performs an act of recognising the victims. Simultaneously, it stabilises a particular national narrative. The analysis holds both sides of this process.</w:t>
      </w:r>
    </w:p>
    <w:p>
      <w:pPr>
        <w:pStyle w:val="BodyText"/>
      </w:pPr>
      <w:r>
        <w:t xml:space="preserve">E. Traverso records a further regularity. The memory of one historical crime becomes the reference point for the perception of others. The catastrophes that have received recognition acquire a memorial infrastructure. The catastrophes that remain without recognition fall out of the field of normative memory. E. Traverso illustrates this with the case of the genocide in Rwanda in April 1994. At that moment the genocide had not yet been recognised by the international community. Drawing attention to it became possible only through the appeal to the memory of the Holocaust. E. Traverso writes:</w:t>
      </w:r>
      <w:r>
        <w:t xml:space="preserve"> </w:t>
      </w:r>
      <w:r>
        <w:t xml:space="preserve">“</w:t>
      </w:r>
      <w:r>
        <w:t xml:space="preserve">Malheureusement, il est plus facile de commémorer les génocides, surtout à des décennies de distance, que de les empêcher</w:t>
      </w:r>
      <w:r>
        <w:t xml:space="preserve">”</w:t>
      </w:r>
      <w:r>
        <w:rPr>
          <w:rStyle w:val="FootnoteReference"/>
        </w:rPr>
        <w:footnoteReference w:id="43"/>
      </w:r>
      <w:r>
        <w:t xml:space="preserve">. Institutional memory is oriented towards the past. It fixes the catastrophes that have already received recognition.</w:t>
      </w:r>
    </w:p>
    <w:p>
      <w:pPr>
        <w:pStyle w:val="BodyText"/>
      </w:pPr>
      <w:r>
        <w:t xml:space="preserve">This thesis of E. Traverso is important for this research because the genocide of the Armenian people occupies a particular position within the memorial economy. Turkey denies the genocide. Different states recognise it unevenly. The recognition that the exhibition produces operates within the same logic. The exhibition inscribes the event into normative memory. At the same time it draws on the catastrophes that have already received recognition earlier.</w:t>
      </w:r>
    </w:p>
    <w:p>
      <w:pPr>
        <w:pStyle w:val="BodyText"/>
      </w:pPr>
      <w:r>
        <w:t xml:space="preserve">The three approaches together form the frame for the analysis of political memory. A. Assmann describes its structure. T. Judt shows its operation through the asymmetry of voice. E. Traverso introduces its temporality. From these three concepts a common conclusion follows. A memorial exhibition is a space of memory politics by its very organisation. The institutional choice of what to show and how to construct the narrative has a political dimension regardless of the declarations of the creators.</w:t>
      </w:r>
    </w:p>
    <w:bookmarkEnd w:id="44"/>
    <w:bookmarkStart w:id="53" w:name="Xa51429882835da1ec74d2957d2b10d107b315ed"/>
    <w:p>
      <w:pPr>
        <w:pStyle w:val="Heading2"/>
      </w:pPr>
      <w:r>
        <w:t xml:space="preserve">1.4 The Digital Transformation of Memory and the Museum as a Mediatized Form of Memory Politics</w:t>
      </w:r>
    </w:p>
    <w:p>
      <w:pPr>
        <w:pStyle w:val="FirstParagraph"/>
      </w:pPr>
      <w:r>
        <w:t xml:space="preserve">Digital media change the nature of memory. This thesis is formulated by Andrew Hoskins. He proposes the concept of the connective turn. The turn describes the transition to a culture of data abundance. The traditional institutions of memory come under pressure</w:t>
      </w:r>
      <w:r>
        <w:rPr>
          <w:rStyle w:val="FootnoteReference"/>
        </w:rPr>
        <w:footnoteReference w:id="45"/>
      </w:r>
      <w:r>
        <w:t xml:space="preserve">. Memory acquires contradictory properties. It simultaneously fixes the past and deprives it of stability. In the classical model the archive and the museum were stable repositories of memory. They ensured its long-term preservation. In the digital age this principle is eroded. Memory takes on the character of continuous renewal.</w:t>
      </w:r>
    </w:p>
    <w:p>
      <w:pPr>
        <w:pStyle w:val="BodyText"/>
      </w:pPr>
      <w:r>
        <w:t xml:space="preserve">A. Hoskins’s concept of the connective turn is important for this research because it places the exhibition within the conditions of the current crisis of memorial institutions. Digital access to information about the genocide competes with the physical visit. Curatorial decisions are taken with this competition in mind.</w:t>
      </w:r>
    </w:p>
    <w:p>
      <w:pPr>
        <w:pStyle w:val="BodyText"/>
      </w:pPr>
      <w:r>
        <w:t xml:space="preserve">A. Hoskins describes an environment in which media and memory cannot be reduced to a single carrier. Museums, exhibitions, and archives lived through the</w:t>
      </w:r>
      <w:r>
        <w:t xml:space="preserve"> </w:t>
      </w:r>
      <w:r>
        <w:t xml:space="preserve">“</w:t>
      </w:r>
      <w:r>
        <w:t xml:space="preserve">second memory boom</w:t>
      </w:r>
      <w:r>
        <w:t xml:space="preserve">”</w:t>
      </w:r>
      <w:r>
        <w:t xml:space="preserve"> </w:t>
      </w:r>
      <w:r>
        <w:t xml:space="preserve">during the second half of the twentieth century. This was a period of flourishing of the institutional culture of memory</w:t>
      </w:r>
      <w:r>
        <w:rPr>
          <w:rStyle w:val="FootnoteReference"/>
        </w:rPr>
        <w:footnoteReference w:id="46"/>
      </w:r>
      <w:r>
        <w:t xml:space="preserve">. In the digital age this institutional peak turns into a crisis. The audience’s confidence in the online availability of information leads to a decline in visits. A. Hoskins calls this a culture of</w:t>
      </w:r>
      <w:r>
        <w:t xml:space="preserve"> </w:t>
      </w:r>
      <w:r>
        <w:t xml:space="preserve">“</w:t>
      </w:r>
      <w:r>
        <w:t xml:space="preserve">post-scarcity</w:t>
      </w:r>
      <w:r>
        <w:t xml:space="preserve">”</w:t>
      </w:r>
      <w:r>
        <w:t xml:space="preserve">. The excess of information undermines the authority of the institutions that store it.</w:t>
      </w:r>
    </w:p>
    <w:p>
      <w:pPr>
        <w:pStyle w:val="BodyText"/>
      </w:pPr>
      <w:r>
        <w:t xml:space="preserve">A. Hoskins’s notion of the new memory ecology is important for this research because it explains the exhibition’s work with presence and atmosphere. The physical visit requires justification. This justification is built on an experience that online access cannot reproduce.</w:t>
      </w:r>
    </w:p>
    <w:p>
      <w:pPr>
        <w:pStyle w:val="BodyText"/>
      </w:pPr>
      <w:r>
        <w:t xml:space="preserve">The crisis of attendance reflects a deeper shift. Wulf Kansteiner analyses digital practices in Holocaust museums. In his observation, institutions have become dependent on digital technology:</w:t>
      </w:r>
      <w:r>
        <w:t xml:space="preserve"> </w:t>
      </w:r>
      <w:r>
        <w:t xml:space="preserve">“</w:t>
      </w:r>
      <w:r>
        <w:t xml:space="preserve">Successfully staging historical authenticity for today’s audiences requires digital technology. All these exhibits teem with digital media as they surround their visitors with re-mastered photos, sound recordings, and film footage</w:t>
      </w:r>
      <w:r>
        <w:t xml:space="preserve">”</w:t>
      </w:r>
      <w:r>
        <w:rPr>
          <w:rStyle w:val="FootnoteReference"/>
        </w:rPr>
        <w:footnoteReference w:id="47"/>
      </w:r>
      <w:r>
        <w:t xml:space="preserve">. Technology does not abolish institutional control over interpretation. It reproduces this control in new forms. W. Kansteiner describes the role of the visitor in the digital memorial in this way:</w:t>
      </w:r>
      <w:r>
        <w:t xml:space="preserve"> </w:t>
      </w:r>
      <w:r>
        <w:t xml:space="preserve">“</w:t>
      </w:r>
      <w:r>
        <w:t xml:space="preserve">visitors are cast in relatively passive roles; they can watch, read, and listen but there are few explicit invitations to participate in the sense-making endeavor</w:t>
      </w:r>
      <w:r>
        <w:t xml:space="preserve">”</w:t>
      </w:r>
      <w:r>
        <w:rPr>
          <w:rStyle w:val="FootnoteReference"/>
        </w:rPr>
        <w:footnoteReference w:id="48"/>
      </w:r>
      <w:r>
        <w:t xml:space="preserve">.</w:t>
      </w:r>
    </w:p>
    <w:p>
      <w:pPr>
        <w:pStyle w:val="BodyText"/>
      </w:pPr>
      <w:r>
        <w:t xml:space="preserve">W. Kansteiner’s argument is important for this research because it brings to light a significant contradiction. The multimedia format of the exhibition creates the appearance of technological openness. Curatorial decisions about the selection of voices and about the role of the visitor retain their institutional nature. The analysis holds this contradiction in focus.</w:t>
      </w:r>
    </w:p>
    <w:p>
      <w:pPr>
        <w:pStyle w:val="BodyText"/>
      </w:pPr>
      <w:r>
        <w:t xml:space="preserve">A. Hoskins describes a fracture between two cultures of memory:</w:t>
      </w:r>
      <w:r>
        <w:t xml:space="preserve"> </w:t>
      </w:r>
      <w:r>
        <w:t xml:space="preserve">“</w:t>
      </w:r>
      <w:r>
        <w:t xml:space="preserve">one formalized, institutionalized, regimented (including online); the other more emergent, confrontational, yet fragmented</w:t>
      </w:r>
      <w:r>
        <w:t xml:space="preserve">”</w:t>
      </w:r>
      <w:r>
        <w:rPr>
          <w:rStyle w:val="FootnoteReference"/>
        </w:rPr>
        <w:footnoteReference w:id="49"/>
      </w:r>
      <w:r>
        <w:t xml:space="preserve">. The fracture runs within the institutions themselves. A multimedia exhibition is a space in which this contradiction is reproduced at every curatorial decision.</w:t>
      </w:r>
    </w:p>
    <w:p>
      <w:pPr>
        <w:pStyle w:val="BodyText"/>
      </w:pPr>
      <w:r>
        <w:t xml:space="preserve">A. Hoskins’s diagnosis is important for this research because the exhibition</w:t>
      </w:r>
      <w:r>
        <w:t xml:space="preserve"> </w:t>
      </w:r>
      <w:r>
        <w:t xml:space="preserve">“</w:t>
      </w:r>
      <w:r>
        <w:t xml:space="preserve">No to Genocide!</w:t>
      </w:r>
      <w:r>
        <w:t xml:space="preserve">”</w:t>
      </w:r>
      <w:r>
        <w:t xml:space="preserve"> </w:t>
      </w:r>
      <w:r>
        <w:t xml:space="preserve">embodies a specific version of this contradiction. The analysis works with the tension between different institutional narratives as a productive point.</w:t>
      </w:r>
    </w:p>
    <w:p>
      <w:pPr>
        <w:pStyle w:val="BodyText"/>
      </w:pPr>
      <w:r>
        <w:t xml:space="preserve">The possibility of a fracture is connected with the digital transformation of the archive. This transformation is described by Wolfgang Ernst. The traditional museum was built on the principle of archival order. The digital environment replaces archival order with dynamics</w:t>
      </w:r>
      <w:r>
        <w:rPr>
          <w:rStyle w:val="FootnoteReference"/>
        </w:rPr>
        <w:footnoteReference w:id="50"/>
      </w:r>
      <w:r>
        <w:t xml:space="preserve">. In the digital environment the museum appears as a space in which the past is constantly reassembled.</w:t>
      </w:r>
    </w:p>
    <w:p>
      <w:pPr>
        <w:pStyle w:val="BodyText"/>
      </w:pPr>
      <w:r>
        <w:t xml:space="preserve">W. Ernst’s approach is important for this research because it gives the technical language for describing the fracture that A. Hoskins fixes at the level of institutions. In the digital environment the past works as a process. Power over such a past ceases to belong to the institution alone.</w:t>
      </w:r>
    </w:p>
    <w:p>
      <w:pPr>
        <w:pStyle w:val="BodyText"/>
      </w:pPr>
      <w:r>
        <w:t xml:space="preserve">Roger Silverstone proposes the concept of the mediapolis</w:t>
      </w:r>
      <w:r>
        <w:rPr>
          <w:rStyle w:val="FootnoteReference"/>
        </w:rPr>
        <w:footnoteReference w:id="51"/>
      </w:r>
      <w:r>
        <w:t xml:space="preserve">. The mediapolis is a mediatized public space. In this space some subjects acquire visibility and the right to speak. Others remain invisible and unheard. R. Silverstone calls the key condition of visibility media hospitality. He defines it in this way:</w:t>
      </w:r>
      <w:r>
        <w:t xml:space="preserve"> </w:t>
      </w:r>
      <w:r>
        <w:t xml:space="preserve">“</w:t>
      </w:r>
      <w:r>
        <w:t xml:space="preserve">Hospitality as a right not just to the freedom of speech but as an obligation to listen and to hear</w:t>
      </w:r>
      <w:r>
        <w:t xml:space="preserve">”</w:t>
      </w:r>
      <w:r>
        <w:rPr>
          <w:rStyle w:val="FootnoteReference"/>
        </w:rPr>
        <w:footnoteReference w:id="52"/>
      </w:r>
      <w:r>
        <w:t xml:space="preserve">. The appearance of a subject in public space does not guarantee genuine inclusion. Mediatization is capable of strengthening presence. Mediatization is also capable of reducing a subject to the image of a victim without voice.</w:t>
      </w:r>
    </w:p>
    <w:p>
      <w:pPr>
        <w:pStyle w:val="BodyText"/>
      </w:pPr>
      <w:r>
        <w:t xml:space="preserve">R. Silverstone’s concept of the mediapolis is important for this research because it formulates a precise question to the material. The analysis asks in what mode the victim of the genocide is present in the exhibition. Is this a historical fact with its own voice or an image of suffering without subjecthood.</w:t>
      </w:r>
    </w:p>
    <w:p>
      <w:pPr>
        <w:pStyle w:val="BodyText"/>
      </w:pPr>
      <w:r>
        <w:t xml:space="preserve">The concepts considered above describe the digital museum through several simultaneous processes. Institutional control over the narrative is preserved. This control is reproduced through technology. The past becomes a process of constant actualisation. Visibility is distributed unevenly. Curatorial decisions determine who receives the right to a voice in the memorial space.</w:t>
      </w:r>
    </w:p>
    <w:bookmarkEnd w:id="53"/>
    <w:bookmarkStart w:id="60" w:name="Xbfe648656f598df60bb042f2636018f3f8becdc"/>
    <w:p>
      <w:pPr>
        <w:pStyle w:val="Heading2"/>
      </w:pPr>
      <w:r>
        <w:t xml:space="preserve">1.5 The Museum as a Medial and Political Form of Memory</w:t>
      </w:r>
    </w:p>
    <w:p>
      <w:pPr>
        <w:pStyle w:val="FirstParagraph"/>
      </w:pPr>
      <w:r>
        <w:t xml:space="preserve">The understanding of the exhibition space as an environment for the formation of political memory has developed within several theoretical traditions. The first of them is the concept of the exhibitionary complex. It was proposed by Tony Bennett. This concept describes the museums of the nineteenth century as part of a system of institutions. This system managed the behaviour and consciousness of the public</w:t>
      </w:r>
      <w:r>
        <w:rPr>
          <w:rStyle w:val="FootnoteReference"/>
        </w:rPr>
        <w:footnoteReference w:id="54"/>
      </w:r>
      <w:r>
        <w:t xml:space="preserve">. The museum operated through voluntary self-management. Power inside the museum organised the order of things. This order assigned the visitor a particular position. The museum sought to bring the people to the side of power through voluntary participation. The exhibition in this logic acquires a political form. It shapes a particular point of view in the visitor through the organisation of space, the arrangement of objects, and emotional impact.</w:t>
      </w:r>
    </w:p>
    <w:p>
      <w:pPr>
        <w:pStyle w:val="BodyText"/>
      </w:pPr>
      <w:r>
        <w:t xml:space="preserve">T. Bennett’s concept of the exhibitionary complex is important for this research because it affirms the structural character of the political dimension of the exhibition. The political dimension arises in the very organisation of the exposition, regardless of the declarations of its authors. The analysis addresses the question of what position the exhibition assigns to the visitor.</w:t>
      </w:r>
    </w:p>
    <w:p>
      <w:pPr>
        <w:pStyle w:val="BodyText"/>
      </w:pPr>
      <w:r>
        <w:t xml:space="preserve">T. Bennett fixes the spatial principle of the exhibitionary complex. This principle combines the functions of spectacle and surveillance. The visitor simultaneously becomes a viewer and an object of control. The space itself manages both what the visitor sees and how the visitor sees it</w:t>
      </w:r>
      <w:r>
        <w:rPr>
          <w:rStyle w:val="FootnoteReference"/>
        </w:rPr>
        <w:footnoteReference w:id="55"/>
      </w:r>
      <w:r>
        <w:t xml:space="preserve">.</w:t>
      </w:r>
    </w:p>
    <w:p>
      <w:pPr>
        <w:pStyle w:val="BodyText"/>
      </w:pPr>
      <w:r>
        <w:t xml:space="preserve">This double character is important for this research because it explains the work of space as a political instrument. The analysis pays attention to the spatial mechanisms that operate at this level.</w:t>
      </w:r>
    </w:p>
    <w:p>
      <w:pPr>
        <w:pStyle w:val="BodyText"/>
      </w:pPr>
      <w:r>
        <w:t xml:space="preserve">Eileen Hooper-Greenhill proposes the concept of the post-museum. In this model the museum appears as a space of interpretive frameworks. It is the frameworks, not the objects themselves, that determine how an exhibit is to be understood. The objects in themselves do not carry meaning:</w:t>
      </w:r>
      <w:r>
        <w:t xml:space="preserve"> </w:t>
      </w:r>
      <w:r>
        <w:t xml:space="preserve">“</w:t>
      </w:r>
      <w:r>
        <w:t xml:space="preserve">displayed objects of all types are made meaningful according to the interpretive frameworks within which they are placed</w:t>
      </w:r>
      <w:r>
        <w:t xml:space="preserve">”</w:t>
      </w:r>
      <w:r>
        <w:rPr>
          <w:rStyle w:val="FootnoteReference"/>
        </w:rPr>
        <w:footnoteReference w:id="56"/>
      </w:r>
      <w:r>
        <w:t xml:space="preserve">. The museum exposition constructs reality in three ways. These are the selection of objects, their arrangement, and the accompanying text. The traditional museum was based on a transmission model. Knowledge in it was passed on in a ready form. The activity of the visitor was not assumed. This model is replaced by a constructivist approach. In this approach the visitor acts as an active subject. The visitor builds meaning in dialogue with the space</w:t>
      </w:r>
      <w:r>
        <w:rPr>
          <w:rStyle w:val="FootnoteReference"/>
        </w:rPr>
        <w:footnoteReference w:id="57"/>
      </w:r>
      <w:r>
        <w:t xml:space="preserve">.</w:t>
      </w:r>
    </w:p>
    <w:p>
      <w:pPr>
        <w:pStyle w:val="BodyText"/>
      </w:pPr>
      <w:r>
        <w:t xml:space="preserve">E. Hooper-Greenhill’s concept of the post-museum is important for this research because it provides the principle for the analysis of the exhibition. The analytical question takes the following form: which interpretive frameworks were chosen by the curators for the representation of the genocide, and how do these frameworks direct the perception of the visitor.</w:t>
      </w:r>
    </w:p>
    <w:p>
      <w:pPr>
        <w:pStyle w:val="BodyText"/>
      </w:pPr>
      <w:r>
        <w:t xml:space="preserve">Andreas Huyssen proposes the concept of the hypertrophy of memory. It explains the intensity of the contemporary production of memory through museum institutions. The politics of memory is connected with current social processes. It changes under the influence of political and generational factors</w:t>
      </w:r>
      <w:r>
        <w:rPr>
          <w:rStyle w:val="FootnoteReference"/>
        </w:rPr>
        <w:footnoteReference w:id="58"/>
      </w:r>
      <w:r>
        <w:t xml:space="preserve">. A. Huyssen uses the notion of the palimpsest. Urban space and architectural objects accumulate layers of meanings:</w:t>
      </w:r>
      <w:r>
        <w:t xml:space="preserve"> </w:t>
      </w:r>
      <w:r>
        <w:t xml:space="preserve">“</w:t>
      </w:r>
      <w:r>
        <w:t xml:space="preserve">we have come to read cities and buildings as palimpsests of space</w:t>
      </w:r>
      <w:r>
        <w:t xml:space="preserve">”</w:t>
      </w:r>
      <w:r>
        <w:rPr>
          <w:rStyle w:val="FootnoteReference"/>
        </w:rPr>
        <w:footnoteReference w:id="59"/>
      </w:r>
      <w:r>
        <w:t xml:space="preserve">. The museum exposition in this perspective offers the past a new reading on each encounter.</w:t>
      </w:r>
    </w:p>
    <w:p>
      <w:pPr>
        <w:pStyle w:val="BodyText"/>
      </w:pPr>
      <w:r>
        <w:t xml:space="preserve">A. Huyssen’s concept of the hypertrophy of memory is important for this research because it treats the very fact of the existence of a memorial exhibition as an act of memory politics. A memorial exhibition about the genocide appears within a particular political context. This context gives it the character of a political gesture.</w:t>
      </w:r>
    </w:p>
    <w:p>
      <w:pPr>
        <w:pStyle w:val="BodyText"/>
      </w:pPr>
      <w:r>
        <w:t xml:space="preserve">The three concepts together form the analytical horizon. T. Bennett’s concept of the exhibitionary complex shows the embeddedness of the museum in relations of power. E. Hooper-Greenhill’s concept of the post-museum describes the mechanism of this embeddedness through interpretive frameworks. A. Huyssen’s concept of the hypertrophy of memory explains the political sharpness of this mechanism under current conditions. Together these concepts provide the basis for the consideration of the curatorial decisions of the exhibition as political acts.</w:t>
      </w:r>
    </w:p>
    <w:bookmarkEnd w:id="60"/>
    <w:bookmarkStart w:id="75" w:name="X78cc03290bf6354e97fb0973cfc7e3af163f423"/>
    <w:p>
      <w:pPr>
        <w:pStyle w:val="Heading2"/>
      </w:pPr>
      <w:r>
        <w:t xml:space="preserve">1.6 Curatorship and Curatorial Decisions: From Exhibitionary Practice to the Production of Political Memory</w:t>
      </w:r>
    </w:p>
    <w:p>
      <w:pPr>
        <w:pStyle w:val="FirstParagraph"/>
      </w:pPr>
      <w:r>
        <w:t xml:space="preserve">Curatorial decisions determine the version of the past for the visitor. They determine which narratives end up at the centre of the exposition and which move to the periphery. They determine the use of media technologies for emotional and political impact. This section considers curatorship in three dimensions. The first is traditional curating. The second is the curating of multimedia projects. The third is the curating of expositions about traumatic memory.</w:t>
      </w:r>
    </w:p>
    <w:p>
      <w:pPr>
        <w:pStyle w:val="BodyText"/>
      </w:pPr>
      <w:r>
        <w:t xml:space="preserve">The exhibition</w:t>
      </w:r>
      <w:r>
        <w:t xml:space="preserve"> </w:t>
      </w:r>
      <w:r>
        <w:t xml:space="preserve">“</w:t>
      </w:r>
      <w:r>
        <w:t xml:space="preserve">No to Genocide!</w:t>
      </w:r>
      <w:r>
        <w:t xml:space="preserve">”</w:t>
      </w:r>
      <w:r>
        <w:t xml:space="preserve"> </w:t>
      </w:r>
      <w:r>
        <w:t xml:space="preserve">produces meaning. This perspective is provided by the concept of authorial curatorial practice. It was proposed by Paul O’Neill. He shows the change of the figure of the curator in the second half of the twentieth century. The curator in contemporary art practice appears as an independent author. According to the observation of P. O’Neill, the curator has changed from</w:t>
      </w:r>
      <w:r>
        <w:t xml:space="preserve"> </w:t>
      </w:r>
      <w:r>
        <w:t xml:space="preserve">“</w:t>
      </w:r>
      <w:r>
        <w:t xml:space="preserve">an organiser behind the scenes and arbiter of taste</w:t>
      </w:r>
      <w:r>
        <w:t xml:space="preserve">”</w:t>
      </w:r>
      <w:r>
        <w:t xml:space="preserve"> </w:t>
      </w:r>
      <w:r>
        <w:t xml:space="preserve">to</w:t>
      </w:r>
      <w:r>
        <w:t xml:space="preserve"> </w:t>
      </w:r>
      <w:r>
        <w:t xml:space="preserve">“</w:t>
      </w:r>
      <w:r>
        <w:t xml:space="preserve">a self-motivated practitioner with a more central position in the contemporary art world</w:t>
      </w:r>
      <w:r>
        <w:t xml:space="preserve">”</w:t>
      </w:r>
      <w:r>
        <w:rPr>
          <w:rStyle w:val="FootnoteReference"/>
        </w:rPr>
        <w:footnoteReference w:id="61"/>
      </w:r>
      <w:r>
        <w:t xml:space="preserve">. The group exhibition in this logic becomes an authorial statement.</w:t>
      </w:r>
    </w:p>
    <w:p>
      <w:pPr>
        <w:pStyle w:val="BodyText"/>
      </w:pPr>
      <w:r>
        <w:t xml:space="preserve">P. O’Neill’s concept of authorial curatorial practice is important for this research because it provides the way of reading the exhibition. The curator of the exhibition</w:t>
      </w:r>
      <w:r>
        <w:t xml:space="preserve"> </w:t>
      </w:r>
      <w:r>
        <w:t xml:space="preserve">“</w:t>
      </w:r>
      <w:r>
        <w:t xml:space="preserve">No to Genocide!</w:t>
      </w:r>
      <w:r>
        <w:t xml:space="preserve">”</w:t>
      </w:r>
      <w:r>
        <w:t xml:space="preserve"> </w:t>
      </w:r>
      <w:r>
        <w:t xml:space="preserve">is considered as the author of a coherent statement. The analysis holds in focus the consistency of the authorial voice across different elements of the exhibition.</w:t>
      </w:r>
    </w:p>
    <w:p>
      <w:pPr>
        <w:pStyle w:val="BodyText"/>
      </w:pPr>
      <w:r>
        <w:t xml:space="preserve">Curatorial decisions are born in practice. This thesis is formulated by Terry Smith. He introduces the notion of curatorial thinking:</w:t>
      </w:r>
      <w:r>
        <w:t xml:space="preserve"> </w:t>
      </w:r>
      <w:r>
        <w:t xml:space="preserve">“</w:t>
      </w:r>
      <w:r>
        <w:t xml:space="preserve">curatorial thinking… is always deeply embedded in the practice of actually mounting the exhibition</w:t>
      </w:r>
      <w:r>
        <w:t xml:space="preserve">”</w:t>
      </w:r>
      <w:r>
        <w:rPr>
          <w:rStyle w:val="FootnoteReference"/>
        </w:rPr>
        <w:footnoteReference w:id="62"/>
      </w:r>
      <w:r>
        <w:t xml:space="preserve">. The curatorial decisions of the exhibition</w:t>
      </w:r>
      <w:r>
        <w:t xml:space="preserve"> </w:t>
      </w:r>
      <w:r>
        <w:t xml:space="preserve">“</w:t>
      </w:r>
      <w:r>
        <w:t xml:space="preserve">No to Genocide!</w:t>
      </w:r>
      <w:r>
        <w:t xml:space="preserve">”</w:t>
      </w:r>
      <w:r>
        <w:t xml:space="preserve"> </w:t>
      </w:r>
      <w:r>
        <w:t xml:space="preserve">took shape under the conditions of specific institutional constraints and available technologies. They cannot be derived from general theory. In curatorial studies the verb</w:t>
      </w:r>
      <w:r>
        <w:t xml:space="preserve"> </w:t>
      </w:r>
      <w:r>
        <w:t xml:space="preserve">“</w:t>
      </w:r>
      <w:r>
        <w:t xml:space="preserve">to curate</w:t>
      </w:r>
      <w:r>
        <w:t xml:space="preserve">”</w:t>
      </w:r>
      <w:r>
        <w:t xml:space="preserve"> </w:t>
      </w:r>
      <w:r>
        <w:t xml:space="preserve">has appeared. It replaces the noun</w:t>
      </w:r>
      <w:r>
        <w:t xml:space="preserve"> </w:t>
      </w:r>
      <w:r>
        <w:t xml:space="preserve">“</w:t>
      </w:r>
      <w:r>
        <w:t xml:space="preserve">curator</w:t>
      </w:r>
      <w:r>
        <w:t xml:space="preserve">”</w:t>
      </w:r>
      <w:r>
        <w:t xml:space="preserve">. This shift reflects the understanding of curatorship as a process of production and mediation</w:t>
      </w:r>
      <w:r>
        <w:rPr>
          <w:rStyle w:val="FootnoteReference"/>
        </w:rPr>
        <w:footnoteReference w:id="63"/>
      </w:r>
      <w:r>
        <w:t xml:space="preserve">.</w:t>
      </w:r>
    </w:p>
    <w:p>
      <w:pPr>
        <w:pStyle w:val="BodyText"/>
      </w:pPr>
      <w:r>
        <w:t xml:space="preserve">T. Smith’s concept of curatorial thinking is important for this research because it grounds the necessity of an interview with the curator. If curatorial thinking is embedded in practice, it cannot be reconstructed from artefacts alone. It has to be elicited from the practitioner. The empirical design of the research is built on this thesis.</w:t>
      </w:r>
    </w:p>
    <w:p>
      <w:pPr>
        <w:pStyle w:val="BodyText"/>
      </w:pPr>
      <w:r>
        <w:t xml:space="preserve">A multimedia exhibition uses digital technologies. These technologies change the nature of curatorial work. The concept of the cultural interface was proposed by Lev Manovich. He shows that any new medium works as a code. This code imposes its own logic on the messages it transmits. L. Manovich writes:</w:t>
      </w:r>
      <w:r>
        <w:t xml:space="preserve"> </w:t>
      </w:r>
      <w:r>
        <w:t xml:space="preserve">“</w:t>
      </w:r>
      <w:r>
        <w:t xml:space="preserve">the interface shapes how the computer user conceives the computer itself. It also determines how users think of any media object accessed via a computer</w:t>
      </w:r>
      <w:r>
        <w:t xml:space="preserve">”</w:t>
      </w:r>
      <w:r>
        <w:rPr>
          <w:rStyle w:val="FootnoteReference"/>
        </w:rPr>
        <w:footnoteReference w:id="64"/>
      </w:r>
      <w:r>
        <w:t xml:space="preserve">. The choice of an interactive format predetermines the mode of perception of the content. The curator places material in an interactive environment. By the same act the curator programmes the perception of the visitor.</w:t>
      </w:r>
    </w:p>
    <w:p>
      <w:pPr>
        <w:pStyle w:val="BodyText"/>
      </w:pPr>
      <w:r>
        <w:t xml:space="preserve">L. Manovich’s concept of the cultural interface is important for this research because it links the technological and the substantive decisions of the curator. The decision about placing material on this or that technology is at the same time a decision about the mode of its perception.</w:t>
      </w:r>
    </w:p>
    <w:p>
      <w:pPr>
        <w:pStyle w:val="BodyText"/>
      </w:pPr>
      <w:r>
        <w:t xml:space="preserve">Ross Parry proposes the concept of the digital transformation of the museum. He fixes the transition from</w:t>
      </w:r>
      <w:r>
        <w:t xml:space="preserve"> </w:t>
      </w:r>
      <w:r>
        <w:t xml:space="preserve">“</w:t>
      </w:r>
      <w:r>
        <w:t xml:space="preserve">museum informatics</w:t>
      </w:r>
      <w:r>
        <w:t xml:space="preserve">”</w:t>
      </w:r>
      <w:r>
        <w:t xml:space="preserve"> </w:t>
      </w:r>
      <w:r>
        <w:t xml:space="preserve">to</w:t>
      </w:r>
      <w:r>
        <w:t xml:space="preserve"> </w:t>
      </w:r>
      <w:r>
        <w:t xml:space="preserve">“</w:t>
      </w:r>
      <w:r>
        <w:t xml:space="preserve">digital heritage</w:t>
      </w:r>
      <w:r>
        <w:t xml:space="preserve">”</w:t>
      </w:r>
      <w:r>
        <w:t xml:space="preserve">. This transition implies a critical and theoretically conscious attitude towards technologies</w:t>
      </w:r>
      <w:r>
        <w:rPr>
          <w:rStyle w:val="FootnoteReference"/>
        </w:rPr>
        <w:footnoteReference w:id="65"/>
      </w:r>
      <w:r>
        <w:t xml:space="preserve">. The approaches of L. Manovich and R. Parry bring to light a tension on the question of the role of the curator in the digital environment. The concept of the cultural interface accentuates the structural power of technology over perception. The concept of digital heritage accentuates the conscious choice of the curator. The curator has to master technology critically. The difference between these positions indicates the two-level character of curatorial decisions in a multimedia exhibition. These decisions depend on the technological capacities of the platform. They also depend on the subjective design of the authors. The analysis requires an account of both levels.</w:t>
      </w:r>
    </w:p>
    <w:p>
      <w:pPr>
        <w:pStyle w:val="BodyText"/>
      </w:pPr>
      <w:r>
        <w:t xml:space="preserve">The combined frame of L. Manovich and R. Parry is important for this research because it sets a two-level procedure of analysis. Each curatorial decision is read as a response to the affordances of the platform. The same decision is read as the result of critical reflection on these affordances. The interview data make it possible to differentiate these two levels.</w:t>
      </w:r>
    </w:p>
    <w:p>
      <w:pPr>
        <w:pStyle w:val="BodyText"/>
      </w:pPr>
      <w:r>
        <w:t xml:space="preserve">Sharon Macdonald proposes the concept of museum experience. She investigates three areas of this experience: space, media, and sociality</w:t>
      </w:r>
      <w:r>
        <w:rPr>
          <w:rStyle w:val="FootnoteReference"/>
        </w:rPr>
        <w:footnoteReference w:id="66"/>
      </w:r>
      <w:r>
        <w:t xml:space="preserve">. According to the observation of S. Macdonald, the way the visitor moves through the exhibition influences interpretation:</w:t>
      </w:r>
      <w:r>
        <w:t xml:space="preserve"> </w:t>
      </w:r>
      <w:r>
        <w:t xml:space="preserve">“</w:t>
      </w:r>
      <w:r>
        <w:t xml:space="preserve">How people negotiate their way through museums and galleries can have considerable implications for how they relate to and interpret exhibition content</w:t>
      </w:r>
      <w:r>
        <w:t xml:space="preserve">”</w:t>
      </w:r>
      <w:r>
        <w:rPr>
          <w:rStyle w:val="FootnoteReference"/>
        </w:rPr>
        <w:footnoteReference w:id="67"/>
      </w:r>
      <w:r>
        <w:t xml:space="preserve">. A curatorial decision about the route is a decision about the type of perception of memory. The styles of movement of the visitor depend on the design of the exhibition. Curators can programme a particular style of movement. The way the narrative is absorbed depends on this.</w:t>
      </w:r>
    </w:p>
    <w:p>
      <w:pPr>
        <w:pStyle w:val="BodyText"/>
      </w:pPr>
      <w:r>
        <w:t xml:space="preserve">In the area of media, physical objects attract more attention than texts:</w:t>
      </w:r>
      <w:r>
        <w:t xml:space="preserve"> </w:t>
      </w:r>
      <w:r>
        <w:t xml:space="preserve">“</w:t>
      </w:r>
      <w:r>
        <w:t xml:space="preserve">visitors tend to be very attentive to objects, and only occasionally attentive to labels</w:t>
      </w:r>
      <w:r>
        <w:t xml:space="preserve">”</w:t>
      </w:r>
      <w:r>
        <w:rPr>
          <w:rStyle w:val="FootnoteReference"/>
        </w:rPr>
        <w:footnoteReference w:id="68"/>
      </w:r>
      <w:r>
        <w:t xml:space="preserve">. In an exhibition about the genocide, photographs, documents, and recordings become the principal instrument of the production of political memory. The curatorial decision about the selection and arrangement of these objects determines the content of the visitor’s memory.</w:t>
      </w:r>
    </w:p>
    <w:p>
      <w:pPr>
        <w:pStyle w:val="BodyText"/>
      </w:pPr>
      <w:r>
        <w:t xml:space="preserve">S. Macdonald’s three-part frame is important for this research because it joins the technological choice with the behaviour of the visitor. L. Manovich describes the programming of perception at the level of code. S. Macdonald describes it at the level of behaviour. The analysis of the exhibition holds both levels at the same time.</w:t>
      </w:r>
    </w:p>
    <w:p>
      <w:pPr>
        <w:pStyle w:val="BodyText"/>
      </w:pPr>
      <w:r>
        <w:t xml:space="preserve">The exhibition</w:t>
      </w:r>
      <w:r>
        <w:t xml:space="preserve"> </w:t>
      </w:r>
      <w:r>
        <w:t xml:space="preserve">“</w:t>
      </w:r>
      <w:r>
        <w:t xml:space="preserve">No to Genocide!</w:t>
      </w:r>
      <w:r>
        <w:t xml:space="preserve">”</w:t>
      </w:r>
      <w:r>
        <w:t xml:space="preserve"> </w:t>
      </w:r>
      <w:r>
        <w:t xml:space="preserve">belongs to the genre of the memorial museum. The structural characteristics of the genre are described by the concept of Paul Williams. P. Williams distinguishes three notions: monument, museum, and memorial museum. A monument is a sculpture or a physical marker of commemoration. A museum is an institution of acquisition, storage, study, and exhibition of objects. A memorial museum is a specific genre. It is dedicated to a historical event of mass suffering</w:t>
      </w:r>
      <w:r>
        <w:rPr>
          <w:rStyle w:val="FootnoteReference"/>
        </w:rPr>
        <w:footnoteReference w:id="69"/>
      </w:r>
      <w:r>
        <w:t xml:space="preserve">. The term contains an internal contradiction. The memorial implies non-evaluative mourning. The museum requires critical interpretation. P. Williams treats this contradiction as constitutive of the genre. It is reproduced at every curatorial decision.</w:t>
      </w:r>
    </w:p>
    <w:p>
      <w:pPr>
        <w:pStyle w:val="BodyText"/>
      </w:pPr>
      <w:r>
        <w:t xml:space="preserve">P. Williams’s concept of the constitutive tension of the memorial museum is important for this research because it formulates the basic trade-off of the curators’ work. Each of their choices balances between mourning, tragedy, and interpretation. The analysis traces this balance in the material of the exhibition.</w:t>
      </w:r>
    </w:p>
    <w:p>
      <w:pPr>
        <w:pStyle w:val="BodyText"/>
      </w:pPr>
      <w:r>
        <w:t xml:space="preserve">P. Williams formulates the mission of the memorial museum:</w:t>
      </w:r>
      <w:r>
        <w:t xml:space="preserve"> </w:t>
      </w:r>
      <w:r>
        <w:t xml:space="preserve">“</w:t>
      </w:r>
      <w:r>
        <w:t xml:space="preserve">to illuminate, commemorate, and educate about a particular, bounded, and vivid historic event</w:t>
      </w:r>
      <w:r>
        <w:t xml:space="preserve">”</w:t>
      </w:r>
      <w:r>
        <w:rPr>
          <w:rStyle w:val="FootnoteReference"/>
        </w:rPr>
        <w:footnoteReference w:id="70"/>
      </w:r>
      <w:r>
        <w:t xml:space="preserve">. The limited character of this mission distinguishes the memorial museum from a large historical museum. Applied to the exhibition</w:t>
      </w:r>
      <w:r>
        <w:t xml:space="preserve"> </w:t>
      </w:r>
      <w:r>
        <w:t xml:space="preserve">“</w:t>
      </w:r>
      <w:r>
        <w:t xml:space="preserve">No to Genocide!</w:t>
      </w:r>
      <w:r>
        <w:t xml:space="preserve">”</w:t>
      </w:r>
      <w:r>
        <w:t xml:space="preserve">, the mission consists in making the genocide of the Armenian people of 1915 intelligible, visible, and morally significant. A departure from this task violates the genre logic.</w:t>
      </w:r>
    </w:p>
    <w:p>
      <w:pPr>
        <w:pStyle w:val="BodyText"/>
      </w:pPr>
      <w:r>
        <w:t xml:space="preserve">P. Williams points to the limitation of the material of memorial museums. Organised violence destroys the traces of its own existence. Victims are stripped of property. Records are burned. People are buried in unmarked graves. Every object that has managed to be preserved acquires a special evidentiary weight. It becomes a tangible testimony</w:t>
      </w:r>
      <w:r>
        <w:t xml:space="preserve"> </w:t>
      </w:r>
      <w:r>
        <w:t xml:space="preserve">“</w:t>
      </w:r>
      <w:r>
        <w:t xml:space="preserve">in the face of dispute and even denial of what happened</w:t>
      </w:r>
      <w:r>
        <w:t xml:space="preserve">”</w:t>
      </w:r>
      <w:r>
        <w:rPr>
          <w:rStyle w:val="FootnoteReference"/>
        </w:rPr>
        <w:footnoteReference w:id="71"/>
      </w:r>
      <w:r>
        <w:t xml:space="preserve">.</w:t>
      </w:r>
    </w:p>
    <w:p>
      <w:pPr>
        <w:pStyle w:val="BodyText"/>
      </w:pPr>
      <w:r>
        <w:t xml:space="preserve">This thesis of P. Williams is important for this research because the genocide of the Armenian people is denied by Turkey and recognised by states unevenly. Each artefact of the exhibition works as a documentary refutation of this denial. The analysis reads the choice of the curators in favour of particular photographs and documents as an evidentiary gesture.</w:t>
      </w:r>
    </w:p>
    <w:p>
      <w:pPr>
        <w:pStyle w:val="BodyText"/>
      </w:pPr>
      <w:r>
        <w:t xml:space="preserve">P. Williams writes about the political nature of the memorial museum. He formulates it through the expression</w:t>
      </w:r>
      <w:r>
        <w:t xml:space="preserve"> </w:t>
      </w:r>
      <w:r>
        <w:t xml:space="preserve">“</w:t>
      </w:r>
      <w:r>
        <w:t xml:space="preserve">an uneasy coexistence of reverent commemoration and critical interpretation</w:t>
      </w:r>
      <w:r>
        <w:t xml:space="preserve">”</w:t>
      </w:r>
      <w:r>
        <w:rPr>
          <w:rStyle w:val="FootnoteReference"/>
        </w:rPr>
        <w:footnoteReference w:id="72"/>
      </w:r>
      <w:r>
        <w:t xml:space="preserve">. Among the examples P. Williams names</w:t>
      </w:r>
      <w:r>
        <w:t xml:space="preserve"> </w:t>
      </w:r>
      <w:r>
        <w:t xml:space="preserve">“</w:t>
      </w:r>
      <w:r>
        <w:t xml:space="preserve">the diplomatic cold war between the Turks and the Armenians</w:t>
      </w:r>
      <w:r>
        <w:t xml:space="preserve">”</w:t>
      </w:r>
      <w:r>
        <w:t xml:space="preserve">. This is an example of how museum representation of mass violence becomes a field of international conflict</w:t>
      </w:r>
      <w:r>
        <w:rPr>
          <w:rStyle w:val="FootnoteReference"/>
        </w:rPr>
        <w:footnoteReference w:id="73"/>
      </w:r>
      <w:r>
        <w:t xml:space="preserve">.</w:t>
      </w:r>
    </w:p>
    <w:p>
      <w:pPr>
        <w:pStyle w:val="BodyText"/>
      </w:pPr>
      <w:r>
        <w:t xml:space="preserve">This observation is important for this research because the exhibition exists under the conditions of an unfinished conflict over the recognition of the genocide of the Armenian people. Curatorial decisions are taken with the logic of this conflict in mind.</w:t>
      </w:r>
    </w:p>
    <w:p>
      <w:pPr>
        <w:pStyle w:val="BodyText"/>
      </w:pPr>
      <w:r>
        <w:t xml:space="preserve">The concept of the memorial museum as an instrument of legitimation was proposed by Amy Sodaro. She considers memorial museums as institutions with three declared functions. These are the preservation of the truth about the past, the memorial recognition of victims, and moral education. Behind these declared aims a fourth function is revealed:</w:t>
      </w:r>
      <w:r>
        <w:t xml:space="preserve"> </w:t>
      </w:r>
      <w:r>
        <w:t xml:space="preserve">“</w:t>
      </w:r>
      <w:r>
        <w:t xml:space="preserve">the legitimation of the current political regime</w:t>
      </w:r>
      <w:r>
        <w:t xml:space="preserve">”</w:t>
      </w:r>
      <w:r>
        <w:rPr>
          <w:rStyle w:val="FootnoteReference"/>
        </w:rPr>
        <w:footnoteReference w:id="74"/>
      </w:r>
      <w:r>
        <w:t xml:space="preserve">.</w:t>
      </w:r>
    </w:p>
    <w:p>
      <w:pPr>
        <w:pStyle w:val="BodyText"/>
      </w:pPr>
      <w:r>
        <w:t xml:space="preserve">A. Sodaro’s concept of the legitimating function of the memorial museum is important for this research because it shows the political character of any choice in an exhibition about the genocide. Each curatorial decision functions as a political gesture. This happens independently of the awareness of this dimension by the curators themselves.</w:t>
      </w:r>
    </w:p>
    <w:p>
      <w:pPr>
        <w:pStyle w:val="BodyText"/>
      </w:pPr>
      <w:r>
        <w:t xml:space="preserve">A. Sodaro also draws attention to the borrowing by memorial museums of expositional tropes from one another.</w:t>
      </w:r>
      <w:r>
        <w:t xml:space="preserve"> </w:t>
      </w:r>
      <w:r>
        <w:t xml:space="preserve">“</w:t>
      </w:r>
      <w:r>
        <w:t xml:space="preserve">Walls of names</w:t>
      </w:r>
      <w:r>
        <w:t xml:space="preserve">”</w:t>
      </w:r>
      <w:r>
        <w:t xml:space="preserve"> </w:t>
      </w:r>
      <w:r>
        <w:t xml:space="preserve">and video testimonies form a global language of mourning. This observation is important for this research because it opens an analytical question: to what extent does the exhibition</w:t>
      </w:r>
      <w:r>
        <w:t xml:space="preserve"> </w:t>
      </w:r>
      <w:r>
        <w:t xml:space="preserve">“</w:t>
      </w:r>
      <w:r>
        <w:t xml:space="preserve">No to Genocide!</w:t>
      </w:r>
      <w:r>
        <w:t xml:space="preserve">”</w:t>
      </w:r>
      <w:r>
        <w:t xml:space="preserve"> </w:t>
      </w:r>
      <w:r>
        <w:t xml:space="preserve">reproduce this global language, and to what extent does it form its own.</w:t>
      </w:r>
    </w:p>
    <w:bookmarkEnd w:id="75"/>
    <w:bookmarkStart w:id="76" w:name="analytical-framework"/>
    <w:p>
      <w:pPr>
        <w:pStyle w:val="Heading2"/>
      </w:pPr>
      <w:r>
        <w:t xml:space="preserve">Analytical Framework</w:t>
      </w:r>
    </w:p>
    <w:p>
      <w:pPr>
        <w:pStyle w:val="FirstParagraph"/>
      </w:pPr>
      <w:r>
        <w:t xml:space="preserve">The concepts considered in this chapter perform two different functions. Some describe the object of analysis. Others provide tools for understanding how this object is produced. The analytical framework is built from those concepts that together make it possible to consider a curatorial decision in several dimensions at the same time.</w:t>
      </w:r>
    </w:p>
    <w:p>
      <w:pPr>
        <w:pStyle w:val="BodyText"/>
      </w:pPr>
      <w:r>
        <w:t xml:space="preserve">The first pillar of the framework is the conditions under which curatorial decisions are taken. S. Hjarvard fixes the existence of a logic of media of their own. This logic consists of formats, principles, and constraints. Other institutions are forced to comply with it. A. Hepp specifies that the molding forces of media become visible only in a concrete context. S. Hjarvard’s distinction between direct and indirect mediatization makes it possible to describe the infrastructural and the formatting levels of the exhibition at the same time. The concept of deep mediatization of N. Couldry and A. Hepp closes the first pillar. The digital components of the exhibition are treated as the basic infrastructure of meaning-making.</w:t>
      </w:r>
    </w:p>
    <w:p>
      <w:pPr>
        <w:pStyle w:val="BodyText"/>
      </w:pPr>
      <w:r>
        <w:t xml:space="preserve">The second pillar of the framework is the work of memory under these conditions. M. Halbwachs’s social frames define the regime of collective memory. A. Assmann’s distinction between functional memory and storage memory describes the mechanism of the selection of material. A. Assmann’s concept of political memory describes its structure as a product of institutional stabilisation. T. Judt shows the asymmetry between visible and invisible voices in a memorial institution. E. Traverso introduces the temporal dimension: memory works in the logic of the present and serves current political tasks. The notion of the</w:t>
      </w:r>
      <w:r>
        <w:t xml:space="preserve"> </w:t>
      </w:r>
      <w:r>
        <w:t xml:space="preserve">“</w:t>
      </w:r>
      <w:r>
        <w:t xml:space="preserve">duty of memory</w:t>
      </w:r>
      <w:r>
        <w:t xml:space="preserve">”</w:t>
      </w:r>
      <w:r>
        <w:t xml:space="preserve"> </w:t>
      </w:r>
      <w:r>
        <w:t xml:space="preserve">of E. Traverso provides a critical perspective on the memorial ambition of the exhibition.</w:t>
      </w:r>
    </w:p>
    <w:p>
      <w:pPr>
        <w:pStyle w:val="BodyText"/>
      </w:pPr>
      <w:r>
        <w:t xml:space="preserve">The third pillar of the framework is digital mediation and control over the narrative. A. Hoskins’s connective turn fixes the environment in which the exhibition exists. W. Kansteiner shows the preservation of institutional control over the narrative under the conditions of the digital format. W. Ernst gives the technical explanation for this shift. R. Silverstone’s concept of the mediapolis poses the question of visibility. The presence of a subject in mediatized space is not equal to the subject’s obtaining of voice.</w:t>
      </w:r>
    </w:p>
    <w:p>
      <w:pPr>
        <w:pStyle w:val="BodyText"/>
      </w:pPr>
      <w:r>
        <w:t xml:space="preserve">The fourth pillar of the framework is the exhibitionary form and the encounter with the visitor. T. Bennett’s concept of the exhibitionary complex shows the embeddedness of the museum in relations of power and the combination of the functions of spectacle and surveillance. Through E. Hooper-Greenhill’s post-museum, the exhibition is read as the work of interpretive frameworks. A. Huyssen explains the political sharpness of this work under current conditions. S. Macdonald’s three areas of museum experience — space, media, and sociality — set the points of attention of the analytical protocol.</w:t>
      </w:r>
    </w:p>
    <w:p>
      <w:pPr>
        <w:pStyle w:val="BodyText"/>
      </w:pPr>
      <w:r>
        <w:t xml:space="preserve">The fifth pillar of the framework is curatorial work as an authorial and political practice. According to P. O’Neill, the exhibition is considered as an authorial statement. T. Smith grounds the necessity of an interview with the curator through the thesis of the embeddedness of curatorial thinking in practice. L. Manovich’s concept of the cultural interface links the technological and the substantive levels of curatorial decisions. R. Parry adds to this the critical attitude of the curator towards technology. P. Williams describes the basic trade-off of the curators’ work between mourning and interpretation. According to A. Sodaro, any curatorial decision functions as a political gesture.</w:t>
      </w:r>
    </w:p>
    <w:p>
      <w:pPr>
        <w:pStyle w:val="BodyText"/>
      </w:pPr>
      <w:r>
        <w:t xml:space="preserve">The point at which all five pillars meet is the curatorial decision. Each such decision works as a response to media logic, as an act of translating material into active memory, as a reaction to the digital conditions of the production of the narrative, as a projection of the visitor’s position, and as an authorial-political gesture. The analysis of the exhibition</w:t>
      </w:r>
      <w:r>
        <w:t xml:space="preserve"> </w:t>
      </w:r>
      <w:r>
        <w:t xml:space="preserve">“</w:t>
      </w:r>
      <w:r>
        <w:t xml:space="preserve">No to Genocide!</w:t>
      </w:r>
      <w:r>
        <w:t xml:space="preserve">”</w:t>
      </w:r>
      <w:r>
        <w:t xml:space="preserve"> </w:t>
      </w:r>
      <w:r>
        <w:t xml:space="preserve">is built through the reading of each curatorial decision along these five lines at the same time.</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Hjarvard S. The Mediatization of Society: A Theory of the Media as Agents of Social and Cultural Change // Nordicom Review. 2008. Vol. 29, No. 2. P. 105.</w:t>
      </w:r>
    </w:p>
  </w:footnote>
  <w:footnote w:id="21">
    <w:p>
      <w:pPr>
        <w:pStyle w:val="FootnoteText"/>
      </w:pPr>
      <w:r>
        <w:rPr>
          <w:rStyle w:val="FootnoteReference"/>
        </w:rPr>
        <w:footnoteRef/>
      </w:r>
      <w:r>
        <w:t xml:space="preserve"> </w:t>
      </w:r>
      <w:r>
        <w:t xml:space="preserve">Ibid. P. 113.</w:t>
      </w:r>
    </w:p>
  </w:footnote>
  <w:footnote w:id="22">
    <w:p>
      <w:pPr>
        <w:pStyle w:val="FootnoteText"/>
      </w:pPr>
      <w:r>
        <w:rPr>
          <w:rStyle w:val="FootnoteReference"/>
        </w:rPr>
        <w:footnoteRef/>
      </w:r>
      <w:r>
        <w:t xml:space="preserve"> </w:t>
      </w:r>
      <w:r>
        <w:t xml:space="preserve">Ibid. P. 105.</w:t>
      </w:r>
    </w:p>
  </w:footnote>
  <w:footnote w:id="23">
    <w:p>
      <w:pPr>
        <w:pStyle w:val="FootnoteText"/>
      </w:pPr>
      <w:r>
        <w:rPr>
          <w:rStyle w:val="FootnoteReference"/>
        </w:rPr>
        <w:footnoteRef/>
      </w:r>
      <w:r>
        <w:t xml:space="preserve"> </w:t>
      </w:r>
      <w:r>
        <w:t xml:space="preserve">Ibid. P. 114.</w:t>
      </w:r>
    </w:p>
  </w:footnote>
  <w:footnote w:id="24">
    <w:p>
      <w:pPr>
        <w:pStyle w:val="FootnoteText"/>
      </w:pPr>
      <w:r>
        <w:rPr>
          <w:rStyle w:val="FootnoteReference"/>
        </w:rPr>
        <w:footnoteRef/>
      </w:r>
      <w:r>
        <w:t xml:space="preserve"> </w:t>
      </w:r>
      <w:r>
        <w:t xml:space="preserve">Ibid. P. 114–115.</w:t>
      </w:r>
    </w:p>
  </w:footnote>
  <w:footnote w:id="25">
    <w:p>
      <w:pPr>
        <w:pStyle w:val="FootnoteText"/>
      </w:pPr>
      <w:r>
        <w:rPr>
          <w:rStyle w:val="FootnoteReference"/>
        </w:rPr>
        <w:footnoteRef/>
      </w:r>
      <w:r>
        <w:t xml:space="preserve"> </w:t>
      </w:r>
      <w:r>
        <w:t xml:space="preserve">Hepp A. Deep Mediatization. London: Routledge, 2020. P. 40.</w:t>
      </w:r>
    </w:p>
  </w:footnote>
  <w:footnote w:id="26">
    <w:p>
      <w:pPr>
        <w:pStyle w:val="FootnoteText"/>
      </w:pPr>
      <w:r>
        <w:rPr>
          <w:rStyle w:val="FootnoteReference"/>
        </w:rPr>
        <w:footnoteRef/>
      </w:r>
      <w:r>
        <w:t xml:space="preserve"> </w:t>
      </w:r>
      <w:r>
        <w:t xml:space="preserve">Hepp A. Cultures of Mediatization. Cambridge: Polity, 2013. P. 46.</w:t>
      </w:r>
    </w:p>
  </w:footnote>
  <w:footnote w:id="27">
    <w:p>
      <w:pPr>
        <w:pStyle w:val="FootnoteText"/>
      </w:pPr>
      <w:r>
        <w:rPr>
          <w:rStyle w:val="FootnoteReference"/>
        </w:rPr>
        <w:footnoteRef/>
      </w:r>
      <w:r>
        <w:t xml:space="preserve"> </w:t>
      </w:r>
      <w:r>
        <w:t xml:space="preserve">Ibid. P. 69.</w:t>
      </w:r>
    </w:p>
  </w:footnote>
  <w:footnote w:id="28">
    <w:p>
      <w:pPr>
        <w:pStyle w:val="FootnoteText"/>
      </w:pPr>
      <w:r>
        <w:rPr>
          <w:rStyle w:val="FootnoteReference"/>
        </w:rPr>
        <w:footnoteRef/>
      </w:r>
      <w:r>
        <w:t xml:space="preserve"> </w:t>
      </w:r>
      <w:r>
        <w:t xml:space="preserve">Berger P. L., Luckmann T. The Social Construction of Reality: A Treatise in the Sociology of Knowledge. New York: Anchor Books, 1966. P. 61.</w:t>
      </w:r>
    </w:p>
  </w:footnote>
  <w:footnote w:id="29">
    <w:p>
      <w:pPr>
        <w:pStyle w:val="FootnoteText"/>
      </w:pPr>
      <w:r>
        <w:rPr>
          <w:rStyle w:val="FootnoteReference"/>
        </w:rPr>
        <w:footnoteRef/>
      </w:r>
      <w:r>
        <w:t xml:space="preserve"> </w:t>
      </w:r>
      <w:r>
        <w:t xml:space="preserve">Couldry N., Hepp A. The Mediated Construction of Reality. Cambridge: Polity, 2017. P. 7, 34.</w:t>
      </w:r>
    </w:p>
  </w:footnote>
  <w:footnote w:id="31">
    <w:p>
      <w:pPr>
        <w:pStyle w:val="FootnoteText"/>
      </w:pPr>
      <w:r>
        <w:rPr>
          <w:rStyle w:val="FootnoteReference"/>
        </w:rPr>
        <w:footnoteRef/>
      </w:r>
      <w:r>
        <w:t xml:space="preserve"> </w:t>
      </w:r>
      <w:r>
        <w:t xml:space="preserve">Halbwachs M. On Collective Memory / L. A. Coser (ed., trans.). Chicago: University of Chicago Press, 1992. P. 44.</w:t>
      </w:r>
    </w:p>
  </w:footnote>
  <w:footnote w:id="32">
    <w:p>
      <w:pPr>
        <w:pStyle w:val="FootnoteText"/>
      </w:pPr>
      <w:r>
        <w:rPr>
          <w:rStyle w:val="FootnoteReference"/>
        </w:rPr>
        <w:footnoteRef/>
      </w:r>
      <w:r>
        <w:t xml:space="preserve"> </w:t>
      </w:r>
      <w:r>
        <w:t xml:space="preserve">Assmann A. Cultural Memory and Western Civilization: Functions, Media, Archives. Cambridge: Cambridge University Press, 2011. P. 125.</w:t>
      </w:r>
    </w:p>
  </w:footnote>
  <w:footnote w:id="33">
    <w:p>
      <w:pPr>
        <w:pStyle w:val="FootnoteText"/>
      </w:pPr>
      <w:r>
        <w:rPr>
          <w:rStyle w:val="FootnoteReference"/>
        </w:rPr>
        <w:footnoteRef/>
      </w:r>
      <w:r>
        <w:t xml:space="preserve"> </w:t>
      </w:r>
      <w:r>
        <w:t xml:space="preserve">Ibid. P. 131.</w:t>
      </w:r>
    </w:p>
  </w:footnote>
  <w:footnote w:id="34">
    <w:p>
      <w:pPr>
        <w:pStyle w:val="FootnoteText"/>
      </w:pPr>
      <w:r>
        <w:rPr>
          <w:rStyle w:val="FootnoteReference"/>
        </w:rPr>
        <w:footnoteRef/>
      </w:r>
      <w:r>
        <w:t xml:space="preserve"> </w:t>
      </w:r>
      <w:r>
        <w:t xml:space="preserve">Ibid. P. 130.</w:t>
      </w:r>
    </w:p>
  </w:footnote>
  <w:footnote w:id="36">
    <w:p>
      <w:pPr>
        <w:pStyle w:val="FootnoteText"/>
      </w:pPr>
      <w:r>
        <w:rPr>
          <w:rStyle w:val="FootnoteReference"/>
        </w:rPr>
        <w:footnoteRef/>
      </w:r>
      <w:r>
        <w:t xml:space="preserve"> </w:t>
      </w:r>
      <w:r>
        <w:t xml:space="preserve">Assmann A. Re-framing Memory: Between Individual and Collective Forms of Constructing the Past // Performing the Past: Memory, History, and Identity in Modern Europe / K. Tilmans, F. van Vree, J. Winter (eds.). Amsterdam: Amsterdam University Press, 2010. P. 43.</w:t>
      </w:r>
    </w:p>
  </w:footnote>
  <w:footnote w:id="37">
    <w:p>
      <w:pPr>
        <w:pStyle w:val="FootnoteText"/>
      </w:pPr>
      <w:r>
        <w:rPr>
          <w:rStyle w:val="FootnoteReference"/>
        </w:rPr>
        <w:footnoteRef/>
      </w:r>
      <w:r>
        <w:t xml:space="preserve"> </w:t>
      </w:r>
      <w:r>
        <w:t xml:space="preserve">Ibid.</w:t>
      </w:r>
    </w:p>
  </w:footnote>
  <w:footnote w:id="38">
    <w:p>
      <w:pPr>
        <w:pStyle w:val="FootnoteText"/>
      </w:pPr>
      <w:r>
        <w:rPr>
          <w:rStyle w:val="FootnoteReference"/>
        </w:rPr>
        <w:footnoteRef/>
      </w:r>
      <w:r>
        <w:t xml:space="preserve"> </w:t>
      </w:r>
      <w:r>
        <w:t xml:space="preserve">Ibid. P. 49.</w:t>
      </w:r>
    </w:p>
  </w:footnote>
  <w:footnote w:id="39">
    <w:p>
      <w:pPr>
        <w:pStyle w:val="FootnoteText"/>
      </w:pPr>
      <w:r>
        <w:rPr>
          <w:rStyle w:val="FootnoteReference"/>
        </w:rPr>
        <w:footnoteRef/>
      </w:r>
      <w:r>
        <w:t xml:space="preserve"> </w:t>
      </w:r>
      <w:r>
        <w:t xml:space="preserve">Judt T. The Past Is Another Country: Myth and Memory in Postwar Europe // Daedalus. 1992. Vol. 121, No. 4. P. 89.</w:t>
      </w:r>
    </w:p>
  </w:footnote>
  <w:footnote w:id="40">
    <w:p>
      <w:pPr>
        <w:pStyle w:val="FootnoteText"/>
      </w:pPr>
      <w:r>
        <w:rPr>
          <w:rStyle w:val="FootnoteReference"/>
        </w:rPr>
        <w:footnoteRef/>
      </w:r>
      <w:r>
        <w:t xml:space="preserve"> </w:t>
      </w:r>
      <w:r>
        <w:t xml:space="preserve">Ibid. P. 92.</w:t>
      </w:r>
    </w:p>
  </w:footnote>
  <w:footnote w:id="41">
    <w:p>
      <w:pPr>
        <w:pStyle w:val="FootnoteText"/>
      </w:pPr>
      <w:r>
        <w:rPr>
          <w:rStyle w:val="FootnoteReference"/>
        </w:rPr>
        <w:footnoteRef/>
      </w:r>
      <w:r>
        <w:t xml:space="preserve"> </w:t>
      </w:r>
      <w:r>
        <w:t xml:space="preserve">Traverso E. Le passé: Modes d’emploi. Histoire, mémoire, politique. Paris: La Fabrique Éditions, 2005. P. 11.</w:t>
      </w:r>
    </w:p>
  </w:footnote>
  <w:footnote w:id="42">
    <w:p>
      <w:pPr>
        <w:pStyle w:val="FootnoteText"/>
      </w:pPr>
      <w:r>
        <w:rPr>
          <w:rStyle w:val="FootnoteReference"/>
        </w:rPr>
        <w:footnoteRef/>
      </w:r>
      <w:r>
        <w:t xml:space="preserve"> </w:t>
      </w:r>
      <w:r>
        <w:t xml:space="preserve">Ibid.</w:t>
      </w:r>
    </w:p>
  </w:footnote>
  <w:footnote w:id="43">
    <w:p>
      <w:pPr>
        <w:pStyle w:val="FootnoteText"/>
      </w:pPr>
      <w:r>
        <w:rPr>
          <w:rStyle w:val="FootnoteReference"/>
        </w:rPr>
        <w:footnoteRef/>
      </w:r>
      <w:r>
        <w:t xml:space="preserve"> </w:t>
      </w:r>
      <w:r>
        <w:t xml:space="preserve">Ibid. P. 70.</w:t>
      </w:r>
    </w:p>
  </w:footnote>
  <w:footnote w:id="45">
    <w:p>
      <w:pPr>
        <w:pStyle w:val="FootnoteText"/>
      </w:pPr>
      <w:r>
        <w:rPr>
          <w:rStyle w:val="FootnoteReference"/>
        </w:rPr>
        <w:footnoteRef/>
      </w:r>
      <w:r>
        <w:t xml:space="preserve"> </w:t>
      </w:r>
      <w:r>
        <w:t xml:space="preserve">Hoskins A. Media, Memory, Metaphor: Remembering and the Connective Turn // Parallax. 2011. Vol. 17, No. 4. P. 19–31.</w:t>
      </w:r>
    </w:p>
  </w:footnote>
  <w:footnote w:id="46">
    <w:p>
      <w:pPr>
        <w:pStyle w:val="FootnoteText"/>
      </w:pPr>
      <w:r>
        <w:rPr>
          <w:rStyle w:val="FootnoteReference"/>
        </w:rPr>
        <w:footnoteRef/>
      </w:r>
      <w:r>
        <w:t xml:space="preserve"> </w:t>
      </w:r>
      <w:r>
        <w:t xml:space="preserve">Ibid.</w:t>
      </w:r>
    </w:p>
  </w:footnote>
  <w:footnote w:id="47">
    <w:p>
      <w:pPr>
        <w:pStyle w:val="FootnoteText"/>
      </w:pPr>
      <w:r>
        <w:rPr>
          <w:rStyle w:val="FootnoteReference"/>
        </w:rPr>
        <w:footnoteRef/>
      </w:r>
      <w:r>
        <w:t xml:space="preserve"> </w:t>
      </w:r>
      <w:r>
        <w:t xml:space="preserve">Kansteiner W. The Holocaust in the 21st Century: Digital Anxiety, Transnational Cosmopolitanism, and Never Again Genocide Without Memory // Digital Memory Studies: Media Pasts in Transition / A. Hoskins (ed.). London: Routledge, 2018. P. 118.</w:t>
      </w:r>
    </w:p>
  </w:footnote>
  <w:footnote w:id="48">
    <w:p>
      <w:pPr>
        <w:pStyle w:val="FootnoteText"/>
      </w:pPr>
      <w:r>
        <w:rPr>
          <w:rStyle w:val="FootnoteReference"/>
        </w:rPr>
        <w:footnoteRef/>
      </w:r>
      <w:r>
        <w:t xml:space="preserve"> </w:t>
      </w:r>
      <w:r>
        <w:t xml:space="preserve">Ibid.</w:t>
      </w:r>
    </w:p>
  </w:footnote>
  <w:footnote w:id="49">
    <w:p>
      <w:pPr>
        <w:pStyle w:val="FootnoteText"/>
      </w:pPr>
      <w:r>
        <w:rPr>
          <w:rStyle w:val="FootnoteReference"/>
        </w:rPr>
        <w:footnoteRef/>
      </w:r>
      <w:r>
        <w:t xml:space="preserve"> </w:t>
      </w:r>
      <w:r>
        <w:t xml:space="preserve">Hoskins A. Media, Memory, Metaphor. P. 24.</w:t>
      </w:r>
    </w:p>
  </w:footnote>
  <w:footnote w:id="50">
    <w:p>
      <w:pPr>
        <w:pStyle w:val="FootnoteText"/>
      </w:pPr>
      <w:r>
        <w:rPr>
          <w:rStyle w:val="FootnoteReference"/>
        </w:rPr>
        <w:footnoteRef/>
      </w:r>
      <w:r>
        <w:t xml:space="preserve"> </w:t>
      </w:r>
      <w:r>
        <w:t xml:space="preserve">Ernst W. Digital Memory and the Archive. Minneapolis: University of Minnesota Press, 2013.</w:t>
      </w:r>
    </w:p>
  </w:footnote>
  <w:footnote w:id="51">
    <w:p>
      <w:pPr>
        <w:pStyle w:val="FootnoteText"/>
      </w:pPr>
      <w:r>
        <w:rPr>
          <w:rStyle w:val="FootnoteReference"/>
        </w:rPr>
        <w:footnoteRef/>
      </w:r>
      <w:r>
        <w:t xml:space="preserve"> </w:t>
      </w:r>
      <w:r>
        <w:t xml:space="preserve">Silverstone R. Media and Morality: On the Rise of the Mediapolis. Cambridge: Polity, 2007.</w:t>
      </w:r>
    </w:p>
  </w:footnote>
  <w:footnote w:id="52">
    <w:p>
      <w:pPr>
        <w:pStyle w:val="FootnoteText"/>
      </w:pPr>
      <w:r>
        <w:rPr>
          <w:rStyle w:val="FootnoteReference"/>
        </w:rPr>
        <w:footnoteRef/>
      </w:r>
      <w:r>
        <w:t xml:space="preserve"> </w:t>
      </w:r>
      <w:r>
        <w:t xml:space="preserve">Ibid. P. 136.</w:t>
      </w:r>
    </w:p>
  </w:footnote>
  <w:footnote w:id="54">
    <w:p>
      <w:pPr>
        <w:pStyle w:val="FootnoteText"/>
      </w:pPr>
      <w:r>
        <w:rPr>
          <w:rStyle w:val="FootnoteReference"/>
        </w:rPr>
        <w:footnoteRef/>
      </w:r>
      <w:r>
        <w:t xml:space="preserve"> </w:t>
      </w:r>
      <w:r>
        <w:t xml:space="preserve">Bennett T. The Exhibitionary Complex // New Formations. 1988. No. 4. P. 73–102.</w:t>
      </w:r>
    </w:p>
  </w:footnote>
  <w:footnote w:id="55">
    <w:p>
      <w:pPr>
        <w:pStyle w:val="FootnoteText"/>
      </w:pPr>
      <w:r>
        <w:rPr>
          <w:rStyle w:val="FootnoteReference"/>
        </w:rPr>
        <w:footnoteRef/>
      </w:r>
      <w:r>
        <w:t xml:space="preserve"> </w:t>
      </w:r>
      <w:r>
        <w:t xml:space="preserve">Ibid. P. 81.</w:t>
      </w:r>
    </w:p>
  </w:footnote>
  <w:footnote w:id="56">
    <w:p>
      <w:pPr>
        <w:pStyle w:val="FootnoteText"/>
      </w:pPr>
      <w:r>
        <w:rPr>
          <w:rStyle w:val="FootnoteReference"/>
        </w:rPr>
        <w:footnoteRef/>
      </w:r>
      <w:r>
        <w:t xml:space="preserve"> </w:t>
      </w:r>
      <w:r>
        <w:t xml:space="preserve">Hooper-Greenhill E. Museums and the Interpretation of Visual Culture. London: Routledge, 2000. P. 8.</w:t>
      </w:r>
    </w:p>
  </w:footnote>
  <w:footnote w:id="57">
    <w:p>
      <w:pPr>
        <w:pStyle w:val="FootnoteText"/>
      </w:pPr>
      <w:r>
        <w:rPr>
          <w:rStyle w:val="FootnoteReference"/>
        </w:rPr>
        <w:footnoteRef/>
      </w:r>
      <w:r>
        <w:t xml:space="preserve"> </w:t>
      </w:r>
      <w:r>
        <w:t xml:space="preserve">Ibid. P. 132–133.</w:t>
      </w:r>
    </w:p>
  </w:footnote>
  <w:footnote w:id="58">
    <w:p>
      <w:pPr>
        <w:pStyle w:val="FootnoteText"/>
      </w:pPr>
      <w:r>
        <w:rPr>
          <w:rStyle w:val="FootnoteReference"/>
        </w:rPr>
        <w:footnoteRef/>
      </w:r>
      <w:r>
        <w:t xml:space="preserve"> </w:t>
      </w:r>
      <w:r>
        <w:t xml:space="preserve">Huyssen A. Present Pasts: Urban Palimpsests and the Politics of Memory. Stanford: Stanford University Press, 2003.</w:t>
      </w:r>
    </w:p>
  </w:footnote>
  <w:footnote w:id="59">
    <w:p>
      <w:pPr>
        <w:pStyle w:val="FootnoteText"/>
      </w:pPr>
      <w:r>
        <w:rPr>
          <w:rStyle w:val="FootnoteReference"/>
        </w:rPr>
        <w:footnoteRef/>
      </w:r>
      <w:r>
        <w:t xml:space="preserve"> </w:t>
      </w:r>
      <w:r>
        <w:t xml:space="preserve">Ibid. P. 7.</w:t>
      </w:r>
    </w:p>
  </w:footnote>
  <w:footnote w:id="61">
    <w:p>
      <w:pPr>
        <w:pStyle w:val="FootnoteText"/>
      </w:pPr>
      <w:r>
        <w:rPr>
          <w:rStyle w:val="FootnoteReference"/>
        </w:rPr>
        <w:footnoteRef/>
      </w:r>
      <w:r>
        <w:t xml:space="preserve"> </w:t>
      </w:r>
      <w:r>
        <w:t xml:space="preserve">O’Neill P. The Culture of Curating and the Curating of Culture(s). Cambridge, MA: MIT Press, 2012. P. 1.</w:t>
      </w:r>
    </w:p>
  </w:footnote>
  <w:footnote w:id="62">
    <w:p>
      <w:pPr>
        <w:pStyle w:val="FootnoteText"/>
      </w:pPr>
      <w:r>
        <w:rPr>
          <w:rStyle w:val="FootnoteReference"/>
        </w:rPr>
        <w:footnoteRef/>
      </w:r>
      <w:r>
        <w:t xml:space="preserve"> </w:t>
      </w:r>
      <w:r>
        <w:t xml:space="preserve">Smith T. Thinking Contemporary Curating. New York: Independent Curators International, 2012. P. 12.</w:t>
      </w:r>
    </w:p>
  </w:footnote>
  <w:footnote w:id="63">
    <w:p>
      <w:pPr>
        <w:pStyle w:val="FootnoteText"/>
      </w:pPr>
      <w:r>
        <w:rPr>
          <w:rStyle w:val="FootnoteReference"/>
        </w:rPr>
        <w:footnoteRef/>
      </w:r>
      <w:r>
        <w:t xml:space="preserve"> </w:t>
      </w:r>
      <w:r>
        <w:t xml:space="preserve">O’Neill P. The Culture of Curating. P. 32.</w:t>
      </w:r>
    </w:p>
  </w:footnote>
  <w:footnote w:id="64">
    <w:p>
      <w:pPr>
        <w:pStyle w:val="FootnoteText"/>
      </w:pPr>
      <w:r>
        <w:rPr>
          <w:rStyle w:val="FootnoteReference"/>
        </w:rPr>
        <w:footnoteRef/>
      </w:r>
      <w:r>
        <w:t xml:space="preserve"> </w:t>
      </w:r>
      <w:r>
        <w:t xml:space="preserve">Manovich L. The Language of New Media. Cambridge, MA: MIT Press, 2001. P. 76.</w:t>
      </w:r>
    </w:p>
  </w:footnote>
  <w:footnote w:id="65">
    <w:p>
      <w:pPr>
        <w:pStyle w:val="FootnoteText"/>
      </w:pPr>
      <w:r>
        <w:rPr>
          <w:rStyle w:val="FootnoteReference"/>
        </w:rPr>
        <w:footnoteRef/>
      </w:r>
      <w:r>
        <w:t xml:space="preserve"> </w:t>
      </w:r>
      <w:r>
        <w:t xml:space="preserve">Parry R. (ed.). Museums in a Digital Age. London: Routledge, 2010. P. 454.</w:t>
      </w:r>
    </w:p>
  </w:footnote>
  <w:footnote w:id="66">
    <w:p>
      <w:pPr>
        <w:pStyle w:val="FootnoteText"/>
      </w:pPr>
      <w:r>
        <w:rPr>
          <w:rStyle w:val="FootnoteReference"/>
        </w:rPr>
        <w:footnoteRef/>
      </w:r>
      <w:r>
        <w:t xml:space="preserve"> </w:t>
      </w:r>
      <w:r>
        <w:t xml:space="preserve">Macdonald S. Interconnecting: Museum Visiting and Exhibition Design // CoDesign. 2007. Vol. 3, sup1. P. 149.</w:t>
      </w:r>
    </w:p>
  </w:footnote>
  <w:footnote w:id="67">
    <w:p>
      <w:pPr>
        <w:pStyle w:val="FootnoteText"/>
      </w:pPr>
      <w:r>
        <w:rPr>
          <w:rStyle w:val="FootnoteReference"/>
        </w:rPr>
        <w:footnoteRef/>
      </w:r>
      <w:r>
        <w:t xml:space="preserve"> </w:t>
      </w:r>
      <w:r>
        <w:t xml:space="preserve">Ibid. P. 157.</w:t>
      </w:r>
    </w:p>
  </w:footnote>
  <w:footnote w:id="68">
    <w:p>
      <w:pPr>
        <w:pStyle w:val="FootnoteText"/>
      </w:pPr>
      <w:r>
        <w:rPr>
          <w:rStyle w:val="FootnoteReference"/>
        </w:rPr>
        <w:footnoteRef/>
      </w:r>
      <w:r>
        <w:t xml:space="preserve"> </w:t>
      </w:r>
      <w:r>
        <w:t xml:space="preserve">Ibid. P. 155.</w:t>
      </w:r>
    </w:p>
  </w:footnote>
  <w:footnote w:id="69">
    <w:p>
      <w:pPr>
        <w:pStyle w:val="FootnoteText"/>
      </w:pPr>
      <w:r>
        <w:rPr>
          <w:rStyle w:val="FootnoteReference"/>
        </w:rPr>
        <w:footnoteRef/>
      </w:r>
      <w:r>
        <w:t xml:space="preserve"> </w:t>
      </w:r>
      <w:r>
        <w:t xml:space="preserve">Williams P. Memorial Museums: The Global Rush to Commemorate Atrocities. Oxford; New York: Berg, 2007. P. 8.</w:t>
      </w:r>
    </w:p>
  </w:footnote>
  <w:footnote w:id="70">
    <w:p>
      <w:pPr>
        <w:pStyle w:val="FootnoteText"/>
      </w:pPr>
      <w:r>
        <w:rPr>
          <w:rStyle w:val="FootnoteReference"/>
        </w:rPr>
        <w:footnoteRef/>
      </w:r>
      <w:r>
        <w:t xml:space="preserve"> </w:t>
      </w:r>
      <w:r>
        <w:t xml:space="preserve">Ibid. P. 25.</w:t>
      </w:r>
    </w:p>
  </w:footnote>
  <w:footnote w:id="71">
    <w:p>
      <w:pPr>
        <w:pStyle w:val="FootnoteText"/>
      </w:pPr>
      <w:r>
        <w:rPr>
          <w:rStyle w:val="FootnoteReference"/>
        </w:rPr>
        <w:footnoteRef/>
      </w:r>
      <w:r>
        <w:t xml:space="preserve"> </w:t>
      </w:r>
      <w:r>
        <w:t xml:space="preserve">Ibid.</w:t>
      </w:r>
    </w:p>
  </w:footnote>
  <w:footnote w:id="72">
    <w:p>
      <w:pPr>
        <w:pStyle w:val="FootnoteText"/>
      </w:pPr>
      <w:r>
        <w:rPr>
          <w:rStyle w:val="FootnoteReference"/>
        </w:rPr>
        <w:footnoteRef/>
      </w:r>
      <w:r>
        <w:t xml:space="preserve"> </w:t>
      </w:r>
      <w:r>
        <w:t xml:space="preserve">Ibid. P. 8.</w:t>
      </w:r>
    </w:p>
  </w:footnote>
  <w:footnote w:id="73">
    <w:p>
      <w:pPr>
        <w:pStyle w:val="FootnoteText"/>
      </w:pPr>
      <w:r>
        <w:rPr>
          <w:rStyle w:val="FootnoteReference"/>
        </w:rPr>
        <w:footnoteRef/>
      </w:r>
      <w:r>
        <w:t xml:space="preserve"> </w:t>
      </w:r>
      <w:r>
        <w:t xml:space="preserve">Ibid. P. 126.</w:t>
      </w:r>
    </w:p>
  </w:footnote>
  <w:footnote w:id="74">
    <w:p>
      <w:pPr>
        <w:pStyle w:val="FootnoteText"/>
      </w:pPr>
      <w:r>
        <w:rPr>
          <w:rStyle w:val="FootnoteReference"/>
        </w:rPr>
        <w:footnoteRef/>
      </w:r>
      <w:r>
        <w:t xml:space="preserve"> </w:t>
      </w:r>
      <w:r>
        <w:t xml:space="preserve">Sodaro A. Exhibiting Atrocity: Memorial Museums and the Politics of Past Violence. New Brunswick: Rutgers University Press, 2018. P. 180.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2026-05-16T07:42:47Z</dcterms:created>
  <dcterms:modified xsi:type="dcterms:W3CDTF">2026-05-16T07:42:47Z</dcterms:modified>
</cp:coreProperties>
</file>

<file path=docProps/custom.xml><?xml version="1.0" encoding="utf-8"?>
<Properties xmlns="http://schemas.openxmlformats.org/officeDocument/2006/custom-properties" xmlns:vt="http://schemas.openxmlformats.org/officeDocument/2006/docPropsVTypes"/>
</file>