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глава-1.-теоретическая-рамка"/>
    <w:p>
      <w:pPr>
        <w:pStyle w:val="Heading1"/>
      </w:pPr>
      <w:r>
        <w:t xml:space="preserve">ГЛАВА 1. ТЕОРЕТИЧЕСКАЯ РАМКА</w:t>
      </w:r>
    </w:p>
    <w:bookmarkStart w:id="30" w:name="медиатизация-культуры"/>
    <w:p>
      <w:pPr>
        <w:pStyle w:val="Heading2"/>
      </w:pPr>
      <w:r>
        <w:t xml:space="preserve">1.1 Медиатизация культуры</w:t>
      </w:r>
    </w:p>
    <w:p>
      <w:pPr>
        <w:pStyle w:val="FirstParagraph"/>
      </w:pPr>
      <w:r>
        <w:t xml:space="preserve">Современные культурные процессы описываются через понятие «медиатизации». Этот термин фиксирует изменения в обществе под влиянием медиа. Особенно сильно эти изменения видны в эпоху цифровых медиа. Понятие медиатизации детально разработал Стиг Хьярвард. Он определил его как центральное понятие в теории, которая объясняет изменение роли медиа в культуре и обществе</w:t>
      </w:r>
      <w:r>
        <w:rPr>
          <w:rStyle w:val="FootnoteReference"/>
        </w:rPr>
        <w:footnoteReference w:id="20"/>
      </w:r>
      <w:r>
        <w:t xml:space="preserve">. По С. Хьярварду, медиатизация общества — это процесс, в котором общество подчиняется логике медиа и зависит от неё</w:t>
      </w:r>
      <w:r>
        <w:rPr>
          <w:rStyle w:val="FootnoteReference"/>
        </w:rPr>
        <w:footnoteReference w:id="21"/>
      </w:r>
      <w:r>
        <w:t xml:space="preserve">.</w:t>
      </w:r>
    </w:p>
    <w:p>
      <w:pPr>
        <w:pStyle w:val="BodyText"/>
      </w:pPr>
      <w:r>
        <w:t xml:space="preserve">Концепция медиатизации С. Хьярварда важна для данного исследования потому, что она встраивает кураторскую работу в медийную среду. У этой среды есть собственная логика. Эта логика участвует в производстве политической памяти. Любое кураторское решение в мультимедийной выставке принимается внутри такой среды.</w:t>
      </w:r>
    </w:p>
    <w:p>
      <w:pPr>
        <w:pStyle w:val="BodyText"/>
      </w:pPr>
      <w:r>
        <w:t xml:space="preserve">С. Хьярвард рассматривает медиа как самостоятельный институт. У этого института есть свой набор правил, форматов и принципов работы. Социальное взаимодействие внутри институтов и в обществе всё чаще идёт через медиа</w:t>
      </w:r>
      <w:r>
        <w:rPr>
          <w:rStyle w:val="FootnoteReference"/>
        </w:rPr>
        <w:footnoteReference w:id="22"/>
      </w:r>
      <w:r>
        <w:t xml:space="preserve">.</w:t>
      </w:r>
    </w:p>
    <w:p>
      <w:pPr>
        <w:pStyle w:val="BodyText"/>
      </w:pPr>
      <w:r>
        <w:t xml:space="preserve">Понятие медиалогики важно для данного исследования потому, что оно даёт язык описания мультимедийного формата. У каждого формата есть свои аффордансы и свои ограничения. Куратор работает с обоими.</w:t>
      </w:r>
    </w:p>
    <w:p>
      <w:pPr>
        <w:pStyle w:val="BodyText"/>
      </w:pPr>
      <w:r>
        <w:t xml:space="preserve">С. Хьярвард различает две формы медиатизации: прямую (сильную) и косвенную (слабую)</w:t>
      </w:r>
      <w:r>
        <w:rPr>
          <w:rStyle w:val="FootnoteReference"/>
        </w:rPr>
        <w:footnoteReference w:id="23"/>
      </w:r>
      <w:r>
        <w:t xml:space="preserve">. Прямая медиатизация работает там, где деятельность преобразуется в опосредованную форму. Косвенная медиатизация работает иначе. Деятельность сохраняется в прежнем виде, медиа меняют её форму, содержание или организацию. Эти формы часто действуют вместе</w:t>
      </w:r>
      <w:r>
        <w:rPr>
          <w:rStyle w:val="FootnoteReference"/>
        </w:rPr>
        <w:footnoteReference w:id="24"/>
      </w:r>
      <w:r>
        <w:t xml:space="preserve">.</w:t>
      </w:r>
    </w:p>
    <w:p>
      <w:pPr>
        <w:pStyle w:val="BodyText"/>
      </w:pPr>
      <w:r>
        <w:t xml:space="preserve">Различение прямой и косвенной медиатизации важно для данного исследования потому, что мультимедийная выставка о геноциде задействует обе формы. Сам мультимедийный формат относится к прямой медиатизации. Принципы построения нарратива внутри этого формата относятся к косвенной.</w:t>
      </w:r>
    </w:p>
    <w:p>
      <w:pPr>
        <w:pStyle w:val="BodyText"/>
      </w:pPr>
      <w:r>
        <w:t xml:space="preserve">Андреас Хепп предложил понятие глубинной медиатизации. Это понятие фиксирует современный масштаб процесса. Медиатизация охватывает все уровни социальной жизни. А. Хепп выделяет пять количественных признаков этой стадии: рост разнообразия цифровых устройств, их растущая связанность, их повсеместность, ускорение технических инноваций, превращение повседневной жизни в данные</w:t>
      </w:r>
      <w:r>
        <w:rPr>
          <w:rStyle w:val="FootnoteReference"/>
        </w:rPr>
        <w:footnoteReference w:id="25"/>
      </w:r>
      <w:r>
        <w:t xml:space="preserve">.</w:t>
      </w:r>
    </w:p>
    <w:p>
      <w:pPr>
        <w:pStyle w:val="BodyText"/>
      </w:pPr>
      <w:r>
        <w:t xml:space="preserve">Понятие глубинной медиатизации А. Хеппа важно для данного исследования потому, что оно задаёт способ совместного разговора о содержании выставки и её технологии. В условиях глубокой медиатизации эти слои переплетены. Исследовательский вопрос звучит так: какая версия памяти возможна в такой среде.</w:t>
      </w:r>
    </w:p>
    <w:p>
      <w:pPr>
        <w:pStyle w:val="BodyText"/>
      </w:pPr>
      <w:r>
        <w:t xml:space="preserve">А. Хепп критикует понятие единой медиалогики. По его подходу, медиатизация работает в конкретном контексте</w:t>
      </w:r>
      <w:r>
        <w:rPr>
          <w:rStyle w:val="FootnoteReference"/>
        </w:rPr>
        <w:footnoteReference w:id="26"/>
      </w:r>
      <w:r>
        <w:t xml:space="preserve">. А. Хепп предлагает понятие формообразующих сил медиа. Эти силы проявляются только в конкретной ситуации. Также А. Хепп вводит понятие медиатизированных миров. Это небольшие жизненные миры, в которых медиа становятся главным способом производства смысла</w:t>
      </w:r>
      <w:r>
        <w:rPr>
          <w:rStyle w:val="FootnoteReference"/>
        </w:rPr>
        <w:footnoteReference w:id="27"/>
      </w:r>
      <w:r>
        <w:t xml:space="preserve">.</w:t>
      </w:r>
    </w:p>
    <w:p>
      <w:pPr>
        <w:pStyle w:val="BodyText"/>
      </w:pPr>
      <w:r>
        <w:t xml:space="preserve">Подход А. Хеппа важен для данного исследования потому, что он требует анализировать выставку в её собственной логике. Анализ работает с тем, как именно эта конфигурация медиа производит смысл в данном случае.</w:t>
      </w:r>
    </w:p>
    <w:p>
      <w:pPr>
        <w:pStyle w:val="BodyText"/>
      </w:pPr>
      <w:r>
        <w:t xml:space="preserve">Питер Бергер и Томас Лукман сформулировали идею социального конструирования реальности. По их концепции, общество — продукт человеческой деятельности. Общество существует как объективная реальность. Человек — социальный продукт. Человек формируется под влиянием общества</w:t>
      </w:r>
      <w:r>
        <w:rPr>
          <w:rStyle w:val="FootnoteReference"/>
        </w:rPr>
        <w:footnoteReference w:id="28"/>
      </w:r>
      <w:r>
        <w:t xml:space="preserve">.</w:t>
      </w:r>
    </w:p>
    <w:p>
      <w:pPr>
        <w:pStyle w:val="BodyText"/>
      </w:pPr>
      <w:r>
        <w:t xml:space="preserve">Концепция социального конструирования реальности П. Бергера и Т. Лукмана важна для данного исследования потому, что она задаёт общую эпистемологическую опору. Политическая память понимается как конструкт. Этот конструкт производят институции и символические средства. Каждое кураторское решение участвует в этом производстве.</w:t>
      </w:r>
    </w:p>
    <w:p>
      <w:pPr>
        <w:pStyle w:val="BodyText"/>
      </w:pPr>
      <w:r>
        <w:t xml:space="preserve">Ник Коулдри и А. Хепп предлагают определение глубинной медиатизации: «Deep mediatization is an advanced stage in which all elements of our social world are deeply intertwined with digital media and their underlying infrastructures»</w:t>
      </w:r>
      <w:r>
        <w:rPr>
          <w:rStyle w:val="FootnoteReference"/>
        </w:rPr>
        <w:footnoteReference w:id="29"/>
      </w:r>
      <w:r>
        <w:t xml:space="preserve">.</w:t>
      </w:r>
    </w:p>
    <w:p>
      <w:pPr>
        <w:pStyle w:val="BodyText"/>
      </w:pPr>
      <w:r>
        <w:t xml:space="preserve">Определение Н. Коулдри и А. Хеппа важно для данного исследования потому, что оно встраивает цифровые компоненты выставки в инфраструктуру производства смыслов. Содержание и технология даны вместе. Анализ работает с ними как с единым целым. Медиатизация культуры образует первую опору теоретической рамки.</w:t>
      </w:r>
    </w:p>
    <w:bookmarkEnd w:id="30"/>
    <w:bookmarkStart w:id="35" w:name="X968e70c8ca4ca7c194c6f64b88b5f25b8cc01c0"/>
    <w:p>
      <w:pPr>
        <w:pStyle w:val="Heading2"/>
      </w:pPr>
      <w:r>
        <w:t xml:space="preserve">1.2 Память как культурный и социальный процесс</w:t>
      </w:r>
    </w:p>
    <w:p>
      <w:pPr>
        <w:pStyle w:val="FirstParagraph"/>
      </w:pPr>
      <w:r>
        <w:t xml:space="preserve">Анализ кураторских решений требует понимания памяти как культурного и социального процесса. При таком понимании выставка предстаёт как пространство производства памяти. Отправной точкой выступает концепция социальных рамок памяти. Её предложил Морис Хальбвакс.</w:t>
      </w:r>
    </w:p>
    <w:p>
      <w:pPr>
        <w:pStyle w:val="BodyText"/>
      </w:pPr>
      <w:r>
        <w:t xml:space="preserve">Социальные рамки создают и направляют воспоминание. Воспоминание носит реконструктивный характер. Прошлое перестраивается под влиянием потребностей настоящего. М. Хальбвакс проводит различие между коллективной памятью и историей. Коллективная память — это общее переживание прошлого внутри группы. Эта память формирует идентичность группы. По М. Хальбваксу, «history begins only at the point where tradition ends and where social memory dissolves»</w:t>
      </w:r>
      <w:r>
        <w:rPr>
          <w:rStyle w:val="FootnoteReference"/>
        </w:rPr>
        <w:footnoteReference w:id="31"/>
      </w:r>
      <w:r>
        <w:t xml:space="preserve">.</w:t>
      </w:r>
    </w:p>
    <w:p>
      <w:pPr>
        <w:pStyle w:val="BodyText"/>
      </w:pPr>
      <w:r>
        <w:t xml:space="preserve">Концепция социальных рамок М. Хальбвакса важна для данного исследования потому, что она задаёт классификацию выставки «Геноциду — нет!». Эта выставка работает в режиме коллективной памяти. Она предлагает посетителю определённую версию прошлого. Эта версия встроена в идентичность армянского сообщества. В таком случае социальные рамки определяют сами создатели выставки.</w:t>
      </w:r>
    </w:p>
    <w:p>
      <w:pPr>
        <w:pStyle w:val="BodyText"/>
      </w:pPr>
      <w:r>
        <w:t xml:space="preserve">Алейда Ассман различает два типа культурной памяти: функциональную память и storage memory. По её формулировке, «functional memory is highly selective, and only gives presence to a fraction of memory’s contents»</w:t>
      </w:r>
      <w:r>
        <w:rPr>
          <w:rStyle w:val="FootnoteReference"/>
        </w:rPr>
        <w:footnoteReference w:id="32"/>
      </w:r>
      <w:r>
        <w:t xml:space="preserve">. Storage memory А. Ассман называет «резервуаром неиспользованных возможностей»</w:t>
      </w:r>
      <w:r>
        <w:rPr>
          <w:rStyle w:val="FootnoteReference"/>
        </w:rPr>
        <w:footnoteReference w:id="33"/>
      </w:r>
      <w:r>
        <w:t xml:space="preserve">. В storage memory содержатся знания, которые в данный момент не находят применения. Переход материала из storage memory в функциональную память происходит при определённых условиях. К таким условиям А. Ассман относит исторические и политические изменения. К ним же относятся кураторские проекты. Без подвижной границы между двумя типами памяти культурная память стала бы фиксированной и абсолютной</w:t>
      </w:r>
      <w:r>
        <w:rPr>
          <w:rStyle w:val="FootnoteReference"/>
        </w:rPr>
        <w:footnoteReference w:id="34"/>
      </w:r>
      <w:r>
        <w:t xml:space="preserve">.</w:t>
      </w:r>
    </w:p>
    <w:p>
      <w:pPr>
        <w:pStyle w:val="BodyText"/>
      </w:pPr>
      <w:r>
        <w:t xml:space="preserve">Различение функциональной памяти и storage memory А. Ассман важно для данного исследования потому, что оно описывает механизм работы кураторов с архивом. Кураторы выставки выбирают, какие архивные материалы переходят в функциональную память. Эмпирический вопрос исследования формулируется через это различение. Анализ спрашивает: какие материалы переводятся в актуальную память и какими средствами это происходит.</w:t>
      </w:r>
    </w:p>
    <w:bookmarkEnd w:id="35"/>
    <w:bookmarkStart w:id="44" w:name="X0c4708b31d00b9b0fd0b56288f1b5c5287ea81d"/>
    <w:p>
      <w:pPr>
        <w:pStyle w:val="Heading2"/>
      </w:pPr>
      <w:r>
        <w:t xml:space="preserve">1.3 Политическая память и политика памяти: институциональное производство прошлого</w:t>
      </w:r>
    </w:p>
    <w:p>
      <w:pPr>
        <w:pStyle w:val="FirstParagraph"/>
      </w:pPr>
      <w:r>
        <w:t xml:space="preserve">Социальная память не требует специальных усилий по поддержанию. Она живёт в обычаях, разговорах, семейных историях. Политическая память требует целенаправленного производства.</w:t>
      </w:r>
    </w:p>
    <w:p>
      <w:pPr>
        <w:pStyle w:val="BodyText"/>
      </w:pPr>
      <w:r>
        <w:t xml:space="preserve">Это разграничение важно для данного исследования потому, что выставка «Геноциду — нет!» является институциональным проектом. Такой проект относится к режиму политической памяти.</w:t>
      </w:r>
    </w:p>
    <w:p>
      <w:pPr>
        <w:pStyle w:val="BodyText"/>
      </w:pPr>
      <w:r>
        <w:t xml:space="preserve">Одно из определений политической памяти даёт А. Ассман: «institutions and larger social groups, such as nations, states, the church, or a business firm do not</w:t>
      </w:r>
      <w:r>
        <w:t xml:space="preserve"> </w:t>
      </w:r>
      <w:r>
        <w:t xml:space="preserve">‘</w:t>
      </w:r>
      <w:r>
        <w:t xml:space="preserve">have</w:t>
      </w:r>
      <w:r>
        <w:t xml:space="preserve">’</w:t>
      </w:r>
      <w:r>
        <w:t xml:space="preserve"> </w:t>
      </w:r>
      <w:r>
        <w:t xml:space="preserve">a memory, they</w:t>
      </w:r>
      <w:r>
        <w:t xml:space="preserve"> </w:t>
      </w:r>
      <w:r>
        <w:t xml:space="preserve">‘</w:t>
      </w:r>
      <w:r>
        <w:t xml:space="preserve">make</w:t>
      </w:r>
      <w:r>
        <w:t xml:space="preserve">’</w:t>
      </w:r>
      <w:r>
        <w:t xml:space="preserve"> </w:t>
      </w:r>
      <w:r>
        <w:t xml:space="preserve">one for themselves with the aid of memorial signs such as monuments, museums, commemoration rites, and ceremonies»</w:t>
      </w:r>
      <w:r>
        <w:rPr>
          <w:rStyle w:val="FootnoteReference"/>
        </w:rPr>
        <w:footnoteReference w:id="36"/>
      </w:r>
      <w:r>
        <w:t xml:space="preserve">. Определение фиксирует ключевое свойство политической памяти. Она производится намеренно.</w:t>
      </w:r>
    </w:p>
    <w:p>
      <w:pPr>
        <w:pStyle w:val="BodyText"/>
      </w:pPr>
      <w:r>
        <w:t xml:space="preserve">Создание памяти сопровождается отбором. Одни события занимают место в официальной версии прошлого. Другие остаются за её пределами. Политическая память стремится к единообразию. Она сводит разные версии прошлого к одной и закрепляет её в материальных носителях. К таким носителям относятся памятники, музеи, ритуалы. Полученная версия передаётся следующим поколениям. По формулировке А. Ассман, «political memory is stabilized and can be transmitted from generation to generation»</w:t>
      </w:r>
      <w:r>
        <w:rPr>
          <w:rStyle w:val="FootnoteReference"/>
        </w:rPr>
        <w:footnoteReference w:id="37"/>
      </w:r>
      <w:r>
        <w:t xml:space="preserve">. Слово «стабилизируется» здесь имеет ключевое значение. В группе память живёт стихийно. В институции она требует постоянной работы по поддержанию.</w:t>
      </w:r>
    </w:p>
    <w:p>
      <w:pPr>
        <w:pStyle w:val="BodyText"/>
      </w:pPr>
      <w:r>
        <w:t xml:space="preserve">Концепция политической памяти как институциональной стабилизации А. Ассман важна для данного исследования потому, что она задаёт способ чтения отдельных элементов мемориальной выставки. Любой такой элемент работает на стабилизацию определённой версии прошлого.</w:t>
      </w:r>
    </w:p>
    <w:p>
      <w:pPr>
        <w:pStyle w:val="BodyText"/>
      </w:pPr>
      <w:r>
        <w:t xml:space="preserve">Политическая память задаёт нормативную рамку. Внутри этой рамки одни воспоминания получают статус легитимных. Другие воспоминания вытесняются</w:t>
      </w:r>
      <w:r>
        <w:rPr>
          <w:rStyle w:val="FootnoteReference"/>
        </w:rPr>
        <w:footnoteReference w:id="38"/>
      </w:r>
      <w:r>
        <w:t xml:space="preserve">. Признание события на государственном уровне определяет его место в нормативном символическом порядке. Этот вопрос имеет политическое измерение.</w:t>
      </w:r>
    </w:p>
    <w:p>
      <w:pPr>
        <w:pStyle w:val="BodyText"/>
      </w:pPr>
      <w:r>
        <w:t xml:space="preserve">Концепция нормативной рамки А. Ассман важна для данного исследования потому, что выставка «Геноциду — нет!» сама по себе является публичным актом признания геноцида армянского народа. В данной концепции это признание читается как акт нормативной стабилизации.</w:t>
      </w:r>
    </w:p>
    <w:p>
      <w:pPr>
        <w:pStyle w:val="BodyText"/>
      </w:pPr>
      <w:r>
        <w:t xml:space="preserve">Тони Джадт прослеживает механизм институциональной памяти на материале послевоенной Европы. Официальная память строилась на разделении. То, что было сделано «с нами», признавалось открыто. То, что сделали «мы сами», вытеснялось из общественного пространства</w:t>
      </w:r>
      <w:r>
        <w:rPr>
          <w:rStyle w:val="FootnoteReference"/>
        </w:rPr>
        <w:footnoteReference w:id="39"/>
      </w:r>
      <w:r>
        <w:t xml:space="preserve">. Представление себя жертвой и замалчивание собственной причастности является сознательным выбором. Одни воспоминания получают институциональную поддержку. Другие существуют ей вопреки.</w:t>
      </w:r>
    </w:p>
    <w:p>
      <w:pPr>
        <w:pStyle w:val="BodyText"/>
      </w:pPr>
      <w:r>
        <w:t xml:space="preserve">Т. Джадт показывает, что отбор сохраняемого неотделим от отбора устраняемого. Забвение организуется теми же институциями, что и память. Т. Джадт пишет о мемориальных практиках: «the construction of war memorials was undertaken, all of them with the same pedagogical message»</w:t>
      </w:r>
      <w:r>
        <w:rPr>
          <w:rStyle w:val="FootnoteReference"/>
        </w:rPr>
        <w:footnoteReference w:id="40"/>
      </w:r>
      <w:r>
        <w:t xml:space="preserve">. Мемориал в этой логике выполняет педагогическую функцию. Он становится способом конструирования памяти.</w:t>
      </w:r>
    </w:p>
    <w:p>
      <w:pPr>
        <w:pStyle w:val="BodyText"/>
      </w:pPr>
      <w:r>
        <w:t xml:space="preserve">Подход Т. Джадта важен для данного исследования потому, что он даёт язык для анализа распределения голоса на выставке. Анализ обращает внимание на тех, чьи голоса присутствуют. Анализ обращает внимание и на тех, чьи голоса остаются за пределами выставки. Эта структурная асимметрия характеризует любую мемориальную институцию.</w:t>
      </w:r>
    </w:p>
    <w:p>
      <w:pPr>
        <w:pStyle w:val="BodyText"/>
      </w:pPr>
      <w:r>
        <w:t xml:space="preserve">Энцо Траверсо формулирует подход к темпоральности политической памяти. По его словам, «Память всегда говорит в настоящем времени, которое определяет её модальности: отбор событий, достойных сохранения, и свидетелей, которых стоит слушать, их интерпретацию и их „уроки“»</w:t>
      </w:r>
      <w:r>
        <w:rPr>
          <w:rStyle w:val="FootnoteReference"/>
        </w:rPr>
        <w:footnoteReference w:id="41"/>
      </w:r>
      <w:r>
        <w:t xml:space="preserve">. Политическая память работает как инструмент настоящего. Решения о том, что помнить и как интерпретировать, отвечают актуальным политическим задачам.</w:t>
      </w:r>
    </w:p>
    <w:p>
      <w:pPr>
        <w:pStyle w:val="BodyText"/>
      </w:pPr>
      <w:r>
        <w:t xml:space="preserve">Концепции А. Ассман и Э. Траверсо важны для данного исследования вместе потому, что они описывают политическую память с двух сторон. А. Ассман описывает её структуру. Э. Траверсо описывает её темпоральность. В соединении этих подходов память производится институционально, и эта работа всегда направлена на текущие задачи.</w:t>
      </w:r>
    </w:p>
    <w:p>
      <w:pPr>
        <w:pStyle w:val="BodyText"/>
      </w:pPr>
      <w:r>
        <w:t xml:space="preserve">Э. Траверсо вводит понятие «долга памяти». Долг памяти может стать политическим инструментом: «Память превращается в политическую ставку и принимает форму этического требования „долга памяти“, которое нередко становится источником злоупотреблений»</w:t>
      </w:r>
      <w:r>
        <w:rPr>
          <w:rStyle w:val="FootnoteReference"/>
        </w:rPr>
        <w:footnoteReference w:id="42"/>
      </w:r>
      <w:r>
        <w:t xml:space="preserve">. Обязательство помнить работает на стороне жертв. Оно работает и на стороне тех, кто управляет мемориальным нарративом. Различие между этими исходами определяется конкретными механизмами производства памяти: тем, кто говорит, о чём говорит и что при этом умалчивает.</w:t>
      </w:r>
    </w:p>
    <w:p>
      <w:pPr>
        <w:pStyle w:val="BodyText"/>
      </w:pPr>
      <w:r>
        <w:t xml:space="preserve">Понятие «долга памяти» Э. Траверсо важно для данного исследования потому, что оно задаёт критическую оптику на мемориальную амбицию выставки. Выставка совершает акт признания жертв. Одновременно она стабилизирует определённый национальный нарратив. Анализ удерживает обе стороны этого процесса.</w:t>
      </w:r>
    </w:p>
    <w:p>
      <w:pPr>
        <w:pStyle w:val="BodyText"/>
      </w:pPr>
      <w:r>
        <w:t xml:space="preserve">Э. Траверсо фиксирует ещё одну закономерность. Память об одном историческом преступлении становится точкой отсчёта для восприятия других. Катастрофы, которые получили признание, обзаводятся мемориальной инфраструктурой. Те катастрофы, которые остаются без признания, выпадают из поля нормативной памяти. Э. Траверсо иллюстрирует это случаем геноцида в Руанде в апреле 1994 года. На тот момент геноцид ещё не был признан международным сообществом. Привлечь к нему внимание удавалось только через апелляцию к памяти о Холокосте. Э. Траверсо пишет: «Malheureusement, il est plus facile de commémorer les génocides, surtout à des décennies de distance, que de les empêcher»</w:t>
      </w:r>
      <w:r>
        <w:rPr>
          <w:rStyle w:val="FootnoteReference"/>
        </w:rPr>
        <w:footnoteReference w:id="43"/>
      </w:r>
      <w:r>
        <w:t xml:space="preserve">. Институциональная память обращена в прошлое. Она фиксирует те катастрофы, которые уже получили признание.</w:t>
      </w:r>
    </w:p>
    <w:p>
      <w:pPr>
        <w:pStyle w:val="BodyText"/>
      </w:pPr>
      <w:r>
        <w:t xml:space="preserve">Этот тезис Э. Траверсо важен для данного исследования потому, что геноцид армянского народа занимает особое положение в мемориальной экономии. Турция отрицает геноцид. Разные государства признают его неравномерно. Признание, которое производит выставка, действует внутри той же логики. Выставка вписывает событие в нормативную память. Одновременно она опирается на катастрофы, которые уже получили признание раньше.</w:t>
      </w:r>
    </w:p>
    <w:p>
      <w:pPr>
        <w:pStyle w:val="BodyText"/>
      </w:pPr>
      <w:r>
        <w:t xml:space="preserve">Три рассмотренных подхода формируют рамку анализа политической памяти. А. Ассман описывает её структуру. Т. Джадт показывает её действие через асимметрию голоса. Э. Траверсо вводит её темпоральность. Из этих трёх концепций следует общий вывод. Мемориальная выставка является пространством политики памяти по своему устройству. Институциональный выбор о том, что показать и как выстроить нарратив, имеет политическое измерение независимо от деклараций создателей.</w:t>
      </w:r>
    </w:p>
    <w:bookmarkEnd w:id="44"/>
    <w:bookmarkStart w:id="53" w:name="X8a51d2de3e27ce11e4f7098111067ccdd80ef47"/>
    <w:p>
      <w:pPr>
        <w:pStyle w:val="Heading2"/>
      </w:pPr>
      <w:r>
        <w:t xml:space="preserve">1.4 Цифровая трансформация памяти и музей как медиатизированная форма политики памяти</w:t>
      </w:r>
    </w:p>
    <w:p>
      <w:pPr>
        <w:pStyle w:val="FirstParagraph"/>
      </w:pPr>
      <w:r>
        <w:t xml:space="preserve">Цифровые медиа меняют природу памяти. Этот тезис формулирует Эндрю Хоскинс. Он предлагает концепцию коннективного поворота. Этот поворот описывает переход к культуре изобилия данных. Традиционные институты памяти оказываются под давлением</w:t>
      </w:r>
      <w:r>
        <w:rPr>
          <w:rStyle w:val="FootnoteReference"/>
        </w:rPr>
        <w:footnoteReference w:id="45"/>
      </w:r>
      <w:r>
        <w:t xml:space="preserve">. Память приобретает противоречивые свойства. Она одновременно закрепляет прошлое и лишает его устойчивости. В классической модели архив и музей выступали стабильными хранилищами памяти. Они обеспечивали её долговременную сохранность. В цифровую эпоху этот принцип размывается. Память приобретает характер постоянного обновления.</w:t>
      </w:r>
    </w:p>
    <w:p>
      <w:pPr>
        <w:pStyle w:val="BodyText"/>
      </w:pPr>
      <w:r>
        <w:t xml:space="preserve">Концепция коннективного поворота Э. Хоскинса важна для данного исследования потому, что она помещает выставку в условия современного кризиса мемориальных институций. Цифровой доступ к информации о геноциде конкурирует с физическим визитом. Кураторские решения принимаются с учётом этой конкуренции.</w:t>
      </w:r>
    </w:p>
    <w:p>
      <w:pPr>
        <w:pStyle w:val="BodyText"/>
      </w:pPr>
      <w:r>
        <w:t xml:space="preserve">Э. Хоскинс описывает среду, в которой медиа и память не сводятся к одному носителю. Музеи, выставки и архивы пережили «второй бум памяти» во второй половине XX века. Это был период расцвета институциональной культуры памяти</w:t>
      </w:r>
      <w:r>
        <w:rPr>
          <w:rStyle w:val="FootnoteReference"/>
        </w:rPr>
        <w:footnoteReference w:id="46"/>
      </w:r>
      <w:r>
        <w:t xml:space="preserve">. В цифровую эпоху этот институциональный пик переходит в кризис. Уверенность аудитории в доступности информации онлайн ведёт к оттоку посетителей. Э. Хоскинс называет это культурой пост-дефицита. Избыток информации подрывает авторитет институций, которые её хранят.</w:t>
      </w:r>
    </w:p>
    <w:p>
      <w:pPr>
        <w:pStyle w:val="BodyText"/>
      </w:pPr>
      <w:r>
        <w:t xml:space="preserve">Понятие новой мемориальной экологии Э. Хоскинса важно для данного исследования потому, что оно объясняет работу выставки с присутствием и атмосферой. Физический визит на выставку требует обоснования. Это обоснование строится через опыт, недоступный онлайн.</w:t>
      </w:r>
    </w:p>
    <w:p>
      <w:pPr>
        <w:pStyle w:val="BodyText"/>
      </w:pPr>
      <w:r>
        <w:t xml:space="preserve">Кризис посещаемости отражает более глубокий сдвиг. Вульф Канштайнер анализирует цифровые практики в музеях Холокоста. По его наблюдению, институции стали зависимы от цифровой технологии: «Successfully staging historical authenticity for today’s audiences requires digital technology. All these exhibits teem with digital media as they surround their visitors with re-mastered photos, sound recordings, and film footage»</w:t>
      </w:r>
      <w:r>
        <w:rPr>
          <w:rStyle w:val="FootnoteReference"/>
        </w:rPr>
        <w:footnoteReference w:id="47"/>
      </w:r>
      <w:r>
        <w:t xml:space="preserve">. Технология здесь не отменяет институционального контроля над интерпретацией. Она воспроизводит этот контроль в новых формах. В. Канштайнер описывает роль посетителя в цифровом мемориале так: «visitors are cast in relatively passive roles; they can watch, read, and listen but there are few explicit invitations to participate in the sense-making endeavor»</w:t>
      </w:r>
      <w:r>
        <w:rPr>
          <w:rStyle w:val="FootnoteReference"/>
        </w:rPr>
        <w:footnoteReference w:id="48"/>
      </w:r>
      <w:r>
        <w:t xml:space="preserve">.</w:t>
      </w:r>
    </w:p>
    <w:p>
      <w:pPr>
        <w:pStyle w:val="BodyText"/>
      </w:pPr>
      <w:r>
        <w:t xml:space="preserve">Аргумент В. Канштайнера важен для данного исследования потому, что он раскрывает значимое противоречие. Мультимедийный формат выставки создаёт видимость технологической открытости. Кураторские решения об отборе голосов и о роли посетителя сохраняют институциональную природу. Анализ удерживает это противоречие в фокусе.</w:t>
      </w:r>
    </w:p>
    <w:p>
      <w:pPr>
        <w:pStyle w:val="BodyText"/>
      </w:pPr>
      <w:r>
        <w:t xml:space="preserve">Э. Хоскинс описывает разлом между двумя культурами памяти: «one formalized, institutionalized, regimented (including online); the other more emergent, confrontational, yet fragmented»</w:t>
      </w:r>
      <w:r>
        <w:rPr>
          <w:rStyle w:val="FootnoteReference"/>
        </w:rPr>
        <w:footnoteReference w:id="49"/>
      </w:r>
      <w:r>
        <w:t xml:space="preserve">. Разлом проходит внутри самих институций. Мультимедийная выставка является пространством, в котором это противоречие воспроизводится при каждом кураторском решении.</w:t>
      </w:r>
    </w:p>
    <w:p>
      <w:pPr>
        <w:pStyle w:val="BodyText"/>
      </w:pPr>
      <w:r>
        <w:t xml:space="preserve">Диагностика Э. Хоскинса важна для данного исследования потому, что выставка «Геноциду — нет!» воплощает специфическую версию этого противоречия. Анализ работает с напряжением между разными институциональными нарративами как с продуктивной точкой.</w:t>
      </w:r>
    </w:p>
    <w:p>
      <w:pPr>
        <w:pStyle w:val="BodyText"/>
      </w:pPr>
      <w:r>
        <w:t xml:space="preserve">Возможность разлома связана с цифровой трансформацией архива. Эту трансформацию описывает Вольфганг Эрнст. Традиционный музей строился на принципе архивного порядка. Цифровая среда заменяет архивный порядок динамикой</w:t>
      </w:r>
      <w:r>
        <w:rPr>
          <w:rStyle w:val="FootnoteReference"/>
        </w:rPr>
        <w:footnoteReference w:id="50"/>
      </w:r>
      <w:r>
        <w:t xml:space="preserve">. Музей в цифровой среде выступает пространством, в котором прошлое постоянно пересобирается.</w:t>
      </w:r>
    </w:p>
    <w:p>
      <w:pPr>
        <w:pStyle w:val="BodyText"/>
      </w:pPr>
      <w:r>
        <w:t xml:space="preserve">Подход В. Эрнста важен для данного исследования потому, что он даёт технический язык для описания разлома, который Э. Хоскинс фиксирует на уровне институций. В цифровой среде прошлое работает как процесс. Власть над таким прошлым перестаёт принадлежать только институции.</w:t>
      </w:r>
    </w:p>
    <w:p>
      <w:pPr>
        <w:pStyle w:val="BodyText"/>
      </w:pPr>
      <w:r>
        <w:t xml:space="preserve">Роджер Силверстоун предлагает концепцию медиаполиса</w:t>
      </w:r>
      <w:r>
        <w:rPr>
          <w:rStyle w:val="FootnoteReference"/>
        </w:rPr>
        <w:footnoteReference w:id="51"/>
      </w:r>
      <w:r>
        <w:t xml:space="preserve">. Медиаполис — это медиатизированное публичное пространство. В этом пространстве одни субъекты получают видимость и право голоса. Другие остаются невидимыми и неуслышанными. Ключевое условие видимости Р. Силверстоун называет медиагостеприимством. Он определяет его так: «Hospitality as a right not just to the freedom of speech but as an obligation to listen and to hear»</w:t>
      </w:r>
      <w:r>
        <w:rPr>
          <w:rStyle w:val="FootnoteReference"/>
        </w:rPr>
        <w:footnoteReference w:id="52"/>
      </w:r>
      <w:r>
        <w:t xml:space="preserve">. Появление субъекта в публичном пространстве не гарантирует подлинного включения. Медиатизация способна усиливать присутствие. Медиатизация способна сводить субъекта к образу жертвы без голоса.</w:t>
      </w:r>
    </w:p>
    <w:p>
      <w:pPr>
        <w:pStyle w:val="BodyText"/>
      </w:pPr>
      <w:r>
        <w:t xml:space="preserve">Концепция медиаполиса Р. Силверстоуна важна для данного исследования потому, что она задаёт точный вопрос к материалу. Анализ спрашивает, в каком режиме на выставке присутствует жертва геноцида. Это исторический факт с собственным голосом или образ страдания без субъектности.</w:t>
      </w:r>
    </w:p>
    <w:p>
      <w:pPr>
        <w:pStyle w:val="BodyText"/>
      </w:pPr>
      <w:r>
        <w:t xml:space="preserve">Рассмотренные концепции вместе описывают цифровой музей через несколько одновременных процессов. Институциональный контроль над нарративом сохраняется. Этот контроль воспроизводится через технологию. Прошлое становится процессом постоянной актуализации. Видимость распределена неравномерно. Кураторские решения определяют, кто получает право голоса в мемориальном пространстве.</w:t>
      </w:r>
    </w:p>
    <w:bookmarkEnd w:id="53"/>
    <w:bookmarkStart w:id="60" w:name="Xa9acc7275ad0c7d37de918ccd6b24296d933c94"/>
    <w:p>
      <w:pPr>
        <w:pStyle w:val="Heading2"/>
      </w:pPr>
      <w:r>
        <w:t xml:space="preserve">1.5 Музей как медиальная и политическая форма памяти</w:t>
      </w:r>
    </w:p>
    <w:p>
      <w:pPr>
        <w:pStyle w:val="FirstParagraph"/>
      </w:pPr>
      <w:r>
        <w:t xml:space="preserve">Понимание выставочного пространства как среды формирования политической памяти сложилось в нескольких теоретических традициях. Первая из них — концепция выставочного комплекса (exhibitionary complex). Её предложил Тони Беннетт. Эта концепция описывает музеи XIX века как часть системы учреждений. Эта система управляла поведением и сознанием публики</w:t>
      </w:r>
      <w:r>
        <w:rPr>
          <w:rStyle w:val="FootnoteReference"/>
        </w:rPr>
        <w:footnoteReference w:id="54"/>
      </w:r>
      <w:r>
        <w:t xml:space="preserve">. Музей действовал через добровольное самоуправление. Власть в нём организовывала порядок вещей. Этот порядок задавал посетителю определённую позицию. Музей стремился привлечь народ на сторону власти через добровольное участие. Экспозиция в этой логике приобретает политическую форму. Она формирует у посетителя определённый взгляд через организацию пространства, расстановку предметов и эмоциональное воздействие.</w:t>
      </w:r>
    </w:p>
    <w:p>
      <w:pPr>
        <w:pStyle w:val="BodyText"/>
      </w:pPr>
      <w:r>
        <w:t xml:space="preserve">Концепция выставочного комплекса Т. Беннетта важна для данного исследования потому, что она утверждает структурный характер политического измерения выставки. Политическое измерение возникает в самой организации экспозиции, независимо от деклараций авторов. Анализ обращается к тому, какую позицию выставка задаёт посетителю.</w:t>
      </w:r>
    </w:p>
    <w:p>
      <w:pPr>
        <w:pStyle w:val="BodyText"/>
      </w:pPr>
      <w:r>
        <w:t xml:space="preserve">Т. Беннетт фиксирует пространственный принцип выставочного комплекса. Этот принцип совмещает функции зрелища и наблюдения. Посетитель одновременно становится зрителем и объектом контроля. Само пространство управляет тем, что он видит, и тем, как он это видит</w:t>
      </w:r>
      <w:r>
        <w:rPr>
          <w:rStyle w:val="FootnoteReference"/>
        </w:rPr>
        <w:footnoteReference w:id="55"/>
      </w:r>
      <w:r>
        <w:t xml:space="preserve">.</w:t>
      </w:r>
    </w:p>
    <w:p>
      <w:pPr>
        <w:pStyle w:val="BodyText"/>
      </w:pPr>
      <w:r>
        <w:t xml:space="preserve">Эта двойственность важна для данного исследования потому, что она объясняет работу пространства как политического инструмента. Анализ обращает внимание на пространственные механизмы, которые работают на этом уровне.</w:t>
      </w:r>
    </w:p>
    <w:p>
      <w:pPr>
        <w:pStyle w:val="BodyText"/>
      </w:pPr>
      <w:r>
        <w:t xml:space="preserve">Эйлин Хупер-Гринхилл предлагает концепцию пост-музея (post-museum). В этой модели музей выступает пространством интерпретативных рамок. Именно рамки определяют способ восприятия экспоната. Сами объекты смыслом не обладают: «displayed objects of all types are made meaningful according to the interpretive frameworks within which they are placed»</w:t>
      </w:r>
      <w:r>
        <w:rPr>
          <w:rStyle w:val="FootnoteReference"/>
        </w:rPr>
        <w:footnoteReference w:id="56"/>
      </w:r>
      <w:r>
        <w:t xml:space="preserve">. Музейная экспозиция конструирует реальность тремя способами. Это отбор предметов, их расстановка и текстовое сопровождение. Традиционный музей опирался на трансмиссионную модель. Знание в нём передавалось в готовом виде. Активность посетителя не предполагалась. На смену этой модели приходит конструктивистский подход. В нём посетитель выступает активным субъектом. Он выстраивает смысл в диалоге с пространством</w:t>
      </w:r>
      <w:r>
        <w:rPr>
          <w:rStyle w:val="FootnoteReference"/>
        </w:rPr>
        <w:footnoteReference w:id="57"/>
      </w:r>
      <w:r>
        <w:t xml:space="preserve">.</w:t>
      </w:r>
    </w:p>
    <w:p>
      <w:pPr>
        <w:pStyle w:val="BodyText"/>
      </w:pPr>
      <w:r>
        <w:t xml:space="preserve">Концепция пост-музея Э. Хупер-Гринхилл важна для данного исследования потому, что она задаёт принцип анализа выставки. Аналитический вопрос звучит так: какие интерпретативные рамки выбрали кураторы для представления геноцида и как эти рамки направляют восприятие посетителя.</w:t>
      </w:r>
    </w:p>
    <w:p>
      <w:pPr>
        <w:pStyle w:val="BodyText"/>
      </w:pPr>
      <w:r>
        <w:t xml:space="preserve">Андреас Хейссен предлагает концепцию гипертрофии памяти. Она объясняет интенсивность современного производства памяти через музейные институции. Политика памяти связана с актуальными общественными процессами. Она меняется под влиянием политических и поколенческих факторов</w:t>
      </w:r>
      <w:r>
        <w:rPr>
          <w:rStyle w:val="FootnoteReference"/>
        </w:rPr>
        <w:footnoteReference w:id="58"/>
      </w:r>
      <w:r>
        <w:t xml:space="preserve">. А. Хейссен использует понятие палимпсеста. Городское пространство и архитектурные объекты накапливают слои смыслов: «we have come to read cities and buildings as palimpsests of space»</w:t>
      </w:r>
      <w:r>
        <w:rPr>
          <w:rStyle w:val="FootnoteReference"/>
        </w:rPr>
        <w:footnoteReference w:id="59"/>
      </w:r>
      <w:r>
        <w:t xml:space="preserve">. Музейная экспозиция в этой оптике даёт прошлому новое прочтение при каждом обращении.</w:t>
      </w:r>
    </w:p>
    <w:p>
      <w:pPr>
        <w:pStyle w:val="BodyText"/>
      </w:pPr>
      <w:r>
        <w:t xml:space="preserve">Концепция гипертрофии памяти А. Хейссена важна для данного исследования потому, что она рассматривает сам факт существования мемориальной выставки как акт политики памяти. Мемориальная выставка о геноциде появляется в определённом политическом контексте. Этот контекст придаёт ей характер политического жеста.</w:t>
      </w:r>
    </w:p>
    <w:p>
      <w:pPr>
        <w:pStyle w:val="BodyText"/>
      </w:pPr>
      <w:r>
        <w:t xml:space="preserve">Три концепции вместе формируют аналитический горизонт. Концепция выставочного комплекса Т. Беннетта показывает встроенность музея в отношения власти. Концепция пост-музея Э. Хупер-Гринхилл описывает механизм этой встроенности через интерпретативные рамки. Концепция гипертрофии памяти А. Хейссена объясняет политическую остроту этого механизма в современных условиях. Совместно эти концепции дают основу для рассмотрения кураторских решений выставки как политических актов.</w:t>
      </w:r>
    </w:p>
    <w:bookmarkEnd w:id="60"/>
    <w:bookmarkStart w:id="75" w:name="X6b7cc7a14e3c3f12d5d8d91c64e5dfb492d88ee"/>
    <w:p>
      <w:pPr>
        <w:pStyle w:val="Heading2"/>
      </w:pPr>
      <w:r>
        <w:t xml:space="preserve">1.6 Кураторство и кураторские решения: от экспозиционной практики к производству политической памяти</w:t>
      </w:r>
    </w:p>
    <w:p>
      <w:pPr>
        <w:pStyle w:val="FirstParagraph"/>
      </w:pPr>
      <w:r>
        <w:t xml:space="preserve">Кураторские решения определяют версию прошлого для посетителя. Они определяют, какие нарративы окажутся в центре экспозиции, а какие уйдут на второй план. Они определяют использование медиатехнологий для эмоционального и политического воздействия. Данный параграф рассматривает кураторство в трёх измерениях. Первое — традиционное курирование. Второе — курирование мультимедийных проектов. Третье — курирование экспозиций о травматической памяти.</w:t>
      </w:r>
    </w:p>
    <w:p>
      <w:pPr>
        <w:pStyle w:val="BodyText"/>
      </w:pPr>
      <w:r>
        <w:t xml:space="preserve">Выставка «Геноциду — нет!» производит смысл. Эту перспективу даёт концепция авторской кураторской практики. Её предложил Пол О’Нил. Он показывает изменение фигуры куратора во второй половине XX века. Куратор в современной арт-практике выступает в качестве независимого автора. По наблюдению П. О’Нила, куратор изменился из «организатора за сценой и арбитра вкуса» в «самостоятельно мотивированного практика с более центральной позицией в современном арт-мире»</w:t>
      </w:r>
      <w:r>
        <w:rPr>
          <w:rStyle w:val="FootnoteReference"/>
        </w:rPr>
        <w:footnoteReference w:id="61"/>
      </w:r>
      <w:r>
        <w:t xml:space="preserve">. Групповая выставка в этой логике становится авторским высказыванием.</w:t>
      </w:r>
    </w:p>
    <w:p>
      <w:pPr>
        <w:pStyle w:val="BodyText"/>
      </w:pPr>
      <w:r>
        <w:t xml:space="preserve">Концепция авторской кураторской практики П. О’Нила важна для данного исследования потому, что она задаёт способ чтения выставки. Куратор выставки «Геноциду — нет!» рассматривается как автор связного высказывания. Анализ удерживает в фокусе согласованность авторского голоса между разными элементами выставки.</w:t>
      </w:r>
    </w:p>
    <w:p>
      <w:pPr>
        <w:pStyle w:val="BodyText"/>
      </w:pPr>
      <w:r>
        <w:t xml:space="preserve">Кураторские решения рождаются в практике. Этот тезис формулирует Терри Смит. Он вводит понятие кураторского мышления: «curatorial thinking… is always deeply embedded in the practice of actually mounting the exhibition»</w:t>
      </w:r>
      <w:r>
        <w:rPr>
          <w:rStyle w:val="FootnoteReference"/>
        </w:rPr>
        <w:footnoteReference w:id="62"/>
      </w:r>
      <w:r>
        <w:t xml:space="preserve">. Кураторские решения выставки «Геноциду — нет!» складывались в условиях конкретных институциональных ограничений и доступных технологий. Из общей теории их вывести невозможно. В исследованиях кураторства появился глагол «to curate». Он замещает существительное «curator». Этот сдвиг отражает понимание кураторства как процесса производства и медиации</w:t>
      </w:r>
      <w:r>
        <w:rPr>
          <w:rStyle w:val="FootnoteReference"/>
        </w:rPr>
        <w:footnoteReference w:id="63"/>
      </w:r>
      <w:r>
        <w:t xml:space="preserve">.</w:t>
      </w:r>
    </w:p>
    <w:p>
      <w:pPr>
        <w:pStyle w:val="BodyText"/>
      </w:pPr>
      <w:r>
        <w:t xml:space="preserve">Концепция кураторского мышления Т. Смита важна для данного исследования потому, что она обосновывает необходимость интервью с куратором. Если кураторское мышление встроено в практику, реконструировать его только по артефактам невозможно. Его требуется извлекать из самого практика. На этом тезисе строится эмпирический дизайн исследования.</w:t>
      </w:r>
    </w:p>
    <w:p>
      <w:pPr>
        <w:pStyle w:val="BodyText"/>
      </w:pPr>
      <w:r>
        <w:t xml:space="preserve">Мультимедийная выставка использует цифровые технологии. Эти технологии меняют природу кураторской работы. Концепцию культурного интерфейса предложил Лев Манович. Он показывает, что любое новое медиа работает как код. Этот код накладывает свою логику на передаваемые сообщения. Л. Манович пишет: «the interface shapes how the computer user conceives the computer itself. It also determines how users think of any media object accessed via a computer»</w:t>
      </w:r>
      <w:r>
        <w:rPr>
          <w:rStyle w:val="FootnoteReference"/>
        </w:rPr>
        <w:footnoteReference w:id="64"/>
      </w:r>
      <w:r>
        <w:t xml:space="preserve">. Выбор интерактивного формата предопределяет способ восприятия контента. Куратор размещает материал в интерактивной среде. Тем же действием он программирует восприятие посетителя.</w:t>
      </w:r>
    </w:p>
    <w:p>
      <w:pPr>
        <w:pStyle w:val="BodyText"/>
      </w:pPr>
      <w:r>
        <w:t xml:space="preserve">Концепция культурного интерфейса Л. Мановича важна для данного исследования потому, что она связывает технологические и содержательные решения куратора. Решение о размещении материала на той или иной технологии одновременно является решением о способе его восприятия.</w:t>
      </w:r>
    </w:p>
    <w:p>
      <w:pPr>
        <w:pStyle w:val="BodyText"/>
      </w:pPr>
      <w:r>
        <w:t xml:space="preserve">Росс Пэрри предлагает концепцию цифровой трансформации музея. Он фиксирует переход от «музейной информатики» к «цифровому наследию». Этот переход подразумевает критическое и теоретически осознанное отношение к технологиям</w:t>
      </w:r>
      <w:r>
        <w:rPr>
          <w:rStyle w:val="FootnoteReference"/>
        </w:rPr>
        <w:footnoteReference w:id="65"/>
      </w:r>
      <w:r>
        <w:t xml:space="preserve">. Подходы Л. Мановича и Р. Пэрри обнаруживают противоречие в вопросе о роли куратора в цифровой среде. Концепция культурного интерфейса акцентирует структурную власть технологии над восприятием. Концепция цифрового наследия акцентирует сознательный выбор куратора. Куратор должен критически осваивать технологию. Различие позиций указывает на двухуровневый характер кураторских решений в мультимедийной выставке. Они зависят от технологических возможностей платформы. Они зависят и от субъективного замысла авторов. Анализ требует учёта обоих уровней.</w:t>
      </w:r>
    </w:p>
    <w:p>
      <w:pPr>
        <w:pStyle w:val="BodyText"/>
      </w:pPr>
      <w:r>
        <w:t xml:space="preserve">Совместная рамка Л. Мановича и Р. Пэрри важна для данного исследования потому, что она задаёт двухуровневую процедуру анализа. Каждое кураторское решение читается как ответ на аффордансы платформы. Оно же читается как результат критической рефлексии этих аффордансов. Данные интервью позволяют различать эти два уровня.</w:t>
      </w:r>
    </w:p>
    <w:p>
      <w:pPr>
        <w:pStyle w:val="BodyText"/>
      </w:pPr>
      <w:r>
        <w:t xml:space="preserve">Шэрон Макдональд предлагает концепцию музейного опыта. Она исследует три области этого опыта: пространство, медиа и социальность</w:t>
      </w:r>
      <w:r>
        <w:rPr>
          <w:rStyle w:val="FootnoteReference"/>
        </w:rPr>
        <w:footnoteReference w:id="66"/>
      </w:r>
      <w:r>
        <w:t xml:space="preserve">. По наблюдению Ш. Макдональд, способ перемещения посетителя влияет на интерпретацию: «How people negotiate their way through museums and galleries can have considerable implications for how they relate to and interpret exhibition content»</w:t>
      </w:r>
      <w:r>
        <w:rPr>
          <w:rStyle w:val="FootnoteReference"/>
        </w:rPr>
        <w:footnoteReference w:id="67"/>
      </w:r>
      <w:r>
        <w:t xml:space="preserve">. Кураторское решение о маршруте является решением о типе восприятия памяти. Стили движения посетителя зависят от дизайна выставки. Кураторы могут программировать определённый стиль движения. От этого зависит способ усвоения нарратива.</w:t>
      </w:r>
    </w:p>
    <w:p>
      <w:pPr>
        <w:pStyle w:val="BodyText"/>
      </w:pPr>
      <w:r>
        <w:t xml:space="preserve">В области медиа физические объекты привлекают больше внимания, чем тексты: «visitors tend to be very attentive to objects, and only occasionally attentive to labels»</w:t>
      </w:r>
      <w:r>
        <w:rPr>
          <w:rStyle w:val="FootnoteReference"/>
        </w:rPr>
        <w:footnoteReference w:id="68"/>
      </w:r>
      <w:r>
        <w:t xml:space="preserve">. На выставке о геноциде главным инструментом производства политической памяти становятся фотографии, документы и записи. Кураторское решение об отборе и расстановке этих объектов определяет содержание памяти посетителя.</w:t>
      </w:r>
    </w:p>
    <w:p>
      <w:pPr>
        <w:pStyle w:val="BodyText"/>
      </w:pPr>
      <w:r>
        <w:t xml:space="preserve">Трёхчастная рамка Ш. Макдональд важна для данного исследования потому, что она соединяет технологический выбор и поведение посетителя. Л. Манович описывает программирование восприятия на уровне кода. Ш. Макдональд описывает его на уровне поведения. Анализ выставки удерживает оба уровня одновременно.</w:t>
      </w:r>
    </w:p>
    <w:p>
      <w:pPr>
        <w:pStyle w:val="BodyText"/>
      </w:pPr>
      <w:r>
        <w:t xml:space="preserve">Выставка «Геноциду — нет!» относится к жанру мемориального музея. Структурные характеристики жанра описывает концепция Пола Уильямса. П. Уильямс разграничивает три понятия: monument, museum и memorial museum. Monument — это скульптура или физический маркер увековечения. Museum — это институт приобретения, хранения, изучения и экспонирования объектов. Memorial museum — это специфический жанр. Он посвящён историческому событию массового страдания</w:t>
      </w:r>
      <w:r>
        <w:rPr>
          <w:rStyle w:val="FootnoteReference"/>
        </w:rPr>
        <w:footnoteReference w:id="69"/>
      </w:r>
      <w:r>
        <w:t xml:space="preserve">. В термине заложено внутреннее противоречие. Memorial предполагает безоценочную скорбь. Museum требует критической интерпретации. П. Уильямс считает это противоречие конститутивным для жанра. Оно воспроизводится в каждом кураторском решении.</w:t>
      </w:r>
    </w:p>
    <w:p>
      <w:pPr>
        <w:pStyle w:val="BodyText"/>
      </w:pPr>
      <w:r>
        <w:t xml:space="preserve">Концепция конститутивного напряжения мемориального музея П. Уильямса важна для данного исследования потому, что она формулирует базовый трейд-офф работы кураторов. Каждый их выбор балансирует между скорбью, трагичностью и интерпретацией. Анализ прослеживает этот баланс в материале выставки.</w:t>
      </w:r>
    </w:p>
    <w:p>
      <w:pPr>
        <w:pStyle w:val="BodyText"/>
      </w:pPr>
      <w:r>
        <w:t xml:space="preserve">П. Уильямс формулирует миссию мемориального музея: «to illuminate, commemorate, and educate about a particular, bounded, and vivid historic event»</w:t>
      </w:r>
      <w:r>
        <w:rPr>
          <w:rStyle w:val="FootnoteReference"/>
        </w:rPr>
        <w:footnoteReference w:id="70"/>
      </w:r>
      <w:r>
        <w:t xml:space="preserve">. Ограниченность этой миссии отличает мемориальный музей от крупного исторического. Применительно к выставке «Геноциду — нет!» миссия состоит в том, чтобы сделать геноцид армянского народа 1915 года понятным, видимым и морально значимым. Отступление от этой задачи нарушает жанровую логику.</w:t>
      </w:r>
    </w:p>
    <w:p>
      <w:pPr>
        <w:pStyle w:val="BodyText"/>
      </w:pPr>
      <w:r>
        <w:t xml:space="preserve">П. Уильямс указывает на ограниченность материала мемориальных музеев. Организованное насилие уничтожает следы собственного существования. Жертв лишают имущества. Записи сжигают. Людей хоронят в безымянных могилах. Каждый объект, который удалось сохранить, приобретает особую доказательную нагрузку. Он становится осязаемым свидетельством «in the face of dispute and even denial of what happened»</w:t>
      </w:r>
      <w:r>
        <w:rPr>
          <w:rStyle w:val="FootnoteReference"/>
        </w:rPr>
        <w:footnoteReference w:id="71"/>
      </w:r>
      <w:r>
        <w:t xml:space="preserve">.</w:t>
      </w:r>
    </w:p>
    <w:p>
      <w:pPr>
        <w:pStyle w:val="BodyText"/>
      </w:pPr>
      <w:r>
        <w:t xml:space="preserve">Этот тезис П. Уильямса важен для данного исследования потому, что геноцид армянского народа отрицается Турцией и признаётся странами неравномерно. Каждый артефакт выставки работает как документальное опровержение этого отрицания. Анализ читает выбор кураторов в пользу определённых фотографий и документов как доказательственный жест.</w:t>
      </w:r>
    </w:p>
    <w:p>
      <w:pPr>
        <w:pStyle w:val="BodyText"/>
      </w:pPr>
      <w:r>
        <w:t xml:space="preserve">П. Уильямс пишет о политической природе мемориального музея. Он формулирует её через выражение «an uneasy coexistence of reverent commemoration and critical interpretation»</w:t>
      </w:r>
      <w:r>
        <w:rPr>
          <w:rStyle w:val="FootnoteReference"/>
        </w:rPr>
        <w:footnoteReference w:id="72"/>
      </w:r>
      <w:r>
        <w:t xml:space="preserve">. Среди примеров П. Уильямс называет «дипломатическую холодную войну между турками и армянами». Это пример того, как музейная репрезентация массового насилия становится полем международного конфликта</w:t>
      </w:r>
      <w:r>
        <w:rPr>
          <w:rStyle w:val="FootnoteReference"/>
        </w:rPr>
        <w:footnoteReference w:id="73"/>
      </w:r>
      <w:r>
        <w:t xml:space="preserve">.</w:t>
      </w:r>
    </w:p>
    <w:p>
      <w:pPr>
        <w:pStyle w:val="BodyText"/>
      </w:pPr>
      <w:r>
        <w:t xml:space="preserve">Это наблюдение важно для данного исследования потому, что выставка существует в условиях незавершённого конфликта признания геноцида армянского народа. Кураторские решения принимаются с учётом логики этого конфликта.</w:t>
      </w:r>
    </w:p>
    <w:p>
      <w:pPr>
        <w:pStyle w:val="BodyText"/>
      </w:pPr>
      <w:r>
        <w:t xml:space="preserve">Концепцию мемориального музея как инструмента легитимации предложила Эми Содаро. Она рассматривает мемориальные музеи как институты с тремя декларируемыми функциями. Это сохранение правды о прошлом, мемориальное признание жертв и моральное образование. За декларируемыми целями обнаруживается четвёртая функция: «легитимация текущего политического режима»</w:t>
      </w:r>
      <w:r>
        <w:rPr>
          <w:rStyle w:val="FootnoteReference"/>
        </w:rPr>
        <w:footnoteReference w:id="74"/>
      </w:r>
      <w:r>
        <w:t xml:space="preserve">.</w:t>
      </w:r>
    </w:p>
    <w:p>
      <w:pPr>
        <w:pStyle w:val="BodyText"/>
      </w:pPr>
      <w:r>
        <w:t xml:space="preserve">Концепция легитимирующей функции мемориального музея Э. Содаро важна для данного исследования потому, что она показывает политический характер любого выбора в экспозиции о геноциде. Каждое кураторское решение функционирует как политический жест. Это происходит независимо от осознания такого измерения самими кураторами.</w:t>
      </w:r>
    </w:p>
    <w:p>
      <w:pPr>
        <w:pStyle w:val="BodyText"/>
      </w:pPr>
      <w:r>
        <w:t xml:space="preserve">Э. Содаро также обращает внимание на заимствование мемориальными музеями экспозиционных тропов друг у друга. «Стены имён» и видеосвидетельства образуют глобальный язык скорби. Это наблюдение важно для данного исследования потому, что оно открывает аналитический вопрос: в какой мере выставка «Геноциду — нет!» воспроизводит этот глобальный язык, а в какой формирует собственный.</w:t>
      </w:r>
    </w:p>
    <w:bookmarkEnd w:id="75"/>
    <w:bookmarkStart w:id="76" w:name="аналитическая-рамка"/>
    <w:p>
      <w:pPr>
        <w:pStyle w:val="Heading2"/>
      </w:pPr>
      <w:r>
        <w:t xml:space="preserve">Аналитическая рамка</w:t>
      </w:r>
    </w:p>
    <w:p>
      <w:pPr>
        <w:pStyle w:val="FirstParagraph"/>
      </w:pPr>
      <w:r>
        <w:t xml:space="preserve">Концепции, рассмотренные в главе, выполняют две разные функции. Одни описывают объект анализа. Другие дают инструменты для понимания того, как этот объект производится. Аналитическая рамка собирается из тех концепций, которые в совокупности позволяют рассматривать кураторское решение в нескольких измерениях одновременно.</w:t>
      </w:r>
    </w:p>
    <w:p>
      <w:pPr>
        <w:pStyle w:val="BodyText"/>
      </w:pPr>
      <w:r>
        <w:t xml:space="preserve">Первая опора рамки — условия принятия кураторских решений. С. Хьярвард фиксирует наличие у медиа собственной логики. Эта логика состоит из форматов, принципов и ограничений. Другие институции вынуждены ей подчиняться. А. Хепп уточняет, что формообразующие силы медиа проявляются только в конкретном контексте. Различение прямой и косвенной медиатизации С. Хьярварда позволяет описывать инфраструктурный и форматный уровни выставки одновременно. Концепция глубинной медиатизации Н. Коулдри и А. Хеппа замыкает первую опору. Цифровые компоненты выставки рассматриваются как базовая инфраструктура смыслопроизводства.</w:t>
      </w:r>
    </w:p>
    <w:p>
      <w:pPr>
        <w:pStyle w:val="BodyText"/>
      </w:pPr>
      <w:r>
        <w:t xml:space="preserve">Вторая опора рамки — работа памяти в этих условиях. Социальные рамки М. Хальбвакса задают режим коллективной памяти. Различение функциональной памяти и storage memory А. Ассман описывает механизм отбора материала. Концепция политической памяти А. Ассман описывает её структуру как продукт институциональной стабилизации. Т. Джадт показывает асимметрию между видимыми и невидимыми голосами в мемориальной институции. Э. Траверсо вводит темпоральное измерение: память работает в логике настоящего и обслуживает актуальные политические задачи. Понятие «долга памяти» Э. Траверсо даёт критическую оптику на мемориальную амбицию выставки.</w:t>
      </w:r>
    </w:p>
    <w:p>
      <w:pPr>
        <w:pStyle w:val="BodyText"/>
      </w:pPr>
      <w:r>
        <w:t xml:space="preserve">Третья опора рамки — цифровое опосредование и контроль над нарративом. Коннективный поворот Э. Хоскинса фиксирует среду, в которой выставка существует. В. Канштайнер показывает сохранение институционального контроля над нарративом в условиях цифрового формата. В. Эрнст даёт техническое объяснение этому сдвигу. Концепция медиаполиса Р. Силверстоуна задаёт вопрос видимости. Присутствие субъекта в медиатизированном пространстве не равно получению им голоса.</w:t>
      </w:r>
    </w:p>
    <w:p>
      <w:pPr>
        <w:pStyle w:val="BodyText"/>
      </w:pPr>
      <w:r>
        <w:t xml:space="preserve">Четвёртая опора рамки — выставочная форма и встреча с посетителем. Концепция выставочного комплекса Т. Беннетта показывает встроенность музея в отношения власти и совмещение функций зрелища и наблюдения. Через пост-музей Э. Хупер-Гринхилл выставка читается как работа интерпретативных рамок. А. Хейссен объясняет политическую остроту этой работы в современных условиях. Три области музейного опыта Ш. Макдональд — пространство, медиа и социальность — задают точки внимания аналитического протокола.</w:t>
      </w:r>
    </w:p>
    <w:p>
      <w:pPr>
        <w:pStyle w:val="BodyText"/>
      </w:pPr>
      <w:r>
        <w:t xml:space="preserve">Пятая опора рамки — кураторская работа как авторская и политическая практика. По П. О’Нилу, выставка рассматривается как авторское высказывание. Т. Смит обосновывает необходимость интервью с куратором через тезис о встроенности кураторского мышления в практику. Концепция культурного интерфейса Л. Мановича связывает технологический и содержательный уровни кураторских решений. Р. Пэрри добавляет к этому критическое отношение куратора к технологии. П. Уильямс описывает базовый трейд-офф работы кураторов между скорбью и интерпретацией. По Э. Содаро, любое кураторское решение функционирует как политический жест.</w:t>
      </w:r>
    </w:p>
    <w:p>
      <w:pPr>
        <w:pStyle w:val="BodyText"/>
      </w:pPr>
      <w:r>
        <w:t xml:space="preserve">Точка, в которой сходятся все пять опор, — это кураторское решение. Каждое такое решение работает как ответ на медийную логику, как акт перевода материала в актуальную память, как реакция на цифровые условия производства нарратива, как проектирование позиции посетителя и как авторско-политический жест. Анализ выставки «Геноциду — нет!» строится через прочтение каждого кураторского решения по этим пяти линиям одновременно.</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Hjarvard S. The Mediatization of Society: A Theory of the Media as Agents of Social and Cultural Change // Nordicom Review. 2008. Vol. 29, No. 2. P. 105.</w:t>
      </w:r>
    </w:p>
  </w:footnote>
  <w:footnote w:id="21">
    <w:p>
      <w:pPr>
        <w:pStyle w:val="FootnoteText"/>
      </w:pPr>
      <w:r>
        <w:rPr>
          <w:rStyle w:val="FootnoteReference"/>
        </w:rPr>
        <w:footnoteRef/>
      </w:r>
      <w:r>
        <w:t xml:space="preserve"> </w:t>
      </w:r>
      <w:r>
        <w:t xml:space="preserve">Ibid. P. 113.</w:t>
      </w:r>
    </w:p>
  </w:footnote>
  <w:footnote w:id="22">
    <w:p>
      <w:pPr>
        <w:pStyle w:val="FootnoteText"/>
      </w:pPr>
      <w:r>
        <w:rPr>
          <w:rStyle w:val="FootnoteReference"/>
        </w:rPr>
        <w:footnoteRef/>
      </w:r>
      <w:r>
        <w:t xml:space="preserve"> </w:t>
      </w:r>
      <w:r>
        <w:t xml:space="preserve">Ibid. P. 105.</w:t>
      </w:r>
    </w:p>
  </w:footnote>
  <w:footnote w:id="23">
    <w:p>
      <w:pPr>
        <w:pStyle w:val="FootnoteText"/>
      </w:pPr>
      <w:r>
        <w:rPr>
          <w:rStyle w:val="FootnoteReference"/>
        </w:rPr>
        <w:footnoteRef/>
      </w:r>
      <w:r>
        <w:t xml:space="preserve"> </w:t>
      </w:r>
      <w:r>
        <w:t xml:space="preserve">Ibid. P. 114.</w:t>
      </w:r>
    </w:p>
  </w:footnote>
  <w:footnote w:id="24">
    <w:p>
      <w:pPr>
        <w:pStyle w:val="FootnoteText"/>
      </w:pPr>
      <w:r>
        <w:rPr>
          <w:rStyle w:val="FootnoteReference"/>
        </w:rPr>
        <w:footnoteRef/>
      </w:r>
      <w:r>
        <w:t xml:space="preserve"> </w:t>
      </w:r>
      <w:r>
        <w:t xml:space="preserve">Ibid. P. 114–115.</w:t>
      </w:r>
    </w:p>
  </w:footnote>
  <w:footnote w:id="25">
    <w:p>
      <w:pPr>
        <w:pStyle w:val="FootnoteText"/>
      </w:pPr>
      <w:r>
        <w:rPr>
          <w:rStyle w:val="FootnoteReference"/>
        </w:rPr>
        <w:footnoteRef/>
      </w:r>
      <w:r>
        <w:t xml:space="preserve"> </w:t>
      </w:r>
      <w:r>
        <w:t xml:space="preserve">Hepp A. Deep Mediatization. London: Routledge, 2020. P. 40.</w:t>
      </w:r>
    </w:p>
  </w:footnote>
  <w:footnote w:id="26">
    <w:p>
      <w:pPr>
        <w:pStyle w:val="FootnoteText"/>
      </w:pPr>
      <w:r>
        <w:rPr>
          <w:rStyle w:val="FootnoteReference"/>
        </w:rPr>
        <w:footnoteRef/>
      </w:r>
      <w:r>
        <w:t xml:space="preserve"> </w:t>
      </w:r>
      <w:r>
        <w:t xml:space="preserve">Hepp A. Cultures of Mediatization. Cambridge: Polity, 2013. P. 46.</w:t>
      </w:r>
    </w:p>
  </w:footnote>
  <w:footnote w:id="27">
    <w:p>
      <w:pPr>
        <w:pStyle w:val="FootnoteText"/>
      </w:pPr>
      <w:r>
        <w:rPr>
          <w:rStyle w:val="FootnoteReference"/>
        </w:rPr>
        <w:footnoteRef/>
      </w:r>
      <w:r>
        <w:t xml:space="preserve"> </w:t>
      </w:r>
      <w:r>
        <w:t xml:space="preserve">Ibid. P. 69.</w:t>
      </w:r>
    </w:p>
  </w:footnote>
  <w:footnote w:id="28">
    <w:p>
      <w:pPr>
        <w:pStyle w:val="FootnoteText"/>
      </w:pPr>
      <w:r>
        <w:rPr>
          <w:rStyle w:val="FootnoteReference"/>
        </w:rPr>
        <w:footnoteRef/>
      </w:r>
      <w:r>
        <w:t xml:space="preserve"> </w:t>
      </w:r>
      <w:r>
        <w:t xml:space="preserve">Berger P. L., Luckmann T. The Social Construction of Reality: A Treatise in the Sociology of Knowledge. New York: Anchor Books, 1966. P. 61.</w:t>
      </w:r>
    </w:p>
  </w:footnote>
  <w:footnote w:id="29">
    <w:p>
      <w:pPr>
        <w:pStyle w:val="FootnoteText"/>
      </w:pPr>
      <w:r>
        <w:rPr>
          <w:rStyle w:val="FootnoteReference"/>
        </w:rPr>
        <w:footnoteRef/>
      </w:r>
      <w:r>
        <w:t xml:space="preserve"> </w:t>
      </w:r>
      <w:r>
        <w:t xml:space="preserve">Couldry N., Hepp A. The Mediated Construction of Reality. Cambridge: Polity, 2017. P. 7, 34.</w:t>
      </w:r>
    </w:p>
  </w:footnote>
  <w:footnote w:id="31">
    <w:p>
      <w:pPr>
        <w:pStyle w:val="FootnoteText"/>
      </w:pPr>
      <w:r>
        <w:rPr>
          <w:rStyle w:val="FootnoteReference"/>
        </w:rPr>
        <w:footnoteRef/>
      </w:r>
      <w:r>
        <w:t xml:space="preserve"> </w:t>
      </w:r>
      <w:r>
        <w:t xml:space="preserve">Halbwachs M. On Collective Memory / L. A. Coser (ed., trans.). Chicago: University of Chicago Press, 1992. P. 44.</w:t>
      </w:r>
    </w:p>
  </w:footnote>
  <w:footnote w:id="32">
    <w:p>
      <w:pPr>
        <w:pStyle w:val="FootnoteText"/>
      </w:pPr>
      <w:r>
        <w:rPr>
          <w:rStyle w:val="FootnoteReference"/>
        </w:rPr>
        <w:footnoteRef/>
      </w:r>
      <w:r>
        <w:t xml:space="preserve"> </w:t>
      </w:r>
      <w:r>
        <w:t xml:space="preserve">Assmann A. Cultural Memory and Western Civilization: Functions, Media, Archives. Cambridge: Cambridge University Press, 2011. P. 125.</w:t>
      </w:r>
    </w:p>
  </w:footnote>
  <w:footnote w:id="33">
    <w:p>
      <w:pPr>
        <w:pStyle w:val="FootnoteText"/>
      </w:pPr>
      <w:r>
        <w:rPr>
          <w:rStyle w:val="FootnoteReference"/>
        </w:rPr>
        <w:footnoteRef/>
      </w:r>
      <w:r>
        <w:t xml:space="preserve"> </w:t>
      </w:r>
      <w:r>
        <w:t xml:space="preserve">Ibid. P. 131.</w:t>
      </w:r>
    </w:p>
  </w:footnote>
  <w:footnote w:id="34">
    <w:p>
      <w:pPr>
        <w:pStyle w:val="FootnoteText"/>
      </w:pPr>
      <w:r>
        <w:rPr>
          <w:rStyle w:val="FootnoteReference"/>
        </w:rPr>
        <w:footnoteRef/>
      </w:r>
      <w:r>
        <w:t xml:space="preserve"> </w:t>
      </w:r>
      <w:r>
        <w:t xml:space="preserve">Ibid. P. 130.</w:t>
      </w:r>
    </w:p>
  </w:footnote>
  <w:footnote w:id="36">
    <w:p>
      <w:pPr>
        <w:pStyle w:val="FootnoteText"/>
      </w:pPr>
      <w:r>
        <w:rPr>
          <w:rStyle w:val="FootnoteReference"/>
        </w:rPr>
        <w:footnoteRef/>
      </w:r>
      <w:r>
        <w:t xml:space="preserve"> </w:t>
      </w:r>
      <w:r>
        <w:t xml:space="preserve">Assmann A. Re-framing Memory: Between Individual and Collective Forms of Constructing the Past // Performing the Past: Memory, History, and Identity in Modern Europe / K. Tilmans, F. van Vree, J. Winter (eds.). Amsterdam: Amsterdam University Press, 2010. P. 43.</w:t>
      </w:r>
    </w:p>
  </w:footnote>
  <w:footnote w:id="37">
    <w:p>
      <w:pPr>
        <w:pStyle w:val="FootnoteText"/>
      </w:pPr>
      <w:r>
        <w:rPr>
          <w:rStyle w:val="FootnoteReference"/>
        </w:rPr>
        <w:footnoteRef/>
      </w:r>
      <w:r>
        <w:t xml:space="preserve"> </w:t>
      </w:r>
      <w:r>
        <w:t xml:space="preserve">Ibid.</w:t>
      </w:r>
    </w:p>
  </w:footnote>
  <w:footnote w:id="38">
    <w:p>
      <w:pPr>
        <w:pStyle w:val="FootnoteText"/>
      </w:pPr>
      <w:r>
        <w:rPr>
          <w:rStyle w:val="FootnoteReference"/>
        </w:rPr>
        <w:footnoteRef/>
      </w:r>
      <w:r>
        <w:t xml:space="preserve"> </w:t>
      </w:r>
      <w:r>
        <w:t xml:space="preserve">Ibid. P. 49.</w:t>
      </w:r>
    </w:p>
  </w:footnote>
  <w:footnote w:id="39">
    <w:p>
      <w:pPr>
        <w:pStyle w:val="FootnoteText"/>
      </w:pPr>
      <w:r>
        <w:rPr>
          <w:rStyle w:val="FootnoteReference"/>
        </w:rPr>
        <w:footnoteRef/>
      </w:r>
      <w:r>
        <w:t xml:space="preserve"> </w:t>
      </w:r>
      <w:r>
        <w:t xml:space="preserve">Judt T. The Past Is Another Country: Myth and Memory in Postwar Europe // Daedalus. 1992. Vol. 121, No. 4. P. 89.</w:t>
      </w:r>
    </w:p>
  </w:footnote>
  <w:footnote w:id="40">
    <w:p>
      <w:pPr>
        <w:pStyle w:val="FootnoteText"/>
      </w:pPr>
      <w:r>
        <w:rPr>
          <w:rStyle w:val="FootnoteReference"/>
        </w:rPr>
        <w:footnoteRef/>
      </w:r>
      <w:r>
        <w:t xml:space="preserve"> </w:t>
      </w:r>
      <w:r>
        <w:t xml:space="preserve">Ibid. P. 92.</w:t>
      </w:r>
    </w:p>
  </w:footnote>
  <w:footnote w:id="41">
    <w:p>
      <w:pPr>
        <w:pStyle w:val="FootnoteText"/>
      </w:pPr>
      <w:r>
        <w:rPr>
          <w:rStyle w:val="FootnoteReference"/>
        </w:rPr>
        <w:footnoteRef/>
      </w:r>
      <w:r>
        <w:t xml:space="preserve"> </w:t>
      </w:r>
      <w:r>
        <w:t xml:space="preserve">Traverso E. Le passé: Modes d’emploi. Histoire, mémoire, politique. Paris: La Fabrique Éditions, 2005. P. 11.</w:t>
      </w:r>
    </w:p>
  </w:footnote>
  <w:footnote w:id="42">
    <w:p>
      <w:pPr>
        <w:pStyle w:val="FootnoteText"/>
      </w:pPr>
      <w:r>
        <w:rPr>
          <w:rStyle w:val="FootnoteReference"/>
        </w:rPr>
        <w:footnoteRef/>
      </w:r>
      <w:r>
        <w:t xml:space="preserve"> </w:t>
      </w:r>
      <w:r>
        <w:t xml:space="preserve">Ibid.</w:t>
      </w:r>
    </w:p>
  </w:footnote>
  <w:footnote w:id="43">
    <w:p>
      <w:pPr>
        <w:pStyle w:val="FootnoteText"/>
      </w:pPr>
      <w:r>
        <w:rPr>
          <w:rStyle w:val="FootnoteReference"/>
        </w:rPr>
        <w:footnoteRef/>
      </w:r>
      <w:r>
        <w:t xml:space="preserve"> </w:t>
      </w:r>
      <w:r>
        <w:t xml:space="preserve">Ibid. P. 70.</w:t>
      </w:r>
    </w:p>
  </w:footnote>
  <w:footnote w:id="45">
    <w:p>
      <w:pPr>
        <w:pStyle w:val="FootnoteText"/>
      </w:pPr>
      <w:r>
        <w:rPr>
          <w:rStyle w:val="FootnoteReference"/>
        </w:rPr>
        <w:footnoteRef/>
      </w:r>
      <w:r>
        <w:t xml:space="preserve"> </w:t>
      </w:r>
      <w:r>
        <w:t xml:space="preserve">Hoskins A. Media, Memory, Metaphor: Remembering and the Connective Turn // Parallax. 2011. Vol. 17, No. 4. P. 19–31.</w:t>
      </w:r>
    </w:p>
  </w:footnote>
  <w:footnote w:id="46">
    <w:p>
      <w:pPr>
        <w:pStyle w:val="FootnoteText"/>
      </w:pPr>
      <w:r>
        <w:rPr>
          <w:rStyle w:val="FootnoteReference"/>
        </w:rPr>
        <w:footnoteRef/>
      </w:r>
      <w:r>
        <w:t xml:space="preserve"> </w:t>
      </w:r>
      <w:r>
        <w:t xml:space="preserve">Ibid.</w:t>
      </w:r>
    </w:p>
  </w:footnote>
  <w:footnote w:id="47">
    <w:p>
      <w:pPr>
        <w:pStyle w:val="FootnoteText"/>
      </w:pPr>
      <w:r>
        <w:rPr>
          <w:rStyle w:val="FootnoteReference"/>
        </w:rPr>
        <w:footnoteRef/>
      </w:r>
      <w:r>
        <w:t xml:space="preserve"> </w:t>
      </w:r>
      <w:r>
        <w:t xml:space="preserve">Kansteiner W. The Holocaust in the 21st Century: Digital Anxiety, Transnational Cosmopolitanism, and Never Again Genocide Without Memory // Digital Memory Studies: Media Pasts in Transition / A. Hoskins (ed.). London: Routledge, 2018. P. 118.</w:t>
      </w:r>
    </w:p>
  </w:footnote>
  <w:footnote w:id="48">
    <w:p>
      <w:pPr>
        <w:pStyle w:val="FootnoteText"/>
      </w:pPr>
      <w:r>
        <w:rPr>
          <w:rStyle w:val="FootnoteReference"/>
        </w:rPr>
        <w:footnoteRef/>
      </w:r>
      <w:r>
        <w:t xml:space="preserve"> </w:t>
      </w:r>
      <w:r>
        <w:t xml:space="preserve">Ibid.</w:t>
      </w:r>
    </w:p>
  </w:footnote>
  <w:footnote w:id="49">
    <w:p>
      <w:pPr>
        <w:pStyle w:val="FootnoteText"/>
      </w:pPr>
      <w:r>
        <w:rPr>
          <w:rStyle w:val="FootnoteReference"/>
        </w:rPr>
        <w:footnoteRef/>
      </w:r>
      <w:r>
        <w:t xml:space="preserve"> </w:t>
      </w:r>
      <w:r>
        <w:t xml:space="preserve">Hoskins A. Media, Memory, Metaphor. P. 24.</w:t>
      </w:r>
    </w:p>
  </w:footnote>
  <w:footnote w:id="50">
    <w:p>
      <w:pPr>
        <w:pStyle w:val="FootnoteText"/>
      </w:pPr>
      <w:r>
        <w:rPr>
          <w:rStyle w:val="FootnoteReference"/>
        </w:rPr>
        <w:footnoteRef/>
      </w:r>
      <w:r>
        <w:t xml:space="preserve"> </w:t>
      </w:r>
      <w:r>
        <w:t xml:space="preserve">Ernst W. Digital Memory and the Archive. Minneapolis: University of Minnesota Press, 2013.</w:t>
      </w:r>
    </w:p>
  </w:footnote>
  <w:footnote w:id="51">
    <w:p>
      <w:pPr>
        <w:pStyle w:val="FootnoteText"/>
      </w:pPr>
      <w:r>
        <w:rPr>
          <w:rStyle w:val="FootnoteReference"/>
        </w:rPr>
        <w:footnoteRef/>
      </w:r>
      <w:r>
        <w:t xml:space="preserve"> </w:t>
      </w:r>
      <w:r>
        <w:t xml:space="preserve">Silverstone R. Media and Morality: On the Rise of the Mediapolis. Cambridge: Polity, 2007.</w:t>
      </w:r>
    </w:p>
  </w:footnote>
  <w:footnote w:id="52">
    <w:p>
      <w:pPr>
        <w:pStyle w:val="FootnoteText"/>
      </w:pPr>
      <w:r>
        <w:rPr>
          <w:rStyle w:val="FootnoteReference"/>
        </w:rPr>
        <w:footnoteRef/>
      </w:r>
      <w:r>
        <w:t xml:space="preserve"> </w:t>
      </w:r>
      <w:r>
        <w:t xml:space="preserve">Ibid. P. 136.</w:t>
      </w:r>
    </w:p>
  </w:footnote>
  <w:footnote w:id="54">
    <w:p>
      <w:pPr>
        <w:pStyle w:val="FootnoteText"/>
      </w:pPr>
      <w:r>
        <w:rPr>
          <w:rStyle w:val="FootnoteReference"/>
        </w:rPr>
        <w:footnoteRef/>
      </w:r>
      <w:r>
        <w:t xml:space="preserve"> </w:t>
      </w:r>
      <w:r>
        <w:t xml:space="preserve">Bennett T. The Exhibitionary Complex // New Formations. 1988. No. 4. P. 73–102.</w:t>
      </w:r>
    </w:p>
  </w:footnote>
  <w:footnote w:id="55">
    <w:p>
      <w:pPr>
        <w:pStyle w:val="FootnoteText"/>
      </w:pPr>
      <w:r>
        <w:rPr>
          <w:rStyle w:val="FootnoteReference"/>
        </w:rPr>
        <w:footnoteRef/>
      </w:r>
      <w:r>
        <w:t xml:space="preserve"> </w:t>
      </w:r>
      <w:r>
        <w:t xml:space="preserve">Ibid. P. 81.</w:t>
      </w:r>
    </w:p>
  </w:footnote>
  <w:footnote w:id="56">
    <w:p>
      <w:pPr>
        <w:pStyle w:val="FootnoteText"/>
      </w:pPr>
      <w:r>
        <w:rPr>
          <w:rStyle w:val="FootnoteReference"/>
        </w:rPr>
        <w:footnoteRef/>
      </w:r>
      <w:r>
        <w:t xml:space="preserve"> </w:t>
      </w:r>
      <w:r>
        <w:t xml:space="preserve">Hooper-Greenhill E. Museums and the Interpretation of Visual Culture. London: Routledge, 2000. P. 8.</w:t>
      </w:r>
    </w:p>
  </w:footnote>
  <w:footnote w:id="57">
    <w:p>
      <w:pPr>
        <w:pStyle w:val="FootnoteText"/>
      </w:pPr>
      <w:r>
        <w:rPr>
          <w:rStyle w:val="FootnoteReference"/>
        </w:rPr>
        <w:footnoteRef/>
      </w:r>
      <w:r>
        <w:t xml:space="preserve"> </w:t>
      </w:r>
      <w:r>
        <w:t xml:space="preserve">Ibid. P. 132–133.</w:t>
      </w:r>
    </w:p>
  </w:footnote>
  <w:footnote w:id="58">
    <w:p>
      <w:pPr>
        <w:pStyle w:val="FootnoteText"/>
      </w:pPr>
      <w:r>
        <w:rPr>
          <w:rStyle w:val="FootnoteReference"/>
        </w:rPr>
        <w:footnoteRef/>
      </w:r>
      <w:r>
        <w:t xml:space="preserve"> </w:t>
      </w:r>
      <w:r>
        <w:t xml:space="preserve">Huyssen A. Present Pasts: Urban Palimpsests and the Politics of Memory. Stanford: Stanford University Press, 2003.</w:t>
      </w:r>
    </w:p>
  </w:footnote>
  <w:footnote w:id="59">
    <w:p>
      <w:pPr>
        <w:pStyle w:val="FootnoteText"/>
      </w:pPr>
      <w:r>
        <w:rPr>
          <w:rStyle w:val="FootnoteReference"/>
        </w:rPr>
        <w:footnoteRef/>
      </w:r>
      <w:r>
        <w:t xml:space="preserve"> </w:t>
      </w:r>
      <w:r>
        <w:t xml:space="preserve">Ibid. P. 7.</w:t>
      </w:r>
    </w:p>
  </w:footnote>
  <w:footnote w:id="61">
    <w:p>
      <w:pPr>
        <w:pStyle w:val="FootnoteText"/>
      </w:pPr>
      <w:r>
        <w:rPr>
          <w:rStyle w:val="FootnoteReference"/>
        </w:rPr>
        <w:footnoteRef/>
      </w:r>
      <w:r>
        <w:t xml:space="preserve"> </w:t>
      </w:r>
      <w:r>
        <w:t xml:space="preserve">O’Neill P. The Culture of Curating and the Curating of Culture(s). Cambridge, MA: MIT Press, 2012. P. 1.</w:t>
      </w:r>
    </w:p>
  </w:footnote>
  <w:footnote w:id="62">
    <w:p>
      <w:pPr>
        <w:pStyle w:val="FootnoteText"/>
      </w:pPr>
      <w:r>
        <w:rPr>
          <w:rStyle w:val="FootnoteReference"/>
        </w:rPr>
        <w:footnoteRef/>
      </w:r>
      <w:r>
        <w:t xml:space="preserve"> </w:t>
      </w:r>
      <w:r>
        <w:t xml:space="preserve">Smith T. Thinking Contemporary Curating. New York: Independent Curators International, 2012. P. 12.</w:t>
      </w:r>
    </w:p>
  </w:footnote>
  <w:footnote w:id="63">
    <w:p>
      <w:pPr>
        <w:pStyle w:val="FootnoteText"/>
      </w:pPr>
      <w:r>
        <w:rPr>
          <w:rStyle w:val="FootnoteReference"/>
        </w:rPr>
        <w:footnoteRef/>
      </w:r>
      <w:r>
        <w:t xml:space="preserve"> </w:t>
      </w:r>
      <w:r>
        <w:t xml:space="preserve">O’Neill P. The Culture of Curating. P. 32.</w:t>
      </w:r>
    </w:p>
  </w:footnote>
  <w:footnote w:id="64">
    <w:p>
      <w:pPr>
        <w:pStyle w:val="FootnoteText"/>
      </w:pPr>
      <w:r>
        <w:rPr>
          <w:rStyle w:val="FootnoteReference"/>
        </w:rPr>
        <w:footnoteRef/>
      </w:r>
      <w:r>
        <w:t xml:space="preserve"> </w:t>
      </w:r>
      <w:r>
        <w:t xml:space="preserve">Manovich L. The Language of New Media. Cambridge, MA: MIT Press, 2001. P. 76.</w:t>
      </w:r>
    </w:p>
  </w:footnote>
  <w:footnote w:id="65">
    <w:p>
      <w:pPr>
        <w:pStyle w:val="FootnoteText"/>
      </w:pPr>
      <w:r>
        <w:rPr>
          <w:rStyle w:val="FootnoteReference"/>
        </w:rPr>
        <w:footnoteRef/>
      </w:r>
      <w:r>
        <w:t xml:space="preserve"> </w:t>
      </w:r>
      <w:r>
        <w:t xml:space="preserve">Parry R. (ed.). Museums in a Digital Age. London: Routledge, 2010. P. 454.</w:t>
      </w:r>
    </w:p>
  </w:footnote>
  <w:footnote w:id="66">
    <w:p>
      <w:pPr>
        <w:pStyle w:val="FootnoteText"/>
      </w:pPr>
      <w:r>
        <w:rPr>
          <w:rStyle w:val="FootnoteReference"/>
        </w:rPr>
        <w:footnoteRef/>
      </w:r>
      <w:r>
        <w:t xml:space="preserve"> </w:t>
      </w:r>
      <w:r>
        <w:t xml:space="preserve">Macdonald S. Interconnecting: Museum Visiting and Exhibition Design // CoDesign. 2007. Vol. 3, sup1. P. 149.</w:t>
      </w:r>
    </w:p>
  </w:footnote>
  <w:footnote w:id="67">
    <w:p>
      <w:pPr>
        <w:pStyle w:val="FootnoteText"/>
      </w:pPr>
      <w:r>
        <w:rPr>
          <w:rStyle w:val="FootnoteReference"/>
        </w:rPr>
        <w:footnoteRef/>
      </w:r>
      <w:r>
        <w:t xml:space="preserve"> </w:t>
      </w:r>
      <w:r>
        <w:t xml:space="preserve">Ibid. P. 157.</w:t>
      </w:r>
    </w:p>
  </w:footnote>
  <w:footnote w:id="68">
    <w:p>
      <w:pPr>
        <w:pStyle w:val="FootnoteText"/>
      </w:pPr>
      <w:r>
        <w:rPr>
          <w:rStyle w:val="FootnoteReference"/>
        </w:rPr>
        <w:footnoteRef/>
      </w:r>
      <w:r>
        <w:t xml:space="preserve"> </w:t>
      </w:r>
      <w:r>
        <w:t xml:space="preserve">Ibid. P. 155.</w:t>
      </w:r>
    </w:p>
  </w:footnote>
  <w:footnote w:id="69">
    <w:p>
      <w:pPr>
        <w:pStyle w:val="FootnoteText"/>
      </w:pPr>
      <w:r>
        <w:rPr>
          <w:rStyle w:val="FootnoteReference"/>
        </w:rPr>
        <w:footnoteRef/>
      </w:r>
      <w:r>
        <w:t xml:space="preserve"> </w:t>
      </w:r>
      <w:r>
        <w:t xml:space="preserve">Williams P. Memorial Museums: The Global Rush to Commemorate Atrocities. Oxford; New York: Berg, 2007. P. 8.</w:t>
      </w:r>
    </w:p>
  </w:footnote>
  <w:footnote w:id="70">
    <w:p>
      <w:pPr>
        <w:pStyle w:val="FootnoteText"/>
      </w:pPr>
      <w:r>
        <w:rPr>
          <w:rStyle w:val="FootnoteReference"/>
        </w:rPr>
        <w:footnoteRef/>
      </w:r>
      <w:r>
        <w:t xml:space="preserve"> </w:t>
      </w:r>
      <w:r>
        <w:t xml:space="preserve">Ibid. P. 25.</w:t>
      </w:r>
    </w:p>
  </w:footnote>
  <w:footnote w:id="71">
    <w:p>
      <w:pPr>
        <w:pStyle w:val="FootnoteText"/>
      </w:pPr>
      <w:r>
        <w:rPr>
          <w:rStyle w:val="FootnoteReference"/>
        </w:rPr>
        <w:footnoteRef/>
      </w:r>
      <w:r>
        <w:t xml:space="preserve"> </w:t>
      </w:r>
      <w:r>
        <w:t xml:space="preserve">Ibid.</w:t>
      </w:r>
    </w:p>
  </w:footnote>
  <w:footnote w:id="72">
    <w:p>
      <w:pPr>
        <w:pStyle w:val="FootnoteText"/>
      </w:pPr>
      <w:r>
        <w:rPr>
          <w:rStyle w:val="FootnoteReference"/>
        </w:rPr>
        <w:footnoteRef/>
      </w:r>
      <w:r>
        <w:t xml:space="preserve"> </w:t>
      </w:r>
      <w:r>
        <w:t xml:space="preserve">Ibid. P. 8.</w:t>
      </w:r>
    </w:p>
  </w:footnote>
  <w:footnote w:id="73">
    <w:p>
      <w:pPr>
        <w:pStyle w:val="FootnoteText"/>
      </w:pPr>
      <w:r>
        <w:rPr>
          <w:rStyle w:val="FootnoteReference"/>
        </w:rPr>
        <w:footnoteRef/>
      </w:r>
      <w:r>
        <w:t xml:space="preserve"> </w:t>
      </w:r>
      <w:r>
        <w:t xml:space="preserve">Ibid. P. 126.</w:t>
      </w:r>
    </w:p>
  </w:footnote>
  <w:footnote w:id="74">
    <w:p>
      <w:pPr>
        <w:pStyle w:val="FootnoteText"/>
      </w:pPr>
      <w:r>
        <w:rPr>
          <w:rStyle w:val="FootnoteReference"/>
        </w:rPr>
        <w:footnoteRef/>
      </w:r>
      <w:r>
        <w:t xml:space="preserve"> </w:t>
      </w:r>
      <w:r>
        <w:t xml:space="preserve">Sodaro A. Exhibiting Atrocity: Memorial Museums and the Politics of Past Violence. New Brunswick: Rutgers University Press, 2018. P. 180.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2026-05-16T07:21:57Z</dcterms:created>
  <dcterms:modified xsi:type="dcterms:W3CDTF">2026-05-16T07:21:57Z</dcterms:modified>
</cp:coreProperties>
</file>

<file path=docProps/custom.xml><?xml version="1.0" encoding="utf-8"?>
<Properties xmlns="http://schemas.openxmlformats.org/officeDocument/2006/custom-properties" xmlns:vt="http://schemas.openxmlformats.org/officeDocument/2006/docPropsVTypes"/>
</file>