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глава-1.-теоретическая-рамка"/>
    <w:p>
      <w:pPr>
        <w:pStyle w:val="Heading1"/>
      </w:pPr>
      <w:r>
        <w:t xml:space="preserve">ГЛАВА 1. ТЕОРЕТИЧЕСКАЯ РАМКА</w:t>
      </w:r>
    </w:p>
    <w:bookmarkStart w:id="30" w:name="медиатизация-культуры"/>
    <w:p>
      <w:pPr>
        <w:pStyle w:val="Heading2"/>
      </w:pPr>
      <w:r>
        <w:t xml:space="preserve">1.1 Медиатизация культуры</w:t>
      </w:r>
    </w:p>
    <w:p>
      <w:pPr>
        <w:pStyle w:val="FirstParagraph"/>
      </w:pPr>
      <w:r>
        <w:t xml:space="preserve">Современные культурные процессы всё больше описываются через понятие «медиатизации», которое фиксирует фундаментальные изменения, происходящие в обществе под воздействием медиа и, особенно, цифровых медиа. Понятие «медиатизации» детально разработано Стигом Хьярвардом и определено как центральное понятие в теории, объясняющей усиливающееся и меняющееся значение медиа в культуре и обществе</w:t>
      </w:r>
      <w:r>
        <w:rPr>
          <w:rStyle w:val="FootnoteReference"/>
        </w:rPr>
        <w:footnoteReference w:id="20"/>
      </w:r>
      <w:r>
        <w:t xml:space="preserve">. Под медиатизацией общества понимается процесс, в ходе которого общество в большей степени подчиняется медиа и их логике или становится от них зависимым</w:t>
      </w:r>
      <w:r>
        <w:rPr>
          <w:rStyle w:val="FootnoteReference"/>
        </w:rPr>
        <w:footnoteReference w:id="21"/>
      </w:r>
      <w:r>
        <w:t xml:space="preserve">.</w:t>
      </w:r>
      <w:r>
        <w:t xml:space="preserve"> </w:t>
      </w:r>
      <w:r>
        <w:rPr>
          <w:bCs/>
          <w:b/>
        </w:rPr>
        <w:t xml:space="preserve">Концепция медиатизации С. Хьярварда важна для данного исследования потому, что она задаёт общий принцип: собственная логика медиа влияет на то, как именно выстраивается политическая память.</w:t>
      </w:r>
      <w:r>
        <w:t xml:space="preserve"> </w:t>
      </w:r>
      <w:r>
        <w:t xml:space="preserve">Без этой рамки кураторские решения на выставке «Геноциду — нет!» рассматривались бы как нейтральная «упаковка» содержания; концепция же медиатизации заставляет видеть в каждом таком решении встроенность в медийную среду, обладающую собственными правилами и ограничениями.</w:t>
      </w:r>
    </w:p>
    <w:p>
      <w:pPr>
        <w:pStyle w:val="BodyText"/>
      </w:pPr>
      <w:r>
        <w:t xml:space="preserve">С. Хьярвард также описывает медиа как самостоятельный институт, обладающий собственной «логикой» — набором правил, форматов, технологических и организационных принципов. В результате социальное взаимодействие внутри институтов, между институтами и в обществе в целом происходит через медиа и образует двунаправленный процесс</w:t>
      </w:r>
      <w:r>
        <w:rPr>
          <w:rStyle w:val="FootnoteReference"/>
        </w:rPr>
        <w:footnoteReference w:id="22"/>
      </w:r>
      <w:r>
        <w:t xml:space="preserve">.</w:t>
      </w:r>
      <w:r>
        <w:t xml:space="preserve"> </w:t>
      </w:r>
      <w:r>
        <w:rPr>
          <w:bCs/>
          <w:b/>
        </w:rPr>
        <w:t xml:space="preserve">Понятие медиалогики применимо к данному исследованию потому, что оно даёт точный язык для вопроса о том, что мультимедийный формат делает возможным, а что — невозможным.</w:t>
      </w:r>
      <w:r>
        <w:t xml:space="preserve"> </w:t>
      </w:r>
      <w:r>
        <w:t xml:space="preserve">Когда куратор размещает цитату на тканевом баннере, архивную фотографию на циклическом LED-экране или текстовый комментарий на сенсорном столе, он не просто выбирает «канал»: он входит в логику, где у каждого формата свои аффордансы и свои ограничения.</w:t>
      </w:r>
    </w:p>
    <w:p>
      <w:pPr>
        <w:pStyle w:val="BodyText"/>
      </w:pPr>
      <w:r>
        <w:t xml:space="preserve">С. Хьярвард различает две формы медиатизации — прямую (сильную) и косвенную (слабую) — по степени вмешательства медиа в деятельность</w:t>
      </w:r>
      <w:r>
        <w:rPr>
          <w:rStyle w:val="FootnoteReference"/>
        </w:rPr>
        <w:footnoteReference w:id="23"/>
      </w:r>
      <w:r>
        <w:t xml:space="preserve">. Прямая медиатизация относится к ситуациям, когда ранее не опосредованная деятельность преобразуется в опосредованную форму, то есть выполняется через взаимодействие с медиа. Косвенная медиатизация — это ситуация, когда деятельность всё больше подвергается влиянию медиа-символов или механизмов в отношении формы, содержания или организации: медиа здесь не замещают деятельность, а меняют её контекст. Например, политики начинают говорить короткими фразами, подстраиваясь под телевизионные форматы. Эти формы часто действуют вместе, поэтому их не всегда легко различить</w:t>
      </w:r>
      <w:r>
        <w:rPr>
          <w:rStyle w:val="FootnoteReference"/>
        </w:rPr>
        <w:footnoteReference w:id="24"/>
      </w:r>
      <w:r>
        <w:t xml:space="preserve">.</w:t>
      </w:r>
      <w:r>
        <w:t xml:space="preserve"> </w:t>
      </w:r>
      <w:r>
        <w:rPr>
          <w:bCs/>
          <w:b/>
        </w:rPr>
        <w:t xml:space="preserve">Различение прямой и косвенной медиатизации важно для данного исследования потому, что оно позволяет описать одновременно два уровня, на которых медиатизирована выставка «Геноциду — нет!».</w:t>
      </w:r>
      <w:r>
        <w:t xml:space="preserve"> </w:t>
      </w:r>
      <w:r>
        <w:t xml:space="preserve">Сам факт существования проекта зависит от инфраструктуры LED-экранов и сенсорных столов площадки «Россия — моя история» — это прямая медиатизация. Решения о том, как именно говорить о геноциде — короткие подписи вместо развёрнутых текстов, тематические блоки вместо непрерывного нарратива, символические переходные экраны вместо пояснительных пауз — формируются конвенциями цифрового выставочного дизайна, которые кураторы не изобретают, а наследуют. Это косвенная медиатизация. В анализе выставки обе формы рассматриваются не как альтернативы, а как одновременно работающие слои.</w:t>
      </w:r>
    </w:p>
    <w:p>
      <w:pPr>
        <w:pStyle w:val="BodyText"/>
      </w:pPr>
      <w:r>
        <w:t xml:space="preserve">Современный масштаб этого процесса называют глубинной медиатизацией — термин, предложенный Андреасом Хеппом. Медиатизация сегодня охватывает все уровни социальной жизни и не ограничивается отдельными сферами. В качестве её признаков А. Хепп выделяет пять количественных трендов, которые характеризуют современную стадию этого процесса: увеличение разнообразия цифровых устройств, их растущую связанность, повсеместность, ускорение технических инноваций и превращение повседневной жизни в данные</w:t>
      </w:r>
      <w:r>
        <w:rPr>
          <w:rStyle w:val="FootnoteReference"/>
        </w:rPr>
        <w:footnoteReference w:id="25"/>
      </w:r>
      <w:r>
        <w:t xml:space="preserve">.</w:t>
      </w:r>
      <w:r>
        <w:t xml:space="preserve"> </w:t>
      </w:r>
      <w:r>
        <w:rPr>
          <w:bCs/>
          <w:b/>
        </w:rPr>
        <w:t xml:space="preserve">Понятие глубинной медиатизации А. Хеппа важно для данного исследования потому, что оно объясняет, почему содержание выставки и её технологии нельзя анализировать отдельно друг от друга.</w:t>
      </w:r>
      <w:r>
        <w:t xml:space="preserve"> </w:t>
      </w:r>
      <w:r>
        <w:t xml:space="preserve">В глубоко медиатизированной среде цифровые инструменты и культурное производство не соединяются задним числом — они изначально переплетены. Применительно к выставке «Геноциду — нет!» это означает, что вопрос ставится не «как цифровые технологии передают память о геноциде?», а «какая версия памяти вообще оказывается возможной в этой цифрово насыщенной среде?».</w:t>
      </w:r>
    </w:p>
    <w:p>
      <w:pPr>
        <w:pStyle w:val="BodyText"/>
      </w:pPr>
      <w:r>
        <w:t xml:space="preserve">А. Хепп также предлагает отказаться от понятия единой «медиалогики», которое превращает медиа в нечто внешнее, существующее по своим собственным законам. Медиатизация — это не возрастающее проникновение некой единой медиалогики</w:t>
      </w:r>
      <w:r>
        <w:rPr>
          <w:rStyle w:val="FootnoteReference"/>
        </w:rPr>
        <w:footnoteReference w:id="26"/>
      </w:r>
      <w:r>
        <w:t xml:space="preserve">. Вместо этого следует говорить о формообразующих силах медиа, которые появляются только в конкретном контексте. А. Хепп вводит понятие медиатизированных миров — небольших жизненных миров, где медиа становятся главным способом создания и поддержания смысла. Под медиакультурой понимается медиатизированная культура, и, говоря более общо, медиакультуры — это культуры медиатизации, которые становятся конкретными в определённых медиатизированных мирах</w:t>
      </w:r>
      <w:r>
        <w:rPr>
          <w:rStyle w:val="FootnoteReference"/>
        </w:rPr>
        <w:footnoteReference w:id="27"/>
      </w:r>
      <w:r>
        <w:t xml:space="preserve">.</w:t>
      </w:r>
      <w:r>
        <w:t xml:space="preserve"> </w:t>
      </w:r>
      <w:r>
        <w:rPr>
          <w:bCs/>
          <w:b/>
        </w:rPr>
        <w:t xml:space="preserve">Эта корректировка А. Хеппа важна для данного исследования потому, что она предостерегает от навязывания выставке абстрактной «логики цифровых медиа» и заставляет реконструировать тот конкретный медиатизированный мир, который выставка «Геноциду — нет!» собой создаёт.</w:t>
      </w:r>
      <w:r>
        <w:t xml:space="preserve"> </w:t>
      </w:r>
      <w:r>
        <w:t xml:space="preserve">В анализе это разворачивается через вопрос: какие именно форматы, конвенции и рутины работают в данной экспозиции — не что цифровые медиа делают «вообще», а что делает эта конкретная конфигурация LED-экранов, сенсорных столов под Kinect-управлением, баннеров и синхронных переходов.</w:t>
      </w:r>
    </w:p>
    <w:p>
      <w:pPr>
        <w:pStyle w:val="BodyText"/>
      </w:pPr>
      <w:r>
        <w:t xml:space="preserve">Как увидеть в кураторских решениях не нейтральную фиксацию фактов, а активное создание версии прошлого? Продуктивный ответ на этот вопрос даёт идея социального конструирования реальности, сформулированная Питером Бергером и Томасом Лукманом. Согласно их концепции, общество — продукт деятельности человека. При этом оно существует как объективная реальность, а сам человек — социальный продукт, формирующийся под влиянием этого общества</w:t>
      </w:r>
      <w:r>
        <w:rPr>
          <w:rStyle w:val="FootnoteReference"/>
        </w:rPr>
        <w:footnoteReference w:id="28"/>
      </w:r>
      <w:r>
        <w:t xml:space="preserve">.</w:t>
      </w:r>
      <w:r>
        <w:t xml:space="preserve"> </w:t>
      </w:r>
      <w:r>
        <w:rPr>
          <w:bCs/>
          <w:b/>
        </w:rPr>
        <w:t xml:space="preserve">Концепция социального конструирования реальности П. Бергера и Т. Лукмана важна для данного исследования потому, что она задаёт самую общую эпистемологическую опору всей главы: политическая память понимается как конструкт, который создаётся через деятельность институций и символические средства, а не как уже готовое содержание, которое институции просто хранят и передают.</w:t>
      </w:r>
      <w:r>
        <w:t xml:space="preserve"> </w:t>
      </w:r>
      <w:r>
        <w:t xml:space="preserve">Каждое кураторское решение — от выбора документов до их монтажа — в этой оптике не фиксирует прошлое, а активно конструирует его для посетителя.</w:t>
      </w:r>
    </w:p>
    <w:p>
      <w:pPr>
        <w:pStyle w:val="BodyText"/>
      </w:pPr>
      <w:r>
        <w:t xml:space="preserve">Это же понимание лежит в основе работы Ника Коулдри и А. Хеппа, в которой они вводят понятие глубинной медиатизации, показывая, что медиа и их инфраструктуры становятся средой производства культуры. Они определяют это так: «Deep mediatization is an advanced stage in which all elements of our social world are deeply intertwined with digital media and their underlying infrastructures»</w:t>
      </w:r>
      <w:r>
        <w:rPr>
          <w:rStyle w:val="FootnoteReference"/>
        </w:rPr>
        <w:footnoteReference w:id="29"/>
      </w:r>
      <w:r>
        <w:t xml:space="preserve">.</w:t>
      </w:r>
      <w:r>
        <w:t xml:space="preserve"> </w:t>
      </w:r>
      <w:r>
        <w:rPr>
          <w:bCs/>
          <w:b/>
        </w:rPr>
        <w:t xml:space="preserve">Определение глубинной медиатизации, данное Н. Коулдри и А. Хеппом, важно для данного исследования потому, что оно позволяет рассматривать цифровые компоненты экспозиции не как «добавку» к традиционным экспонатам, а как базовую инфраструктуру производства культурных смыслов.</w:t>
      </w:r>
      <w:r>
        <w:t xml:space="preserve"> </w:t>
      </w:r>
      <w:r>
        <w:t xml:space="preserve">Аналитически это значит, что описать сначала содержание (что показано), а потом отдельно — технологии (как показано) уже невозможно: содержание и технология даны вместе, и рамка глубинной медиатизации требует рассматривать их как единое целое. Так медиатизация культуры образует первую опору теоретической рамки.</w:t>
      </w:r>
    </w:p>
    <w:bookmarkEnd w:id="30"/>
    <w:bookmarkStart w:id="35" w:name="X968e70c8ca4ca7c194c6f64b88b5f25b8cc01c0"/>
    <w:p>
      <w:pPr>
        <w:pStyle w:val="Heading2"/>
      </w:pPr>
      <w:r>
        <w:t xml:space="preserve">1.2 Память как культурный и социальный процесс</w:t>
      </w:r>
    </w:p>
    <w:p>
      <w:pPr>
        <w:pStyle w:val="FirstParagraph"/>
      </w:pPr>
      <w:r>
        <w:t xml:space="preserve">Для анализа кураторских решений как способа производства политической памяти необходимо понимание памяти как социального и культурного процесса. Такое понимание позволяет рассматривать выставку как пространство активного конструирования памяти, а не нейтральной передачи исторических фактов. Отправной точкой здесь является концепция социальных рамок памяти Мориса Хальбвакса. Социальные рамки направляют и создают воспоминание, которое носит реконструктивный характер: прошлое перестраивается под влиянием потребностей настоящего. Важное различие М. Хальбвакс проводит между коллективной памятью — переживанием прошлого, разделяемым группой и формирующим её идентичность, — и историей: «history begins only at the point where tradition ends and where social memory dissolves»</w:t>
      </w:r>
      <w:r>
        <w:rPr>
          <w:rStyle w:val="FootnoteReference"/>
        </w:rPr>
        <w:footnoteReference w:id="31"/>
      </w:r>
      <w:r>
        <w:t xml:space="preserve">.</w:t>
      </w:r>
      <w:r>
        <w:t xml:space="preserve"> </w:t>
      </w:r>
      <w:r>
        <w:rPr>
          <w:bCs/>
          <w:b/>
        </w:rPr>
        <w:t xml:space="preserve">Концепция социальных рамок М. Хальбвакса важна для данного исследования потому, что она позволяет классифицировать выставку «Геноциду — нет!» не как «исторический», а как «мемориальный» проект — и тем самым ставить к ней другие аналитические вопросы.</w:t>
      </w:r>
      <w:r>
        <w:t xml:space="preserve"> </w:t>
      </w:r>
      <w:r>
        <w:t xml:space="preserve">Исторический проект оценивается по критериям точности и полноты; проект коллективной памяти оценивается по тому, какую версию прошлого он предлагает и кому эта версия адресована. Выставка «Геноциду — нет!» работает в режиме коллективной памяти: она предлагает определённую версию прошлого, встроенную в идентичность армянского сообщества и выстроенную кураторами через конкретные социальные рамки.</w:t>
      </w:r>
    </w:p>
    <w:p>
      <w:pPr>
        <w:pStyle w:val="BodyText"/>
      </w:pPr>
      <w:r>
        <w:t xml:space="preserve">Чтобы понять происхождение и принципы отбора материала для выставки, продуктивно различение Алейды Ассман между двумя типами культурной памяти — функциональной памятью и storage memory. Принципиальная разница терминов: «functional memory is highly selective, and only gives presence to a fraction of memory’s contents»</w:t>
      </w:r>
      <w:r>
        <w:rPr>
          <w:rStyle w:val="FootnoteReference"/>
        </w:rPr>
        <w:footnoteReference w:id="32"/>
      </w:r>
      <w:r>
        <w:t xml:space="preserve">, а storage memory — «резервуар неиспользованных возможностей»</w:t>
      </w:r>
      <w:r>
        <w:rPr>
          <w:rStyle w:val="FootnoteReference"/>
        </w:rPr>
        <w:footnoteReference w:id="33"/>
      </w:r>
      <w:r>
        <w:t xml:space="preserve">, то есть знания, которые не применимы к конкретному периоду времени. Переход знания из storage memory в функциональную память может произойти, например, в связи с историческими, политическими изменениями или созданием кураторских проектов: мультимедийные выставки часто извлекают материалы из архивов и переформатируют их в актуальный опыт. Как отмечает А. Ассман, без подвижности границ между функциональной и storage memory культурная память превратилась бы в фиксированную и абсолютную</w:t>
      </w:r>
      <w:r>
        <w:rPr>
          <w:rStyle w:val="FootnoteReference"/>
        </w:rPr>
        <w:footnoteReference w:id="34"/>
      </w:r>
      <w:r>
        <w:t xml:space="preserve">.</w:t>
      </w:r>
      <w:r>
        <w:t xml:space="preserve"> </w:t>
      </w:r>
      <w:r>
        <w:rPr>
          <w:bCs/>
          <w:b/>
        </w:rPr>
        <w:t xml:space="preserve">Различение функциональной памяти и storage memory А. Ассман важно для данного исследования потому, что оно даёт точный аналитический ход для описания того, что именно делают кураторы выставки «Геноциду — нет!»: они обращаются к архиву Музея-института геноцида армян в Ереване и избирательно переводят часть его материалов в функциональную память, помещая их на LED-экраны в инфраструктуре «России — моей истории».</w:t>
      </w:r>
      <w:r>
        <w:t xml:space="preserve"> </w:t>
      </w:r>
      <w:r>
        <w:t xml:space="preserve">Эмпирический вопрос исследования становится точным: какие документы и материалы, долгое время пребывавшие в storage memory, переходят в функциональную память — и кураторскими, и медийно-технологическими средствами.</w:t>
      </w:r>
    </w:p>
    <w:bookmarkEnd w:id="35"/>
    <w:bookmarkStart w:id="44" w:name="X0c4708b31d00b9b0fd0b56288f1b5c5287ea81d"/>
    <w:p>
      <w:pPr>
        <w:pStyle w:val="Heading2"/>
      </w:pPr>
      <w:r>
        <w:t xml:space="preserve">1.3 Политическая память и политика памяти: институциональное производство прошлого</w:t>
      </w:r>
    </w:p>
    <w:p>
      <w:pPr>
        <w:pStyle w:val="FirstParagraph"/>
      </w:pPr>
      <w:r>
        <w:t xml:space="preserve">Социальная память не требует специальных усилий по поддержанию: она живёт в передаваемых обычаях, разговорах, семейных историях. Политическая память, напротив, требует производства.</w:t>
      </w:r>
      <w:r>
        <w:t xml:space="preserve"> </w:t>
      </w:r>
      <w:r>
        <w:rPr>
          <w:bCs/>
          <w:b/>
        </w:rPr>
        <w:t xml:space="preserve">Это разграничение важно для данного исследования потому, что выставка «Геноциду — нет!» — институциональный проект, инициированный диаспорной организацией, поддержанный музеем-институтом и размещённый на федеральной мультимедийной площадке, — и значит, относится к режиму политической памяти в строгом смысле.</w:t>
      </w:r>
      <w:r>
        <w:t xml:space="preserve"> </w:t>
      </w:r>
      <w:r>
        <w:t xml:space="preserve">Одно из определений политической памяти даёт А. Ассман: «institutions and larger social groups, such as nations, states, the church, or a business firm do not</w:t>
      </w:r>
      <w:r>
        <w:t xml:space="preserve"> </w:t>
      </w:r>
      <w:r>
        <w:t xml:space="preserve">‘</w:t>
      </w:r>
      <w:r>
        <w:t xml:space="preserve">have</w:t>
      </w:r>
      <w:r>
        <w:t xml:space="preserve">’</w:t>
      </w:r>
      <w:r>
        <w:t xml:space="preserve"> </w:t>
      </w:r>
      <w:r>
        <w:t xml:space="preserve">a memory, they</w:t>
      </w:r>
      <w:r>
        <w:t xml:space="preserve"> </w:t>
      </w:r>
      <w:r>
        <w:t xml:space="preserve">‘</w:t>
      </w:r>
      <w:r>
        <w:t xml:space="preserve">make</w:t>
      </w:r>
      <w:r>
        <w:t xml:space="preserve">’</w:t>
      </w:r>
      <w:r>
        <w:t xml:space="preserve"> </w:t>
      </w:r>
      <w:r>
        <w:t xml:space="preserve">one for themselves with the aid of memorial signs such as monuments, museums, commemoration rites, and ceremonies»</w:t>
      </w:r>
      <w:r>
        <w:rPr>
          <w:rStyle w:val="FootnoteReference"/>
        </w:rPr>
        <w:footnoteReference w:id="36"/>
      </w:r>
      <w:r>
        <w:t xml:space="preserve">. Эта установка фиксирует ключевое свойство: политическая память производится намеренно.</w:t>
      </w:r>
    </w:p>
    <w:p>
      <w:pPr>
        <w:pStyle w:val="BodyText"/>
      </w:pPr>
      <w:r>
        <w:t xml:space="preserve">Создание памяти всегда предполагает отбор: одни события получают место в официальной версии прошлого, другие — нет. Политическая память стремится к единообразию: разные версии прошлого она сводит к одной и закрепляет в материальных носителях — памятниках, музеях, ритуалах, рассчитанных на передачу следующим поколениям. По А. Ассман, «political memory is stabilized and can be transmitted from generation to generation»</w:t>
      </w:r>
      <w:r>
        <w:rPr>
          <w:rStyle w:val="FootnoteReference"/>
        </w:rPr>
        <w:footnoteReference w:id="37"/>
      </w:r>
      <w:r>
        <w:t xml:space="preserve">. Слово «стабилизируется» здесь ключевое: то, что живёт в группе стихийно, в институции требует постоянной работы по поддержанию.</w:t>
      </w:r>
      <w:r>
        <w:t xml:space="preserve"> </w:t>
      </w:r>
      <w:r>
        <w:rPr>
          <w:bCs/>
          <w:b/>
        </w:rPr>
        <w:t xml:space="preserve">Концепция политической памяти как институциональной стабилизации А. Ассман важна для данного исследования потому, что она даёт самый сильный аргумент против чтения любого отдельного элемента выставки как нейтрального способа информирования.</w:t>
      </w:r>
      <w:r>
        <w:t xml:space="preserve"> </w:t>
      </w:r>
      <w:r>
        <w:t xml:space="preserve">Каждый элемент экспозиции — баннер, экран, переходный кадр, фотография — оказывается результатом отбора и вкладом в стабилизацию определённой версии прошлого.</w:t>
      </w:r>
    </w:p>
    <w:p>
      <w:pPr>
        <w:pStyle w:val="BodyText"/>
      </w:pPr>
      <w:r>
        <w:t xml:space="preserve">Политическая память задаёт нормативную рамку, внутри которой одни воспоминания получают статус легитимных в публичном пространстве, а другие вытесняются</w:t>
      </w:r>
      <w:r>
        <w:rPr>
          <w:rStyle w:val="FootnoteReference"/>
        </w:rPr>
        <w:footnoteReference w:id="38"/>
      </w:r>
      <w:r>
        <w:t xml:space="preserve">. Признание или непризнание события на государственном уровне — это решение о том, войдёт ли оно в нормативный символический порядок данного общества или останется за его пределами. Это переводит вопрос из исторического в политический.</w:t>
      </w:r>
      <w:r>
        <w:t xml:space="preserve"> </w:t>
      </w:r>
      <w:r>
        <w:rPr>
          <w:bCs/>
          <w:b/>
        </w:rPr>
        <w:t xml:space="preserve">Эта концепция значима для исследования выставки «Геноциду — нет!» потому, что она позволяет читать сам факт публичного признания геноцида со стороны институции — и финальный раздел выставки о признании геноцида Россией и миром — как нормативный, а не информационный акт.</w:t>
      </w:r>
      <w:r>
        <w:t xml:space="preserve"> </w:t>
      </w:r>
      <w:r>
        <w:t xml:space="preserve">Выставка не «сообщает» посетителю, что геноцид признан, — она перформативно стабилизирует это признание.</w:t>
      </w:r>
    </w:p>
    <w:p>
      <w:pPr>
        <w:pStyle w:val="BodyText"/>
      </w:pPr>
      <w:r>
        <w:t xml:space="preserve">Однако эта концепция не отвечает на вопрос о том, кого именно признают жертвой, а кого нет, и как память работает в условиях такого конфликта. Послевоенная Европа — наглядный пример того, как государство решает, что помнить, а что забыть: этот механизм прослеживает Тони Джадт. Официальная память последовательно строилась на разделении: то, что было сделано «с нами», признавалось открыто; то, что сделали «мы сами», — систематически вытеснялось</w:t>
      </w:r>
      <w:r>
        <w:rPr>
          <w:rStyle w:val="FootnoteReference"/>
        </w:rPr>
        <w:footnoteReference w:id="39"/>
      </w:r>
      <w:r>
        <w:t xml:space="preserve">. Представлять себя жертвой и при этом замалчивать собственную причастность — это сознательный выбор. Одни воспоминания получают институциональную поддержку, другие существуют вопреки ей. Отбор того, что сохраняется, невозможен без отбора того, что устраняется. Причём это забвение организовано теми же институциями, что организуют и память. Т. Джадт показывает это через анализ мемориальных практик: «the construction of war memorials was undertaken, all of them with the same pedagogical message»</w:t>
      </w:r>
      <w:r>
        <w:rPr>
          <w:rStyle w:val="FootnoteReference"/>
        </w:rPr>
        <w:footnoteReference w:id="40"/>
      </w:r>
      <w:r>
        <w:t xml:space="preserve">. Помимо информирования, мемориал становится педагогическим инструментом — способом конструирования памяти.</w:t>
      </w:r>
      <w:r>
        <w:t xml:space="preserve"> </w:t>
      </w:r>
      <w:r>
        <w:rPr>
          <w:bCs/>
          <w:b/>
        </w:rPr>
        <w:t xml:space="preserve">Подход Т. Джадта важен для данного исследования потому, что он даёт аналитический язык для описания асимметричного распределения голоса на выставке.</w:t>
      </w:r>
      <w:r>
        <w:t xml:space="preserve"> </w:t>
      </w:r>
      <w:r>
        <w:t xml:space="preserve">Хотя выставка «Геноциду — нет!» не замалчивает собственную историческую ответственность (проект создан диаспорной организацией и недвусмысленно стоит на стороне жертв), её композиция всё же структурирована джадтовской логикой: видимые голоса принадлежат признанным авторитетам — Папе, Нансену, Путину, русским писателям, русским солдатам; голос самих жертв опосредован преимущественно через изображения, а не через речь; голос исполнителя (Османская империя, младотурецкое правительство) упоминается, но не «звучит». Эта асимметрия и есть структурная черта выставки, на которую обращает внимание оптика Т. Джадта.</w:t>
      </w:r>
    </w:p>
    <w:p>
      <w:pPr>
        <w:pStyle w:val="BodyText"/>
      </w:pPr>
      <w:r>
        <w:t xml:space="preserve">Важно учитывать, в каком временно́м режиме работает политическая память. Один из подходов к этой проблеме формулирует Энцо Траверсо: «Память всегда говорит в настоящем времени, которое определяет её модальности: отбор событий, достойных сохранения, и свидетелей, которых стоит слушать, их интерпретацию и их „уроки“»</w:t>
      </w:r>
      <w:r>
        <w:rPr>
          <w:rStyle w:val="FootnoteReference"/>
        </w:rPr>
        <w:footnoteReference w:id="41"/>
      </w:r>
      <w:r>
        <w:t xml:space="preserve">. Политическая память — это инструмент настоящего. Решение о том, что именно помнить и как интерпретировать воспоминание, принимается исходя из актуальных политических задач, а не из логики самого события.</w:t>
      </w:r>
      <w:r>
        <w:t xml:space="preserve"> </w:t>
      </w:r>
      <w:r>
        <w:rPr>
          <w:bCs/>
          <w:b/>
        </w:rPr>
        <w:t xml:space="preserve">Концепции А. Ассман и Э. Траверсо в рамках данной работы дополняют друг друга и важны вместе потому, что описывают и структуру, и темпоральность производства политической памяти.</w:t>
      </w:r>
      <w:r>
        <w:t xml:space="preserve"> </w:t>
      </w:r>
      <w:r>
        <w:t xml:space="preserve">Подход А. Ассман описывает структуру, через которую память производится институционально; подход Э. Траверсо утверждает, что эта память всегда служит актуальным политическим задачам. Применительно к выставке «Геноциду — нет!» эта двойная оптика объясняет, почему финальный раздел экспозиции оформляет признание не через ссылку на исторические международные декларации, а через современную фотографию Путина у мемориала Цицернакаберд: акт памяти заякорен в политическом настоящем.</w:t>
      </w:r>
    </w:p>
    <w:p>
      <w:pPr>
        <w:pStyle w:val="BodyText"/>
      </w:pPr>
      <w:r>
        <w:t xml:space="preserve">Требование помнить Э. Траверсо называет «долгом памяти», который может превратиться в политический инструмент: «Память превращается в политическую ставку и принимает форму этического требования „долга памяти“, которое нередко становится источником злоупотреблений»</w:t>
      </w:r>
      <w:r>
        <w:rPr>
          <w:rStyle w:val="FootnoteReference"/>
        </w:rPr>
        <w:footnoteReference w:id="42"/>
      </w:r>
      <w:r>
        <w:t xml:space="preserve">. Обязательство помнить способно работать в пользу жертв, но также способно превращаться в инструмент для тех, кто этим нарративом управляет. Разница между двумя исходами определяется конкретными механизмами производства памяти: тем, кто говорит, о чём говорит и что при этом умалчивает.</w:t>
      </w:r>
      <w:r>
        <w:t xml:space="preserve"> </w:t>
      </w:r>
      <w:r>
        <w:rPr>
          <w:bCs/>
          <w:b/>
        </w:rPr>
        <w:t xml:space="preserve">Понятие «долга памяти» Э. Траверсо важно для данного исследования потому, что оно даёт критическую, а не панегирическую оптику на мемориальную амбицию выставки.</w:t>
      </w:r>
      <w:r>
        <w:t xml:space="preserve"> </w:t>
      </w:r>
      <w:r>
        <w:t xml:space="preserve">Та же экспозиция, что совершает акт признания жертв, одновременно стабилизирует определённый национальный нарратив; обе стороны этого процесса присутствуют в анализе.</w:t>
      </w:r>
    </w:p>
    <w:p>
      <w:pPr>
        <w:pStyle w:val="BodyText"/>
      </w:pPr>
      <w:r>
        <w:t xml:space="preserve">Э. Траверсо фиксирует и ещё одну закономерность: память об одном историческом преступлении создаёт нормативную точку отсчёта, через которую общество воспринимает другие. Катастрофы, получившие признание, обзаводятся мемориальной инфраструктурой; те, что не признаны, остаются вне поля нормативной памяти и тем самым вне поля политического действия. Э. Траверсо иллюстрирует это конкретным примером: когда в апреле 1994 года геноцид в Руанде ещё не был признан международным сообществом, именно апелляция к памяти о Холокосте оказалась единственным риторическим инструментом, способным привлечь к нему внимание. Однако автор фиксирует: «Malheureusement, il est plus facile de commémorer les génocides, surtout à des décennies de distance, que de les empêcher»</w:t>
      </w:r>
      <w:r>
        <w:rPr>
          <w:rStyle w:val="FootnoteReference"/>
        </w:rPr>
        <w:footnoteReference w:id="43"/>
      </w:r>
      <w:r>
        <w:t xml:space="preserve">. Память, опирающаяся на институциональные структуры, обращена в прошлое: она фиксирует уже признанные катастрофы и использует их как отправную точку разговоров о современном.</w:t>
      </w:r>
      <w:r>
        <w:t xml:space="preserve"> </w:t>
      </w:r>
      <w:r>
        <w:rPr>
          <w:bCs/>
          <w:b/>
        </w:rPr>
        <w:t xml:space="preserve">Этот аргумент важен для данного исследования потому, что он помещает анализируемый кейс в более широкую мемориальную экономию.</w:t>
      </w:r>
      <w:r>
        <w:t xml:space="preserve"> </w:t>
      </w:r>
      <w:r>
        <w:t xml:space="preserve">Геноцид армянского народа не признан со всех сторон (отрицается Турцией, признан различными государствами неравномерно), поэтому признание, которое производит выставка, работает внутри той же логики, что и описывает Э. Траверсо: оно одновременно вписывает событие в поле нормативной памяти и в своей символике опирается на ранее признанные катастрофы (Холокост, юридический язык «преступления против человечности», возникший в армянском контексте).</w:t>
      </w:r>
    </w:p>
    <w:p>
      <w:pPr>
        <w:pStyle w:val="BodyText"/>
      </w:pPr>
      <w:r>
        <w:t xml:space="preserve">Три рассмотренных подхода вместе выстраивают рамку анализа политической памяти. А. Ассман описывает структуру политической памяти: она производится институционально, выстраивает иерархию нормативных символов и закрепляется в материальных носителях. Т. Джадт показывает эту структуру в действии через асимметрию между тем, кто получает статус жертвы, а кто нет, и через логику мемориала как педагогического инструмента. Э. Траверсо добавляет, что память всегда производится в логике настоящего и что «долг памяти» не выводит из политики памяти, а создаёт её новую форму. Совместно эти позиции устанавливают: музей или мемориальная выставка является пространством политики памяти уже по своему устройству. Институциональный выбор того, что показать, как выстроить нарратив и какие голоса вывести на первый план, несёт политическое измерение независимо от декларируемых намерений создателей. Именно это превращает вопрос о кураторских решениях в исследовательский.</w:t>
      </w:r>
    </w:p>
    <w:bookmarkEnd w:id="44"/>
    <w:bookmarkStart w:id="53" w:name="X8a51d2de3e27ce11e4f7098111067ccdd80ef47"/>
    <w:p>
      <w:pPr>
        <w:pStyle w:val="Heading2"/>
      </w:pPr>
      <w:r>
        <w:t xml:space="preserve">1.4 Цифровая трансформация памяти и музей как медиатизированная форма политики памяти</w:t>
      </w:r>
    </w:p>
    <w:p>
      <w:pPr>
        <w:pStyle w:val="FirstParagraph"/>
      </w:pPr>
      <w:r>
        <w:t xml:space="preserve">Цифровые медиа изменили саму природу памяти, а не просто способы сохранения информации. Концепция «коннективного поворота» (connective turn) Эндрю Хоскинса описывает этот процесс как резкий переход к культуре изобилия данных, в которой традиционные институты памяти оказываются под давлением</w:t>
      </w:r>
      <w:r>
        <w:rPr>
          <w:rStyle w:val="FootnoteReference"/>
        </w:rPr>
        <w:footnoteReference w:id="45"/>
      </w:r>
      <w:r>
        <w:t xml:space="preserve">. Память начинает работать иначе: она одновременно закрепляет прошлое и лишает его устойчивости. В традиционной модели архив и музей выступали устойчивыми хранилищами памяти, обеспечивавшими её долговременную сохранность. В цифровую эпоху этот принцип размывается: память перестаёт существовать в виде неизменных форм и становится процессом постоянного обновления.</w:t>
      </w:r>
      <w:r>
        <w:t xml:space="preserve"> </w:t>
      </w:r>
      <w:r>
        <w:rPr>
          <w:bCs/>
          <w:b/>
        </w:rPr>
        <w:t xml:space="preserve">Концепция коннективного поворота Э. Хоскинса важна для данного исследования потому, что она помещает выставку «Геноциду — нет!» внутрь, а не снаружи современного кризиса традиционных мемориальных институций.</w:t>
      </w:r>
      <w:r>
        <w:t xml:space="preserve"> </w:t>
      </w:r>
      <w:r>
        <w:t xml:space="preserve">Выставка — это не «классический музейный проект, который случайно использует мультимедиа»: это мемориальная форма, создаваемая для среды, в которой аудитория уже исходит из того, что «всё доступно онлайн». Кураторские решения о формате, плотности материала и темпе переходов принимаются с учётом этой конкуренции.</w:t>
      </w:r>
    </w:p>
    <w:p>
      <w:pPr>
        <w:pStyle w:val="BodyText"/>
      </w:pPr>
      <w:r>
        <w:t xml:space="preserve">Э. Хоскинс описывает также среду, в которой медиа и память нельзя свести к единому носителю или индивиду, через концепцию «новой мемориальной экологии». Музеи, выставки и архивы стали воплощением «второго бума памяти» — периода второй половины XX века, когда институциональная культура памяти переживала расцвет</w:t>
      </w:r>
      <w:r>
        <w:rPr>
          <w:rStyle w:val="FootnoteReference"/>
        </w:rPr>
        <w:footnoteReference w:id="46"/>
      </w:r>
      <w:r>
        <w:t xml:space="preserve">. Однако в цифровую эпоху этот институциональный пик оборачивается кризисом. Убеждённость аудитории в том, что любую информацию можно найти онлайн, ведёт к оттоку от физических институций. Это следствие культуры «пост-дефицита»: избыток информации подрывает авторитет тех самых институтов, которые её хранят.</w:t>
      </w:r>
      <w:r>
        <w:t xml:space="preserve"> </w:t>
      </w:r>
      <w:r>
        <w:rPr>
          <w:bCs/>
          <w:b/>
        </w:rPr>
        <w:t xml:space="preserve">Понятие новой мемориальной экологии Э. Хоскинса важно для данного исследования потому, что оно объясняет, почему выставка вынуждена производить такую плотную работу присутствия и атмосферы — затемнение, непрерывную музыку, синхронные переходы, использование крупномасштабных LED-поверхностей.</w:t>
      </w:r>
      <w:r>
        <w:t xml:space="preserve"> </w:t>
      </w:r>
      <w:r>
        <w:t xml:space="preserve">В пост-дефицитной среде музей вынужден оправдывать физический визит, предлагая опыт, который онлайн-доступ воспроизвести не может; и часть пространственно-технологических решений выставки «Геноциду — нет!» в анализе читается именно как ответ на это конкурентное давление.</w:t>
      </w:r>
    </w:p>
    <w:p>
      <w:pPr>
        <w:pStyle w:val="BodyText"/>
      </w:pPr>
      <w:r>
        <w:t xml:space="preserve">Кризис посещаемости — внешнее проявление более глубокого сдвига. Анализ цифровых практик в музеях Холокоста, проведённый Вульфом Канштайнером, показывает, что институции не просто адаптируются к цифровой среде — они становятся от неё зависимы: «Successfully staging historical authenticity for today’s audiences requires digital technology. All these exhibits teem with digital media as they surround their visitors with re-mastered photos, sound recordings, and film footage»</w:t>
      </w:r>
      <w:r>
        <w:rPr>
          <w:rStyle w:val="FootnoteReference"/>
        </w:rPr>
        <w:footnoteReference w:id="47"/>
      </w:r>
      <w:r>
        <w:t xml:space="preserve">. Однако технология не отменяет институционального контроля над интерпретацией — она воспроизводит его в новых формах. Экспозиция мемориала в Бухенвальде демонстрирует это наглядно: «visitors are cast in relatively passive roles; they can watch, read, and listen but there are few explicit invitations to participate in the sense-making endeavor»</w:t>
      </w:r>
      <w:r>
        <w:rPr>
          <w:rStyle w:val="FootnoteReference"/>
        </w:rPr>
        <w:footnoteReference w:id="48"/>
      </w:r>
      <w:r>
        <w:t xml:space="preserve">. Цифровизация выставки не означает передачи власти над нарративом: вопрос о том, кто его контролирует, остаётся политическим.</w:t>
      </w:r>
      <w:r>
        <w:t xml:space="preserve"> </w:t>
      </w:r>
      <w:r>
        <w:rPr>
          <w:bCs/>
          <w:b/>
        </w:rPr>
        <w:t xml:space="preserve">Аргумент В. Канштайнера принципиален для данного исследования потому, что он прямо объясняет напряжение, которое воспроизводит выставка «Геноциду — нет!»:</w:t>
      </w:r>
      <w:r>
        <w:t xml:space="preserve"> </w:t>
      </w:r>
      <w:r>
        <w:t xml:space="preserve">мультимедийный формат экспозиции создаёт видимость технологической открытости, однако кураторские решения о том, какие голоса включены в нарратив и какова роль посетителя, по-прежнему определяются институциональной логикой организаторов.</w:t>
      </w:r>
    </w:p>
    <w:p>
      <w:pPr>
        <w:pStyle w:val="BodyText"/>
      </w:pPr>
      <w:r>
        <w:t xml:space="preserve">Это наблюдение указывает на разлом, который Э. Хоскинс описывает как противоречие между двумя культурами памяти: «one formalized, institutionalized, regimented (including online); the other more emergent, confrontational, yet fragmented»</w:t>
      </w:r>
      <w:r>
        <w:rPr>
          <w:rStyle w:val="FootnoteReference"/>
        </w:rPr>
        <w:footnoteReference w:id="49"/>
      </w:r>
      <w:r>
        <w:t xml:space="preserve">. Принципиально, что этот разлом проходит внутри самих институций, а не между музеем и его аудиторией. Мультимедийные выставки — это пространства, где данное противоречие не устраняется, а воспроизводится при каждом кураторском решении.</w:t>
      </w:r>
      <w:r>
        <w:t xml:space="preserve"> </w:t>
      </w:r>
      <w:r>
        <w:rPr>
          <w:bCs/>
          <w:b/>
        </w:rPr>
        <w:t xml:space="preserve">Эта диагностика Э. Хоскинса важна для данного исследования потому, что кейс «Геноциду — нет!» воплощает дополнительную, очень конкретную версию этого противоречия:</w:t>
      </w:r>
      <w:r>
        <w:t xml:space="preserve"> </w:t>
      </w:r>
      <w:r>
        <w:t xml:space="preserve">выставка создаётся диаспорной организацией на площадке государственного исторического парка, что изначально задаёт напряжение между институциональным нарративом площадки и мемориальным нарративом организаторов. В анализе это напряжение рассматривается как продуктивное — как источник кураторских компромиссов, имеющих аналитическую ценность.</w:t>
      </w:r>
    </w:p>
    <w:p>
      <w:pPr>
        <w:pStyle w:val="BodyText"/>
      </w:pPr>
      <w:r>
        <w:t xml:space="preserve">Почему разлом вообще стал возможен, объясняет концепция архивного порядка и его цифровой трансформации Вольфганга Эрнста. Традиционный музей строился по принципу архивного порядка, но цифровая среда заменяет этот порядок динамикой</w:t>
      </w:r>
      <w:r>
        <w:rPr>
          <w:rStyle w:val="FootnoteReference"/>
        </w:rPr>
        <w:footnoteReference w:id="50"/>
      </w:r>
      <w:r>
        <w:t xml:space="preserve">. Для музея это означает принципиальный сдвиг: он перестаёт быть просто хранилищем и становится пространством, где прошлое постоянно пересобирается.</w:t>
      </w:r>
      <w:r>
        <w:t xml:space="preserve"> </w:t>
      </w:r>
      <w:r>
        <w:rPr>
          <w:bCs/>
          <w:b/>
        </w:rPr>
        <w:t xml:space="preserve">Подход В. Эрнста важен для данного исследования потому, что он даёт техническое обоснование описанного разлома: когда прошлое становится процессом, а не архивом, власть над ним перестаёт принадлежать исключительно институции.</w:t>
      </w:r>
      <w:r>
        <w:t xml:space="preserve"> </w:t>
      </w:r>
      <w:r>
        <w:t xml:space="preserve">Эта перспектива позволяет читать перелистывающиеся, циклические изображения на LED-экранах не как автоматическую выборку из хранилища, а как непрерывную пересборку прошлого в присутствии посетителя.</w:t>
      </w:r>
    </w:p>
    <w:p>
      <w:pPr>
        <w:pStyle w:val="BodyText"/>
      </w:pPr>
      <w:r>
        <w:t xml:space="preserve">Вопрос о том, чьё прошлое производится и кому предоставляется видимость в этом процессе, задаёт концепция медиаполиса Роджера Силверстоуна</w:t>
      </w:r>
      <w:r>
        <w:rPr>
          <w:rStyle w:val="FootnoteReference"/>
        </w:rPr>
        <w:footnoteReference w:id="51"/>
      </w:r>
      <w:r>
        <w:t xml:space="preserve">. Медиатизированное публичное пространство — это место, где одни субъекты обретают видимость и право голоса, тогда как другие остаются невидимыми и неуслышанными. В этой перспективе мультимедийная выставка о геноциде — пространство политического явления: место, где одни субъекты получают видимость в публичном дискурсе, а другие остаются за его пределами. Ключевым условием такой видимости выступает медиагостеприимство — «первая добродетель медиаполиса», понятая не как право на свободу слова, а как обязанность слушать и слышать «Другого»: «Hospitality as a right not just to the freedom of speech but as an obligation to listen and to hear»</w:t>
      </w:r>
      <w:r>
        <w:rPr>
          <w:rStyle w:val="FootnoteReference"/>
        </w:rPr>
        <w:footnoteReference w:id="52"/>
      </w:r>
      <w:r>
        <w:t xml:space="preserve">. Появление «Другого» в выставочном пространстве само по себе ещё не гарантирует подлинного включения: медиатизация способна как усиливать присутствие, так и сводить субъекта к образу жертвы без голоса.</w:t>
      </w:r>
      <w:r>
        <w:t xml:space="preserve"> </w:t>
      </w:r>
      <w:r>
        <w:rPr>
          <w:bCs/>
          <w:b/>
        </w:rPr>
        <w:t xml:space="preserve">Концепция медиаполиса Р. Силверстоуна важна для данного исследования потому, что она даёт наиболее точный вопрос к эмпирическому материалу: в каком режиме жертва армянского геноцида присутствует на выставке — как исторический факт с собственным голосом или как образ страдания, лишённый субъектности?</w:t>
      </w:r>
      <w:r>
        <w:t xml:space="preserve"> </w:t>
      </w:r>
      <w:r>
        <w:t xml:space="preserve">Именно этот вопрос анализ операционализирует экранно: кто смотрит прямо на зрителя (то самое «требование» в терминах визуального дискурса), кто отводит взгляд, кто назван, а кто анонимен, и какими медиальными средствами раздаётся видимость.</w:t>
      </w:r>
    </w:p>
    <w:p>
      <w:pPr>
        <w:pStyle w:val="BodyText"/>
      </w:pPr>
      <w:r>
        <w:t xml:space="preserve">В совокупности рассмотренные концепции описывают цифровой музей как пространство, где одновременно происходит несколько процессов. Институциональный контроль над нарративом сохраняется, но воспроизводится через технологию, а не вопреки ей. Прошлое перестаёт быть архивным фондом и становится процессом постоянной актуализации. Видимость в этом процессе распределена неравномерно, и кураторские решения определяют, кто получает право голоса в мемориальном пространстве.</w:t>
      </w:r>
    </w:p>
    <w:bookmarkEnd w:id="53"/>
    <w:bookmarkStart w:id="60" w:name="Xa9acc7275ad0c7d37de918ccd6b24296d933c94"/>
    <w:p>
      <w:pPr>
        <w:pStyle w:val="Heading2"/>
      </w:pPr>
      <w:r>
        <w:t xml:space="preserve">1.5 Музей как медиальная и политическая форма памяти</w:t>
      </w:r>
    </w:p>
    <w:p>
      <w:pPr>
        <w:pStyle w:val="FirstParagraph"/>
      </w:pPr>
      <w:r>
        <w:t xml:space="preserve">Понимание выставочного пространства как среды, где формируется политическая память, сложилось под влиянием нескольких теоретических традиций. Концепция «выставочного комплекса» (exhibitionary complex) Тони Беннетта описывает музеи XIX века как часть системы учреждений, которые управляли поведением и сознанием публики</w:t>
      </w:r>
      <w:r>
        <w:rPr>
          <w:rStyle w:val="FootnoteReference"/>
        </w:rPr>
        <w:footnoteReference w:id="54"/>
      </w:r>
      <w:r>
        <w:t xml:space="preserve">. Музей действовал не через прямое принуждение, а через добровольное самоуправление: власть здесь организовывала порядок вещей и задавала посетителю определённую позицию внутри этого порядка. Музей стремился поставить народ на свою сторону — не запугиванием, а включением зрителя в добровольное соучастие на стороне власти. Экспозиция становится политической формой: она не предъявляет идеологию в виде прямых утверждений, а формирует у посетителя определённый взгляд через то, как организовано пространство, как расположены предметы и как построено эмоциональное воздействие.</w:t>
      </w:r>
      <w:r>
        <w:t xml:space="preserve"> </w:t>
      </w:r>
      <w:r>
        <w:rPr>
          <w:bCs/>
          <w:b/>
        </w:rPr>
        <w:t xml:space="preserve">Концепция выставочного комплекса Т. Беннетта важна для данного исследования потому, что она даёт самый сильный аргумент в пользу того, что политическое измерение выставки — структурное, а не декларативное.</w:t>
      </w:r>
      <w:r>
        <w:t xml:space="preserve"> </w:t>
      </w:r>
      <w:r>
        <w:t xml:space="preserve">Применительно к «Геноциду — нет!» это означает, что даже если бы кураторы не формулировали явных политических целей, сама организация пространства экспозиции — линейный маршрут, тёмный зал, коридор авторитетных баннеров, синхронные переходы — всё равно несла бы политическое значение: посетитель помещается в определённое отношение к прошлому самим устройством пространства, и анализ задаётся вопросом, какая именно позиция конструируется.</w:t>
      </w:r>
    </w:p>
    <w:p>
      <w:pPr>
        <w:pStyle w:val="BodyText"/>
      </w:pPr>
      <w:r>
        <w:t xml:space="preserve">Концепция выставочного комплекса Т. Беннетта фиксирует также принципиальный пространственный принцип: совмещение функций зрелища и наблюдения. Посетитель одновременно оказывается и зрителем, и объектом контроля, а само пространство управляет и тем, что он видит, и тем, как он это видит</w:t>
      </w:r>
      <w:r>
        <w:rPr>
          <w:rStyle w:val="FootnoteReference"/>
        </w:rPr>
        <w:footnoteReference w:id="55"/>
      </w:r>
      <w:r>
        <w:t xml:space="preserve">.</w:t>
      </w:r>
      <w:r>
        <w:t xml:space="preserve"> </w:t>
      </w:r>
      <w:r>
        <w:rPr>
          <w:bCs/>
          <w:b/>
        </w:rPr>
        <w:t xml:space="preserve">Эта двойственность важна для данного исследования потому, что она позволяет интерпретировать технологически отличительную черту выставки «Геноциду — нет!» — синхронные переходы между всеми LED-экранами — как именно такой пространственный механизм.</w:t>
      </w:r>
      <w:r>
        <w:t xml:space="preserve"> </w:t>
      </w:r>
      <w:r>
        <w:t xml:space="preserve">Переходы помещают всех посетителей в одну и ту же точку нарратива в одно и то же время, и эта синхронизация — не просто техническая деталь, а способ производить совместный, коллективно управляемый режим смотрения. Концепция выставочного комплекса тем самым объясняет, как музей работает как форма власти, однако оставляет открытым вопрос о том, через какие конкретные механизмы эта власть реализуется на уровне смыслопроизводства.</w:t>
      </w:r>
    </w:p>
    <w:p>
      <w:pPr>
        <w:pStyle w:val="BodyText"/>
      </w:pPr>
      <w:r>
        <w:t xml:space="preserve">На этот вопрос отвечает концепция «пост-музея» (post-museum) Эйлин Хупер-Гринхилл. В этой модели музей перестаёт быть передатчиком единственно верного знания и становится пространством интерпретативных рамок: именно рамки, а не сами объекты, определяют, как экспонат будет понят. Объекты сами по себе не обладают смыслом: «displayed objects of all types are made meaningful according to the interpretive frameworks within which they are placed»</w:t>
      </w:r>
      <w:r>
        <w:rPr>
          <w:rStyle w:val="FootnoteReference"/>
        </w:rPr>
        <w:footnoteReference w:id="56"/>
      </w:r>
      <w:r>
        <w:t xml:space="preserve">. Музейная экспозиция конструирует реальность через отбор предметов, их расстановку и сопровождающий текст. Традиционный музей опирался на трансмиссионную модель: знание передавалось посетителю в готовом виде, а его собственная активность в этом процессе не предполагалась. На смену ей приходит конструктивистский подход, в котором посетитель рассматривается как активный субъект, выстраивающий смысл в диалоге с выставочным пространством</w:t>
      </w:r>
      <w:r>
        <w:rPr>
          <w:rStyle w:val="FootnoteReference"/>
        </w:rPr>
        <w:footnoteReference w:id="57"/>
      </w:r>
      <w:r>
        <w:t xml:space="preserve">.</w:t>
      </w:r>
      <w:r>
        <w:t xml:space="preserve"> </w:t>
      </w:r>
      <w:r>
        <w:rPr>
          <w:bCs/>
          <w:b/>
        </w:rPr>
        <w:t xml:space="preserve">Концепция пост-музея Э. Хупер-Гринхилл важна для данного исследования потому, что она позволяет читать выставку «Геноциду — нет!» как систему интерпретативных рамок, а не как сумму экспонатов.</w:t>
      </w:r>
      <w:r>
        <w:t xml:space="preserve"> </w:t>
      </w:r>
      <w:r>
        <w:t xml:space="preserve">Аналитический вопрос становится конкретным: какие именно рамки кураторы выбрали для представления геноцида армянского народа и как эти рамки направляют восприятие посетителя.</w:t>
      </w:r>
    </w:p>
    <w:p>
      <w:pPr>
        <w:pStyle w:val="BodyText"/>
      </w:pPr>
      <w:r>
        <w:t xml:space="preserve">Концепция пост-музея объясняет, через какие интерпретативные механизмы работает экспозиция, однако не отвечает на вопрос, почему именно сегодня производство памяти через музейные институции приобрело такую интенсивность. Ответ на этот вопрос даёт концепция «гипертрофии памяти» Андреаса Хейссена. Ситуация, при которой прошлое становится политическим ресурсом настоящего, описывается как состояние, когда политика памяти неразрывно связана с актуальными общественными процессами и подвержена изменениям под влиянием политических и поколенческих факторов</w:t>
      </w:r>
      <w:r>
        <w:rPr>
          <w:rStyle w:val="FootnoteReference"/>
        </w:rPr>
        <w:footnoteReference w:id="58"/>
      </w:r>
      <w:r>
        <w:t xml:space="preserve">. Понятие «палимпсест» в этом контексте означает, что городское пространство и архитектурные объекты накапливают слои смыслов: «we have come to read cities and buildings as palimpsests of space»</w:t>
      </w:r>
      <w:r>
        <w:rPr>
          <w:rStyle w:val="FootnoteReference"/>
        </w:rPr>
        <w:footnoteReference w:id="59"/>
      </w:r>
      <w:r>
        <w:t xml:space="preserve">. Такой взгляд позволяет увидеть, что музейная экспозиция не фиксирует прошлое в неизменном виде, а предлагает его новое прочтение при каждом обращении.</w:t>
      </w:r>
      <w:r>
        <w:t xml:space="preserve"> </w:t>
      </w:r>
      <w:r>
        <w:rPr>
          <w:bCs/>
          <w:b/>
        </w:rPr>
        <w:t xml:space="preserve">Концепция гипертрофии памяти А. Хейссена важна для данного исследования потому, что она позволяет рассматривать сам факт существования выставки — её появление в 2021 году на площадке парка «Россия — моя история», в год 106-летия геноцида и в контексте российско-турецких отношений — как акт политики памяти, а не как нейтральный мемориальный жест.</w:t>
      </w:r>
      <w:r>
        <w:t xml:space="preserve"> </w:t>
      </w:r>
      <w:r>
        <w:t xml:space="preserve">В анализе ежегодное повторение выставки в 2021–2024 годах и её расширение в другие города (Санкт-Петербург, Нижний Новгород, Екатеринбург) читается как активное производство мемориального палимпсеста федерального масштаба.</w:t>
      </w:r>
    </w:p>
    <w:p>
      <w:pPr>
        <w:pStyle w:val="BodyText"/>
      </w:pPr>
      <w:r>
        <w:t xml:space="preserve">В результате сопоставления рассмотренных концепций выявляется логика, которая связывает все три подхода. Концепция выставочного комплекса Т. Беннетта показывает, что музей изначально встроен в отношения власти и конструирует позицию зрителя через пространственную организацию. Концепция пост-музея Э. Хупер-Гринхилл описывает механизм этого конструирования: через интерпретативные рамки, которые определяют, как воспринимается тот или иной экспонат. Концепция гипертрофии памяти А. Хейссена объясняет, почему этот механизм в современных условиях приобретает политическую остроту: прошлое становится ресурсом в актуальных конфликтах, и выставка о геноциде неизбежно оказывается участником этих конфликтов. Совокупность этих концепций формирует аналитический горизонт, в котором кураторские решения выставки могут быть рассмотрены как политические акты, а не как технические задачи экспозиционного дизайна.</w:t>
      </w:r>
    </w:p>
    <w:bookmarkEnd w:id="60"/>
    <w:bookmarkStart w:id="76" w:name="X6b7cc7a14e3c3f12d5d8d91c64e5dfb492d88ee"/>
    <w:p>
      <w:pPr>
        <w:pStyle w:val="Heading2"/>
      </w:pPr>
      <w:r>
        <w:t xml:space="preserve">1.6 Кураторство и кураторские решения: от экспозиционной практики к производству политической памяти</w:t>
      </w:r>
    </w:p>
    <w:p>
      <w:pPr>
        <w:pStyle w:val="FirstParagraph"/>
      </w:pPr>
      <w:r>
        <w:t xml:space="preserve">Кураторские решения определяют версию прошлого для посетителя. Они определяют, какие нарративы окажутся в центре экспозиции, а какие уйдут на второй план. Они также определяют, как медиатехнологии будут задействованы для эмоционального и политического воздействия. Этот параграф сопоставляет концепции кураторства в трёх измерениях: традиционное курирование выставок, курирование мультимедийных проектов, курирование экспозиций о травматической памяти. Понимание этих подходов необходимо для ответа на центральный исследовательский вопрос.</w:t>
      </w:r>
    </w:p>
    <w:p>
      <w:pPr>
        <w:pStyle w:val="BodyText"/>
      </w:pPr>
      <w:r>
        <w:t xml:space="preserve">Для анализа кураторских решений на выставке «Геноциду — нет!» важно понимать, что выставка не является нейтральным показом материала: напротив, она сама производит смысл. Концепция авторской кураторской практики, предложенная Полом О’Нилом, позволяет рассматривать экспозицию именно так. Исследователь показывает, как во второй половине XX века фигура куратора сместилась с позиции хранителя коллекции. Раньше куратор работал «за кулисами», но позже он превратился в независимого автора. По наблюдению П. О’Нила, куратор изменился с «организатора за сценой и арбитра вкуса» до «самостоятельно мотивированного практика с более центральной позицией в современном арт-мире»</w:t>
      </w:r>
      <w:r>
        <w:rPr>
          <w:rStyle w:val="FootnoteReference"/>
        </w:rPr>
        <w:footnoteReference w:id="61"/>
      </w:r>
      <w:r>
        <w:t xml:space="preserve">. Групповая выставка в этой логике перестаёт быть суммой экспонатов: она превращается в авторское высказывание.</w:t>
      </w:r>
      <w:r>
        <w:t xml:space="preserve"> </w:t>
      </w:r>
      <w:r>
        <w:rPr>
          <w:bCs/>
          <w:b/>
        </w:rPr>
        <w:t xml:space="preserve">Концепция авторской кураторской практики П. О’Нила важна для данного исследования потому, что она позволяет рассматривать куратора выставки «Геноциду — нет!» не как технического организатора площадки, а как автора связного высказывания.</w:t>
      </w:r>
      <w:r>
        <w:t xml:space="preserve"> </w:t>
      </w:r>
      <w:r>
        <w:t xml:space="preserve">Это означает, что в анализе внимание уделяется не только тому, что показано, но и согласованности авторского голоса между разными форматами: выбор хронологии, авторитетных голосов на баннерах, символов на переходных экранах, финальной цветной фотографии у мемориала Цицернакаберд — всё это читается как элементы единого авторского жеста, а не как изолированные решения.</w:t>
      </w:r>
    </w:p>
    <w:p>
      <w:pPr>
        <w:pStyle w:val="BodyText"/>
      </w:pPr>
      <w:r>
        <w:t xml:space="preserve">Также существенно, что кураторские решения не являются следствием заранее выстроенной теоретической концепции: они рождаются в процессе практической работы. Концепция кураторского мышления Терри Смита даёт инструмент для понимания этого. Т. Смит формулирует: «curatorial thinking… is always deeply embedded in the practice of actually mounting the exhibition»</w:t>
      </w:r>
      <w:r>
        <w:rPr>
          <w:rStyle w:val="FootnoteReference"/>
        </w:rPr>
        <w:footnoteReference w:id="62"/>
      </w:r>
      <w:r>
        <w:t xml:space="preserve">. Кураторские решения в выставке «Геноциду — нет!» складывались в условиях конкретных институциональных ограничений, доступных технологий и политического контекста; их нельзя вывести из общей теории. Показательно также, что в исследованиях о кураторстве прослеживается появление глагола «to curate» вместо существительного «curator». Это маркер перехода от статичной роли к динамической деятельности: кураторство становится процессом производства и медиации</w:t>
      </w:r>
      <w:r>
        <w:rPr>
          <w:rStyle w:val="FootnoteReference"/>
        </w:rPr>
        <w:footnoteReference w:id="63"/>
      </w:r>
      <w:r>
        <w:t xml:space="preserve">.</w:t>
      </w:r>
      <w:r>
        <w:t xml:space="preserve"> </w:t>
      </w:r>
      <w:r>
        <w:rPr>
          <w:bCs/>
          <w:b/>
        </w:rPr>
        <w:t xml:space="preserve">Концепция кураторского мышления Т. Смита важна для данного исследования потому, что она даёт прямое теоретическое обоснование тому, что наблюдение на выставке необходимо дополнять интервью с куратором.</w:t>
      </w:r>
      <w:r>
        <w:t xml:space="preserve"> </w:t>
      </w:r>
      <w:r>
        <w:t xml:space="preserve">Если кураторское мышление встроено в практику, то его невозможно полностью реконструировать только по артефактам — его нужно извлекать из самого практика. Деятельностная трактовка кураторства, в свою очередь, делает корректным исследовательский вопрос о конкретных решениях, которые формируют медиатизацию прошлого в пространстве выставки.</w:t>
      </w:r>
    </w:p>
    <w:p>
      <w:pPr>
        <w:pStyle w:val="BodyText"/>
      </w:pPr>
      <w:r>
        <w:t xml:space="preserve">Мультимедийная выставка «Геноциду — нет!» использует цифровые технологии, которые меняют саму природу кураторской работы. Для объяснения этого механизма продуктивна концепция культурного интерфейса Льва Мановича. Л. Манович показывает, что любое новое медиа — это код, который накладывает собственную логику на передаваемые сообщения. Он утверждает: «the interface shapes how the computer user conceives the computer itself. It also determines how users think of any media object accessed via a computer»</w:t>
      </w:r>
      <w:r>
        <w:rPr>
          <w:rStyle w:val="FootnoteReference"/>
        </w:rPr>
        <w:footnoteReference w:id="64"/>
      </w:r>
      <w:r>
        <w:t xml:space="preserve">. Выбор интерактивного формата предопределяет способ восприятия контента: куратор, размещая материал в интерактивной среде, одновременно выбирает средство доставки и тем самым программирует восприятие посетителя.</w:t>
      </w:r>
      <w:r>
        <w:t xml:space="preserve"> </w:t>
      </w:r>
      <w:r>
        <w:rPr>
          <w:bCs/>
          <w:b/>
        </w:rPr>
        <w:t xml:space="preserve">Концепция культурного интерфейса Л. Мановича важна для данного исследования потому, что она объясняет, почему кураторские решения о технологии нельзя отделить от решений о содержании.</w:t>
      </w:r>
      <w:r>
        <w:t xml:space="preserve"> </w:t>
      </w:r>
      <w:r>
        <w:t xml:space="preserve">Когда кураторы выставки «Геноциду — нет!» помещают текст на сенсорный стол, а изображение — на LED-экран, они одновременно выбирают, какому типу когнитивной активности (чтение, просмотр, прикосновение) будет соответствовать какой тип материала.</w:t>
      </w:r>
    </w:p>
    <w:p>
      <w:pPr>
        <w:pStyle w:val="BodyText"/>
      </w:pPr>
      <w:r>
        <w:t xml:space="preserve">Концепция цифровой трансформации музея Росса Пэрри дополняет это аналитически. Р. Пэрри фиксирует переход от «музейной информатики» к «цифровому наследию», который подразумевает более критическое и теоретически осознанное отношение к использованию технологий</w:t>
      </w:r>
      <w:r>
        <w:rPr>
          <w:rStyle w:val="FootnoteReference"/>
        </w:rPr>
        <w:footnoteReference w:id="65"/>
      </w:r>
      <w:r>
        <w:t xml:space="preserve">. Сопоставление подходов Л. Мановича и Р. Пэрри обнаруживает противоречие по вопросу о роли куратора в цифровой среде. Концепция культурного интерфейса акцентирует структурную власть технологии над восприятием; концепция цифрового наследия смещает акцент на сознательный выбор куратора, который должен критически осваивать технологию. Различие позиций указывает: кураторские решения в мультимедийной выставке нельзя объяснить только технологическими возможностями платформы; их нельзя объяснить и только субъективным замыслом создателей. Анализ требует учёта обоих уровней.</w:t>
      </w:r>
      <w:r>
        <w:t xml:space="preserve"> </w:t>
      </w:r>
      <w:r>
        <w:rPr>
          <w:bCs/>
          <w:b/>
        </w:rPr>
        <w:t xml:space="preserve">Совместная рамка Л. Мановича и Р. Пэрри важна для данного исследования потому, что она обязывает к двухуровневому анализу: каждое кураторское решение прочитывается одновременно как ответ на аффордансы платформы и как результат критической рефлексии этих аффордансов.</w:t>
      </w:r>
      <w:r>
        <w:t xml:space="preserve"> </w:t>
      </w:r>
      <w:r>
        <w:t xml:space="preserve">Данные интервью особенно ценны для такого различения: когда куратор говорит, что «другой формат не рассматривали в историческом парке», он обнаруживает ограничение площадки; когда же он объясняет идею сенсорного стола при входе как собственное решение, он обнаруживает момент критического авторского выбора.</w:t>
      </w:r>
    </w:p>
    <w:p>
      <w:pPr>
        <w:pStyle w:val="BodyText"/>
      </w:pPr>
      <w:r>
        <w:t xml:space="preserve">Для анализа кураторских решений важно также понимать, как посетители физически взаимодействуют с содержанием выставки. Концепция Шэрон Макдональд даёт инструмент для такого анализа. Она исследует три взаимосвязанные области музейного опыта: пространство, медиа и социальность</w:t>
      </w:r>
      <w:r>
        <w:rPr>
          <w:rStyle w:val="FootnoteReference"/>
        </w:rPr>
        <w:footnoteReference w:id="66"/>
      </w:r>
      <w:r>
        <w:t xml:space="preserve">. В области пространства способ перемещения посетителя по выставке напрямую влияет на его интерпретацию: «How people negotiate their way through museums and galleries can have considerable implications for how they relate to and interpret exhibition content»</w:t>
      </w:r>
      <w:r>
        <w:rPr>
          <w:rStyle w:val="FootnoteReference"/>
        </w:rPr>
        <w:footnoteReference w:id="67"/>
      </w:r>
      <w:r>
        <w:t xml:space="preserve">. Кураторское решение о маршруте — строгая последовательность залов или, напротив, свободная навигация — это не технический выбор, а выбор о том, какой тип восприятия политической памяти предлагается посетителю. Разные стили движения, от следования заданному маршруту до свободного переключения между объектами, зависят от дизайна выставки</w:t>
      </w:r>
      <w:r>
        <w:rPr>
          <w:rStyle w:val="FootnoteReference"/>
        </w:rPr>
        <w:footnoteReference w:id="68"/>
      </w:r>
      <w:r>
        <w:t xml:space="preserve">. Кураторы могут программировать определённый стиль движения, и это влияет на то, как усваивается нарратив о прошлом.</w:t>
      </w:r>
    </w:p>
    <w:p>
      <w:pPr>
        <w:pStyle w:val="BodyText"/>
      </w:pPr>
      <w:r>
        <w:t xml:space="preserve">В области медиа физические объекты привлекают больше внимания посетителей, чем тексты: «visitors tend to be very attentive to objects, and only occasionally attentive to labels»</w:t>
      </w:r>
      <w:r>
        <w:rPr>
          <w:rStyle w:val="FootnoteReference"/>
        </w:rPr>
        <w:footnoteReference w:id="69"/>
      </w:r>
      <w:r>
        <w:t xml:space="preserve">. Для выставки о геноциде это означает, что фотографии, записи и документы становятся главным инструментом производства политической памяти. Кураторское решение о том, какие объекты показать и как их расположить, определяет, что именно запомнит посетитель.</w:t>
      </w:r>
      <w:r>
        <w:t xml:space="preserve"> </w:t>
      </w:r>
      <w:r>
        <w:rPr>
          <w:bCs/>
          <w:b/>
        </w:rPr>
        <w:t xml:space="preserve">Трёхчастная рамка Ш. Макдональд важна для данного исследования потому, что она замыкает связь между технологическим выбором и телесным опытом.</w:t>
      </w:r>
      <w:r>
        <w:t xml:space="preserve"> </w:t>
      </w:r>
      <w:r>
        <w:t xml:space="preserve">Л. Манович объясняет, как цифровой интерфейс программирует восприятие на уровне кода; Ш. Макдональд показывает, как физическое пространство, выбор медиа и социальное взаимодействие делают то же самое на уровне поведения посетителя. Для анализа выставки «Геноциду — нет!» это означает, что технологический, пространственный и социальный уровни необходимо рассматривать одновременно.</w:t>
      </w:r>
    </w:p>
    <w:p>
      <w:pPr>
        <w:pStyle w:val="BodyText"/>
      </w:pPr>
      <w:r>
        <w:t xml:space="preserve">Выставка «Геноциду — нет!» относится к жанру мемориального музея. Чтобы проанализировать её кураторские решения, необходимо понимать структурные характеристики этого жанра. Концепция мемориального музея Пола Уильямса описывает эти характеристики. П. Уильямс разграничивает три смежных понятия: monument, museum, memorial museum. Monument — это скульптура или физический маркер, созданный для увековечения; museum — это институт, который занимается приобретением, хранением, изучением и экспонированием объектов; memorial museum — это специфический жанр, посвящённый историческому событию, связанному с массовым страданием</w:t>
      </w:r>
      <w:r>
        <w:rPr>
          <w:rStyle w:val="FootnoteReference"/>
        </w:rPr>
        <w:footnoteReference w:id="70"/>
      </w:r>
      <w:r>
        <w:t xml:space="preserve">. В самом термине заложено внутреннее противоречие: memorial предполагает безоценочную скорбь, museum требует критической интерпретации и контекстуализации. П. Уильямс считает это противоречие конститутивным для жанра — оно воспроизводится в каждом кураторском решении.</w:t>
      </w:r>
      <w:r>
        <w:t xml:space="preserve"> </w:t>
      </w:r>
      <w:r>
        <w:rPr>
          <w:bCs/>
          <w:b/>
        </w:rPr>
        <w:t xml:space="preserve">Концепция конститутивного напряжения мемориального музея П. Уильямса важна для данного исследования потому, что она даёт теоретическую формулировку трейд-оффа, который эмпирически воспроизводится в выставке «Геноциду — нет!»:</w:t>
      </w:r>
      <w:r>
        <w:t xml:space="preserve"> </w:t>
      </w:r>
      <w:r>
        <w:t xml:space="preserve">каждый кураторский выбор на такой выставке вынужден балансировать между скорбью, трагичностью и интерпретацией, и в анализе этот баланс прослеживается в конкретных решениях об изображениях, тексте, звуке и маршруте.</w:t>
      </w:r>
    </w:p>
    <w:p>
      <w:pPr>
        <w:pStyle w:val="BodyText"/>
      </w:pPr>
      <w:r>
        <w:t xml:space="preserve">Миссия мемориального музея жёстко очерчена. П. Уильямс формулирует её так: «to illuminate, commemorate, and educate about a particular, bounded, and vivid historic event»</w:t>
      </w:r>
      <w:r>
        <w:rPr>
          <w:rStyle w:val="FootnoteReference"/>
        </w:rPr>
        <w:footnoteReference w:id="71"/>
      </w:r>
      <w:r>
        <w:t xml:space="preserve">. Ограниченность этой миссии отличает мемориальный музей от крупного исторического музея. Применительно к «Геноциду — нет!» это означает, что вся экспозиция следует задаче сделать геноцид армян 1915 года понятным, видимым и морально значимым; любое отступление нарушает жанровую логику и требует от кураторов отдельного обоснования.</w:t>
      </w:r>
    </w:p>
    <w:p>
      <w:pPr>
        <w:pStyle w:val="BodyText"/>
      </w:pPr>
      <w:r>
        <w:t xml:space="preserve">П. Уильямс также указывает, что организованное насилие уничтожает следы своего существования: жертв лишают имущества, записи сжигают, людей хоронят в безымянных могилах. Отсюда — ограниченность материала для мемориальных музеев. Каждый сохранившийся объект несёт особую доказательную нагрузку: он существует как осязаемое свидетельство «in the face of dispute and even denial of what happened»</w:t>
      </w:r>
      <w:r>
        <w:rPr>
          <w:rStyle w:val="FootnoteReference"/>
        </w:rPr>
        <w:footnoteReference w:id="72"/>
      </w:r>
      <w:r>
        <w:t xml:space="preserve">.</w:t>
      </w:r>
      <w:r>
        <w:t xml:space="preserve"> </w:t>
      </w:r>
      <w:r>
        <w:rPr>
          <w:bCs/>
          <w:b/>
        </w:rPr>
        <w:t xml:space="preserve">Этот тезис П. Уильямса важен для данного исследования потому, что он особенно релевантен для случая армянского геноцида, который по-прежнему не признаётся многими странами и отрицается Турцией.</w:t>
      </w:r>
      <w:r>
        <w:t xml:space="preserve"> </w:t>
      </w:r>
      <w:r>
        <w:t xml:space="preserve">Каждый артефакт на выставке функционирует в том числе как документальное опровержение этого отрицания; в анализе выбор кураторов в пользу определённых фотографий (например, документальных кадров Армина Вегнера) и оригинальных документов (письмо Толстого, парламентские постановления) читается как доказательственный, а не только иллюстративный жест.</w:t>
      </w:r>
    </w:p>
    <w:p>
      <w:pPr>
        <w:pStyle w:val="BodyText"/>
      </w:pPr>
      <w:r>
        <w:t xml:space="preserve">Существенно также, что мемориальные музеи оказываются «immediately politicized» в силу самого жанра. П. Уильямс пишет о «an uneasy coexistence of reverent commemoration and critical interpretation»</w:t>
      </w:r>
      <w:r>
        <w:rPr>
          <w:rStyle w:val="FootnoteReference"/>
        </w:rPr>
        <w:footnoteReference w:id="73"/>
      </w:r>
      <w:r>
        <w:t xml:space="preserve">. В числе случаев, когда этот политический характер выходит на поверхность, П. Уильямс называет «дипломатическую холодную войну между турками и армянами» как пример того, как музейная репрезентация массового насилия становится полем международного конфликта</w:t>
      </w:r>
      <w:r>
        <w:rPr>
          <w:rStyle w:val="FootnoteReference"/>
        </w:rPr>
        <w:footnoteReference w:id="74"/>
      </w:r>
      <w:r>
        <w:t xml:space="preserve">.</w:t>
      </w:r>
      <w:r>
        <w:t xml:space="preserve"> </w:t>
      </w:r>
      <w:r>
        <w:rPr>
          <w:bCs/>
          <w:b/>
        </w:rPr>
        <w:t xml:space="preserve">Это наблюдение прямо релевантно для данного исследования потому, что выставка «Геноциду — нет!» существует в условиях незавершённого конфликта признания.</w:t>
      </w:r>
      <w:r>
        <w:t xml:space="preserve"> </w:t>
      </w:r>
      <w:r>
        <w:t xml:space="preserve">Кураторские решения в ней принимаются с учётом логики этого конфликта, и явная апелляция к признанию в финальном разделе экспозиции в анализе рассматривается как непосредственное вмешательство в продолжающийся международный спор.</w:t>
      </w:r>
    </w:p>
    <w:p>
      <w:pPr>
        <w:pStyle w:val="BodyText"/>
      </w:pPr>
      <w:r>
        <w:t xml:space="preserve">Наконец, для анализа политического измерения кураторских решений важна концепция мемориального музея как инструмента легитимации, предложенная Эми Содаро. Э. Содаро рассматривает мемориальные музеи как институты, выполняющие три декларируемые функции: сохранение правды о прошлом, мемориальное признание жертв и моральное образование. За этими декларируемыми целями скрывается четвёртая, негласная функция: «легитимация текущего политического режима»</w:t>
      </w:r>
      <w:r>
        <w:rPr>
          <w:rStyle w:val="FootnoteReference"/>
        </w:rPr>
        <w:footnoteReference w:id="75"/>
      </w:r>
      <w:r>
        <w:t xml:space="preserve">.</w:t>
      </w:r>
      <w:r>
        <w:t xml:space="preserve"> </w:t>
      </w:r>
      <w:r>
        <w:rPr>
          <w:bCs/>
          <w:b/>
        </w:rPr>
        <w:t xml:space="preserve">Концепция легитимирующей функции мемориального музея Э. Содаро принципиальна для данного исследования потому, что она показывает: любой выбор в экспозиции о геноциде — от подбора фотографий до организации маршрута — является политическим жестом, независимо от того, осознают ли это сами кураторы.</w:t>
      </w:r>
      <w:r>
        <w:t xml:space="preserve"> </w:t>
      </w:r>
      <w:r>
        <w:t xml:space="preserve">Э. Содаро также обращает внимание на то, как мемориальные музеи заимствуют друг у друга экспозиционные тропы («стены имён», видеосвидетельства), создавая глобальный язык скорби.</w:t>
      </w:r>
      <w:r>
        <w:t xml:space="preserve"> </w:t>
      </w:r>
      <w:r>
        <w:rPr>
          <w:bCs/>
          <w:b/>
        </w:rPr>
        <w:t xml:space="preserve">Это наблюдение важно для исследования потому, что оно открывает аналитический вопрос: в какой мере «Геноциду — нет!» воспроизводит этот глобальный язык, а в какой вырабатывает собственный — например, в символике незабудки и тернового венца, имеющей специфически армянское происхождение.</w:t>
      </w:r>
    </w:p>
    <w:p>
      <w:pPr>
        <w:pStyle w:val="BodyText"/>
      </w:pPr>
      <w:r>
        <w:t xml:space="preserve">Кураторские решения в мультимедийной выставке о геноциде функционируют на нескольких уровнях. На уровне авторства они конструируют определённую версию прошлого. На уровне медиатехнологий они программируют способ восприятия этой версии посетителем. На уровне пространства и социальности они организуют физическое перемещение и совместное взаимодействие. На уровне политики памяти они легитимируют или оспаривают конкретные интерпретации исторических событий.</w:t>
      </w:r>
    </w:p>
    <w:bookmarkEnd w:id="76"/>
    <w:bookmarkStart w:id="77" w:name="аналитическая-рамка"/>
    <w:p>
      <w:pPr>
        <w:pStyle w:val="Heading2"/>
      </w:pPr>
      <w:r>
        <w:t xml:space="preserve">Аналитическая рамка</w:t>
      </w:r>
    </w:p>
    <w:p>
      <w:pPr>
        <w:pStyle w:val="FirstParagraph"/>
      </w:pPr>
      <w:r>
        <w:t xml:space="preserve">Концепции, рассмотренные в главе, выполняют две разные функции. Одни описывают объект анализа; другие дают инструменты для понимания того, как именно он производится. Аналитическая рамка собирается из тех концепций, которые в совокупности позволяют видеть кураторское решение одновременно как ответ на технологическую среду, как акт перевода материала из архива в актуальную память, как проектирование позиции посетителя и как решение о том, кому предоставить голос.</w:t>
      </w:r>
    </w:p>
    <w:p>
      <w:pPr>
        <w:pStyle w:val="BodyText"/>
      </w:pPr>
      <w:r>
        <w:t xml:space="preserve">Первая опора рамки —</w:t>
      </w:r>
      <w:r>
        <w:t xml:space="preserve"> </w:t>
      </w:r>
      <w:r>
        <w:rPr>
          <w:bCs/>
          <w:b/>
        </w:rPr>
        <w:t xml:space="preserve">условия, в которых принимаются кураторские решения</w:t>
      </w:r>
      <w:r>
        <w:t xml:space="preserve">. С. Хьярвард показывает, что медиа обладают собственной логикой — форматами, принципами и ограничениями, которым другие институции вынуждены подчиняться. А. Хепп уточняет: формообразующие силы медиа проявляются только в конкретном контексте и зависят от него; «медиалогика вообще» — это абстракция, тогда как реальная медиатизация всегда привязана к конкретному медиатизированному миру. Различение прямой и косвенной медиатизации даёт инструмент для одновременного описания того, как выставка зависит от инфраструктуры площадки (прямая) и как она наследует конвенции цифрового выставочного дизайна (косвенная). Концепции глубинной медиатизации Н. Коулдри и А. Хеппа замыкают эту опору: цифровые компоненты экспозиции рассматриваются как базовая инфраструктура смыслопроизводства, а не как «добавка» к содержанию.</w:t>
      </w:r>
    </w:p>
    <w:p>
      <w:pPr>
        <w:pStyle w:val="BodyText"/>
      </w:pPr>
      <w:r>
        <w:t xml:space="preserve">Вторая опора —</w:t>
      </w:r>
      <w:r>
        <w:t xml:space="preserve"> </w:t>
      </w:r>
      <w:r>
        <w:rPr>
          <w:bCs/>
          <w:b/>
        </w:rPr>
        <w:t xml:space="preserve">работа памяти внутри этих условий</w:t>
      </w:r>
      <w:r>
        <w:t xml:space="preserve">. А. Ассман описывает политическую память как продукт институциональной стабилизации: каждое решение о том, что показать, есть отбор и закрепление одной версии прошлого в материальном носителе. Её же различение функциональной памяти и storage memory даёт точный механизм для описания того, что делают кураторы выставки: они переводят часть архивных материалов в функциональную память, оставляя остальное в storage. Т. Джадт показывает, что отбор всегда асимметричен и что не все жертвы получают одинаковую видимость и имя. Э. Траверсо утверждает, что отбор всегда происходит в логике настоящего: актуальные политические задачи определяют, что именно помнят и в какой модальности. Три позиции вместе устанавливают, что любая мемориальная выставка производит политическую память уже по своему устройству — независимо от намерений создателей.</w:t>
      </w:r>
    </w:p>
    <w:p>
      <w:pPr>
        <w:pStyle w:val="BodyText"/>
      </w:pPr>
      <w:r>
        <w:t xml:space="preserve">Третья опора —</w:t>
      </w:r>
      <w:r>
        <w:t xml:space="preserve"> </w:t>
      </w:r>
      <w:r>
        <w:rPr>
          <w:bCs/>
          <w:b/>
        </w:rPr>
        <w:t xml:space="preserve">цифровое опосредование и контроль над нарративом</w:t>
      </w:r>
      <w:r>
        <w:t xml:space="preserve">. Э. Хоскинс показывает, что в цифровую эпоху технология воспроизводит институциональный контроль над нарративом в новых формах, а противоречие двух культур памяти — формализованной и эмерджентной — воспроизводится внутри каждого кураторского решения. В. Канштайнер уточняет, что мультимедийный формат создаёт видимость технологической открытости, но не передаёт посетителю власть над смыслом. В. Эрнст даёт техническое основание этому сдвигу: в цифровой среде архивный порядок заменяется динамикой. Р. Силверстоун ставит вопрос о видимости: присутствие субъекта в медиатизированном пространстве само по себе не означает, что он получает голос; медиагостеприимство — обязанность слышать «Другого» — становится критерием различения подлинного и сводящего к образу включения.</w:t>
      </w:r>
    </w:p>
    <w:p>
      <w:pPr>
        <w:pStyle w:val="BodyText"/>
      </w:pPr>
      <w:r>
        <w:t xml:space="preserve">Четвёртая опора —</w:t>
      </w:r>
      <w:r>
        <w:t xml:space="preserve"> </w:t>
      </w:r>
      <w:r>
        <w:rPr>
          <w:bCs/>
          <w:b/>
        </w:rPr>
        <w:t xml:space="preserve">пространство, форма выставки и встреча с посетителем</w:t>
      </w:r>
      <w:r>
        <w:t xml:space="preserve">. Т. Беннетт показывает, что пространство музея конструирует позицию посетителя через организацию порядка вещей и совмещает функции зрелища и контроля. Э. Хупер-Гринхилл описывает механизм этого конструирования через интерпретативные рамки, в которых только и обретают смысл сами объекты. А. Хейссен объясняет, почему этот механизм сегодня приобретает политическую остроту: в условиях гипертрофии памяти прошлое становится ресурсом современных конфликтов, а музейная экспозиция читается как палимпсест. Ш. Макдональд замыкает эту опору на тело посетителя: маршрут, выбор медиа и социальное взаимодействие реализуют нарратив телесно — посетитель физически проходит через версию прошлого, выстроенную кураторами.</w:t>
      </w:r>
    </w:p>
    <w:p>
      <w:pPr>
        <w:pStyle w:val="BodyText"/>
      </w:pPr>
      <w:r>
        <w:t xml:space="preserve">Пятая опора —</w:t>
      </w:r>
      <w:r>
        <w:t xml:space="preserve"> </w:t>
      </w:r>
      <w:r>
        <w:rPr>
          <w:bCs/>
          <w:b/>
        </w:rPr>
        <w:t xml:space="preserve">кураторская работа как авторская и политическая практика</w:t>
      </w:r>
      <w:r>
        <w:t xml:space="preserve">. П. О’Нил позволяет видеть в выставке авторское высказывание, а не сумму экспонатов; Т. Смит подчёркивает, что кураторское мышление встроено в практику и не выводится из готовой теории. Л. Манович показывает, что культурный интерфейс программирует способ восприятия материала; Р. Пэрри корректирует это, акцентируя сознательный выбор куратора в цифровой среде; вместе они задают двухуровневый анализ — структурной власти технологии и критической рефлексии куратора. П. Уильямс описывает конститутивное напряжение жанра мемориального музея между скорбью и интерпретацией и фиксирует особую доказательственную нагрузку каждого артефакта в случае событий, чьё признание не завершено. Э. Содаро добавляет, что мемориальный музей выполняет неявную функцию легитимации текущего политического режима и одновременно воспроизводит глобальный язык скорби, который выставка может либо тиражировать, либо корректировать.</w:t>
      </w:r>
    </w:p>
    <w:p>
      <w:pPr>
        <w:pStyle w:val="BodyText"/>
      </w:pPr>
      <w:r>
        <w:t xml:space="preserve">Точка, где сходятся все пять опор, — кураторское решение. Каждое такое решение одновременно является ответом на логику технологической среды (медиатизация), актом перевода материала в функциональную политическую память (память и её политика), реакцией на цифровые условия производства нарратива (цифровая трансформация музея), проектированием позиции посетителя в пространстве (выставочная форма) и авторско-политическим жестом куратора (кураторство). Анализ кураторских решений на выставке «Геноциду — нет!» строится именно как одновременное прочтение каждого такого решения через все пять опор: через медиалогику видно, что было возможно; через работу памяти — что именно было выбрано; через цифровое опосредование — как именно контроль над нарративом воспроизводится через технологию; через пространственный дизайн — как выбор был предъявлен телу посетителя; через вопрос о видимости и авторстве — кто при этом получил голос и в каком регистре.</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Hjarvard S. The Mediatization of Society: A Theory of the Media as Agents of Social and Cultural Change // Nordicom Review. 2008. Vol. 29, No. 2. P. 105.</w:t>
      </w:r>
    </w:p>
  </w:footnote>
  <w:footnote w:id="21">
    <w:p>
      <w:pPr>
        <w:pStyle w:val="FootnoteText"/>
      </w:pPr>
      <w:r>
        <w:rPr>
          <w:rStyle w:val="FootnoteReference"/>
        </w:rPr>
        <w:footnoteRef/>
      </w:r>
      <w:r>
        <w:t xml:space="preserve"> </w:t>
      </w:r>
      <w:r>
        <w:t xml:space="preserve">Ibid. P. 113.</w:t>
      </w:r>
    </w:p>
  </w:footnote>
  <w:footnote w:id="22">
    <w:p>
      <w:pPr>
        <w:pStyle w:val="FootnoteText"/>
      </w:pPr>
      <w:r>
        <w:rPr>
          <w:rStyle w:val="FootnoteReference"/>
        </w:rPr>
        <w:footnoteRef/>
      </w:r>
      <w:r>
        <w:t xml:space="preserve"> </w:t>
      </w:r>
      <w:r>
        <w:t xml:space="preserve">Ibid. P. 105.</w:t>
      </w:r>
    </w:p>
  </w:footnote>
  <w:footnote w:id="23">
    <w:p>
      <w:pPr>
        <w:pStyle w:val="FootnoteText"/>
      </w:pPr>
      <w:r>
        <w:rPr>
          <w:rStyle w:val="FootnoteReference"/>
        </w:rPr>
        <w:footnoteRef/>
      </w:r>
      <w:r>
        <w:t xml:space="preserve"> </w:t>
      </w:r>
      <w:r>
        <w:t xml:space="preserve">Ibid. P. 114.</w:t>
      </w:r>
    </w:p>
  </w:footnote>
  <w:footnote w:id="24">
    <w:p>
      <w:pPr>
        <w:pStyle w:val="FootnoteText"/>
      </w:pPr>
      <w:r>
        <w:rPr>
          <w:rStyle w:val="FootnoteReference"/>
        </w:rPr>
        <w:footnoteRef/>
      </w:r>
      <w:r>
        <w:t xml:space="preserve"> </w:t>
      </w:r>
      <w:r>
        <w:t xml:space="preserve">Ibid. P. 114–115.</w:t>
      </w:r>
    </w:p>
  </w:footnote>
  <w:footnote w:id="25">
    <w:p>
      <w:pPr>
        <w:pStyle w:val="FootnoteText"/>
      </w:pPr>
      <w:r>
        <w:rPr>
          <w:rStyle w:val="FootnoteReference"/>
        </w:rPr>
        <w:footnoteRef/>
      </w:r>
      <w:r>
        <w:t xml:space="preserve"> </w:t>
      </w:r>
      <w:r>
        <w:t xml:space="preserve">Hepp A. Deep Mediatization. London: Routledge, 2020. P. 40.</w:t>
      </w:r>
    </w:p>
  </w:footnote>
  <w:footnote w:id="26">
    <w:p>
      <w:pPr>
        <w:pStyle w:val="FootnoteText"/>
      </w:pPr>
      <w:r>
        <w:rPr>
          <w:rStyle w:val="FootnoteReference"/>
        </w:rPr>
        <w:footnoteRef/>
      </w:r>
      <w:r>
        <w:t xml:space="preserve"> </w:t>
      </w:r>
      <w:r>
        <w:t xml:space="preserve">Hepp A. Cultures of Mediatization. Cambridge: Polity, 2013. P. 46.</w:t>
      </w:r>
    </w:p>
  </w:footnote>
  <w:footnote w:id="27">
    <w:p>
      <w:pPr>
        <w:pStyle w:val="FootnoteText"/>
      </w:pPr>
      <w:r>
        <w:rPr>
          <w:rStyle w:val="FootnoteReference"/>
        </w:rPr>
        <w:footnoteRef/>
      </w:r>
      <w:r>
        <w:t xml:space="preserve"> </w:t>
      </w:r>
      <w:r>
        <w:t xml:space="preserve">Ibid. P. 69.</w:t>
      </w:r>
    </w:p>
  </w:footnote>
  <w:footnote w:id="28">
    <w:p>
      <w:pPr>
        <w:pStyle w:val="FootnoteText"/>
      </w:pPr>
      <w:r>
        <w:rPr>
          <w:rStyle w:val="FootnoteReference"/>
        </w:rPr>
        <w:footnoteRef/>
      </w:r>
      <w:r>
        <w:t xml:space="preserve"> </w:t>
      </w:r>
      <w:r>
        <w:t xml:space="preserve">Berger P. L., Luckmann T. The Social Construction of Reality: A Treatise in the Sociology of Knowledge. New York: Anchor Books, 1966. P. 61.</w:t>
      </w:r>
    </w:p>
  </w:footnote>
  <w:footnote w:id="29">
    <w:p>
      <w:pPr>
        <w:pStyle w:val="FootnoteText"/>
      </w:pPr>
      <w:r>
        <w:rPr>
          <w:rStyle w:val="FootnoteReference"/>
        </w:rPr>
        <w:footnoteRef/>
      </w:r>
      <w:r>
        <w:t xml:space="preserve"> </w:t>
      </w:r>
      <w:r>
        <w:t xml:space="preserve">Couldry N., Hepp A. The Mediated Construction of Reality. Cambridge: Polity, 2017. P. 7, 34.</w:t>
      </w:r>
    </w:p>
  </w:footnote>
  <w:footnote w:id="31">
    <w:p>
      <w:pPr>
        <w:pStyle w:val="FootnoteText"/>
      </w:pPr>
      <w:r>
        <w:rPr>
          <w:rStyle w:val="FootnoteReference"/>
        </w:rPr>
        <w:footnoteRef/>
      </w:r>
      <w:r>
        <w:t xml:space="preserve"> </w:t>
      </w:r>
      <w:r>
        <w:t xml:space="preserve">Halbwachs M. On Collective Memory / L. A. Coser (ed., trans.). Chicago: University of Chicago Press, 1992. P. 44.</w:t>
      </w:r>
    </w:p>
  </w:footnote>
  <w:footnote w:id="32">
    <w:p>
      <w:pPr>
        <w:pStyle w:val="FootnoteText"/>
      </w:pPr>
      <w:r>
        <w:rPr>
          <w:rStyle w:val="FootnoteReference"/>
        </w:rPr>
        <w:footnoteRef/>
      </w:r>
      <w:r>
        <w:t xml:space="preserve"> </w:t>
      </w:r>
      <w:r>
        <w:t xml:space="preserve">Assmann A. Cultural Memory and Western Civilization: Functions, Media, Archives. Cambridge: Cambridge University Press, 2011. P. 125.</w:t>
      </w:r>
    </w:p>
  </w:footnote>
  <w:footnote w:id="33">
    <w:p>
      <w:pPr>
        <w:pStyle w:val="FootnoteText"/>
      </w:pPr>
      <w:r>
        <w:rPr>
          <w:rStyle w:val="FootnoteReference"/>
        </w:rPr>
        <w:footnoteRef/>
      </w:r>
      <w:r>
        <w:t xml:space="preserve"> </w:t>
      </w:r>
      <w:r>
        <w:t xml:space="preserve">Ibid. P. 131.</w:t>
      </w:r>
    </w:p>
  </w:footnote>
  <w:footnote w:id="34">
    <w:p>
      <w:pPr>
        <w:pStyle w:val="FootnoteText"/>
      </w:pPr>
      <w:r>
        <w:rPr>
          <w:rStyle w:val="FootnoteReference"/>
        </w:rPr>
        <w:footnoteRef/>
      </w:r>
      <w:r>
        <w:t xml:space="preserve"> </w:t>
      </w:r>
      <w:r>
        <w:t xml:space="preserve">Ibid. P. 130.</w:t>
      </w:r>
    </w:p>
  </w:footnote>
  <w:footnote w:id="36">
    <w:p>
      <w:pPr>
        <w:pStyle w:val="FootnoteText"/>
      </w:pPr>
      <w:r>
        <w:rPr>
          <w:rStyle w:val="FootnoteReference"/>
        </w:rPr>
        <w:footnoteRef/>
      </w:r>
      <w:r>
        <w:t xml:space="preserve"> </w:t>
      </w:r>
      <w:r>
        <w:t xml:space="preserve">Assmann A. Re-framing Memory: Between Individual and Collective Forms of Constructing the Past // Performing the Past: Memory, History, and Identity in Modern Europe / K. Tilmans, F. van Vree, J. Winter (eds.). Amsterdam: Amsterdam University Press, 2010. P. 43.</w:t>
      </w:r>
    </w:p>
  </w:footnote>
  <w:footnote w:id="37">
    <w:p>
      <w:pPr>
        <w:pStyle w:val="FootnoteText"/>
      </w:pPr>
      <w:r>
        <w:rPr>
          <w:rStyle w:val="FootnoteReference"/>
        </w:rPr>
        <w:footnoteRef/>
      </w:r>
      <w:r>
        <w:t xml:space="preserve"> </w:t>
      </w:r>
      <w:r>
        <w:t xml:space="preserve">Ibid. P. 43.</w:t>
      </w:r>
    </w:p>
  </w:footnote>
  <w:footnote w:id="38">
    <w:p>
      <w:pPr>
        <w:pStyle w:val="FootnoteText"/>
      </w:pPr>
      <w:r>
        <w:rPr>
          <w:rStyle w:val="FootnoteReference"/>
        </w:rPr>
        <w:footnoteRef/>
      </w:r>
      <w:r>
        <w:t xml:space="preserve"> </w:t>
      </w:r>
      <w:r>
        <w:t xml:space="preserve">Ibid. P. 49.</w:t>
      </w:r>
    </w:p>
  </w:footnote>
  <w:footnote w:id="39">
    <w:p>
      <w:pPr>
        <w:pStyle w:val="FootnoteText"/>
      </w:pPr>
      <w:r>
        <w:rPr>
          <w:rStyle w:val="FootnoteReference"/>
        </w:rPr>
        <w:footnoteRef/>
      </w:r>
      <w:r>
        <w:t xml:space="preserve"> </w:t>
      </w:r>
      <w:r>
        <w:t xml:space="preserve">Judt T. The Past Is Another Country: Myth and Memory in Postwar Europe // Daedalus. 1992. Vol. 121, No. 4. P. 89.</w:t>
      </w:r>
    </w:p>
  </w:footnote>
  <w:footnote w:id="40">
    <w:p>
      <w:pPr>
        <w:pStyle w:val="FootnoteText"/>
      </w:pPr>
      <w:r>
        <w:rPr>
          <w:rStyle w:val="FootnoteReference"/>
        </w:rPr>
        <w:footnoteRef/>
      </w:r>
      <w:r>
        <w:t xml:space="preserve"> </w:t>
      </w:r>
      <w:r>
        <w:t xml:space="preserve">Ibid. P. 92.</w:t>
      </w:r>
    </w:p>
  </w:footnote>
  <w:footnote w:id="41">
    <w:p>
      <w:pPr>
        <w:pStyle w:val="FootnoteText"/>
      </w:pPr>
      <w:r>
        <w:rPr>
          <w:rStyle w:val="FootnoteReference"/>
        </w:rPr>
        <w:footnoteRef/>
      </w:r>
      <w:r>
        <w:t xml:space="preserve"> </w:t>
      </w:r>
      <w:r>
        <w:t xml:space="preserve">Traverso E. Le passé: Modes d’emploi. Histoire, mémoire, politique. Paris: La Fabrique Éditions, 2005. P. 11.</w:t>
      </w:r>
    </w:p>
  </w:footnote>
  <w:footnote w:id="42">
    <w:p>
      <w:pPr>
        <w:pStyle w:val="FootnoteText"/>
      </w:pPr>
      <w:r>
        <w:rPr>
          <w:rStyle w:val="FootnoteReference"/>
        </w:rPr>
        <w:footnoteRef/>
      </w:r>
      <w:r>
        <w:t xml:space="preserve"> </w:t>
      </w:r>
      <w:r>
        <w:t xml:space="preserve">Ibid. P. 11.</w:t>
      </w:r>
    </w:p>
  </w:footnote>
  <w:footnote w:id="43">
    <w:p>
      <w:pPr>
        <w:pStyle w:val="FootnoteText"/>
      </w:pPr>
      <w:r>
        <w:rPr>
          <w:rStyle w:val="FootnoteReference"/>
        </w:rPr>
        <w:footnoteRef/>
      </w:r>
      <w:r>
        <w:t xml:space="preserve"> </w:t>
      </w:r>
      <w:r>
        <w:t xml:space="preserve">Ibid. P. 70.</w:t>
      </w:r>
    </w:p>
  </w:footnote>
  <w:footnote w:id="45">
    <w:p>
      <w:pPr>
        <w:pStyle w:val="FootnoteText"/>
      </w:pPr>
      <w:r>
        <w:rPr>
          <w:rStyle w:val="FootnoteReference"/>
        </w:rPr>
        <w:footnoteRef/>
      </w:r>
      <w:r>
        <w:t xml:space="preserve"> </w:t>
      </w:r>
      <w:r>
        <w:t xml:space="preserve">Hoskins A. Media, Memory, Metaphor: Remembering and the Connective Turn // Parallax. 2011. Vol. 17, No. 4. P. 19–31.</w:t>
      </w:r>
    </w:p>
  </w:footnote>
  <w:footnote w:id="46">
    <w:p>
      <w:pPr>
        <w:pStyle w:val="FootnoteText"/>
      </w:pPr>
      <w:r>
        <w:rPr>
          <w:rStyle w:val="FootnoteReference"/>
        </w:rPr>
        <w:footnoteRef/>
      </w:r>
      <w:r>
        <w:t xml:space="preserve"> </w:t>
      </w:r>
      <w:r>
        <w:t xml:space="preserve">Ibid.</w:t>
      </w:r>
    </w:p>
  </w:footnote>
  <w:footnote w:id="47">
    <w:p>
      <w:pPr>
        <w:pStyle w:val="FootnoteText"/>
      </w:pPr>
      <w:r>
        <w:rPr>
          <w:rStyle w:val="FootnoteReference"/>
        </w:rPr>
        <w:footnoteRef/>
      </w:r>
      <w:r>
        <w:t xml:space="preserve"> </w:t>
      </w:r>
      <w:r>
        <w:t xml:space="preserve">Kansteiner W. The Holocaust in the 21st Century: Digital Anxiety, Transnational Cosmopolitanism, and Never Again Genocide Without Memory // Digital Memory Studies: Media Pasts in Transition / A. Hoskins (ed.). London: Routledge, 2018. P. 118.</w:t>
      </w:r>
    </w:p>
  </w:footnote>
  <w:footnote w:id="48">
    <w:p>
      <w:pPr>
        <w:pStyle w:val="FootnoteText"/>
      </w:pPr>
      <w:r>
        <w:rPr>
          <w:rStyle w:val="FootnoteReference"/>
        </w:rPr>
        <w:footnoteRef/>
      </w:r>
      <w:r>
        <w:t xml:space="preserve"> </w:t>
      </w:r>
      <w:r>
        <w:t xml:space="preserve">Ibid.</w:t>
      </w:r>
    </w:p>
  </w:footnote>
  <w:footnote w:id="49">
    <w:p>
      <w:pPr>
        <w:pStyle w:val="FootnoteText"/>
      </w:pPr>
      <w:r>
        <w:rPr>
          <w:rStyle w:val="FootnoteReference"/>
        </w:rPr>
        <w:footnoteRef/>
      </w:r>
      <w:r>
        <w:t xml:space="preserve"> </w:t>
      </w:r>
      <w:r>
        <w:t xml:space="preserve">Hoskins A. Media, Memory, Metaphor. P. 24.</w:t>
      </w:r>
    </w:p>
  </w:footnote>
  <w:footnote w:id="50">
    <w:p>
      <w:pPr>
        <w:pStyle w:val="FootnoteText"/>
      </w:pPr>
      <w:r>
        <w:rPr>
          <w:rStyle w:val="FootnoteReference"/>
        </w:rPr>
        <w:footnoteRef/>
      </w:r>
      <w:r>
        <w:t xml:space="preserve"> </w:t>
      </w:r>
      <w:r>
        <w:t xml:space="preserve">Ernst W. Digital Memory and the Archive. Minneapolis: University of Minnesota Press, 2013.</w:t>
      </w:r>
    </w:p>
  </w:footnote>
  <w:footnote w:id="51">
    <w:p>
      <w:pPr>
        <w:pStyle w:val="FootnoteText"/>
      </w:pPr>
      <w:r>
        <w:rPr>
          <w:rStyle w:val="FootnoteReference"/>
        </w:rPr>
        <w:footnoteRef/>
      </w:r>
      <w:r>
        <w:t xml:space="preserve"> </w:t>
      </w:r>
      <w:r>
        <w:t xml:space="preserve">Silverstone R. Media and Morality: On the Rise of the Mediapolis. Cambridge: Polity, 2007.</w:t>
      </w:r>
    </w:p>
  </w:footnote>
  <w:footnote w:id="52">
    <w:p>
      <w:pPr>
        <w:pStyle w:val="FootnoteText"/>
      </w:pPr>
      <w:r>
        <w:rPr>
          <w:rStyle w:val="FootnoteReference"/>
        </w:rPr>
        <w:footnoteRef/>
      </w:r>
      <w:r>
        <w:t xml:space="preserve"> </w:t>
      </w:r>
      <w:r>
        <w:t xml:space="preserve">Ibid. P. 136.</w:t>
      </w:r>
    </w:p>
  </w:footnote>
  <w:footnote w:id="54">
    <w:p>
      <w:pPr>
        <w:pStyle w:val="FootnoteText"/>
      </w:pPr>
      <w:r>
        <w:rPr>
          <w:rStyle w:val="FootnoteReference"/>
        </w:rPr>
        <w:footnoteRef/>
      </w:r>
      <w:r>
        <w:t xml:space="preserve"> </w:t>
      </w:r>
      <w:r>
        <w:t xml:space="preserve">Bennett T. The Exhibitionary Complex // New Formations. 1988. No. 4. P. 73–102.</w:t>
      </w:r>
    </w:p>
  </w:footnote>
  <w:footnote w:id="55">
    <w:p>
      <w:pPr>
        <w:pStyle w:val="FootnoteText"/>
      </w:pPr>
      <w:r>
        <w:rPr>
          <w:rStyle w:val="FootnoteReference"/>
        </w:rPr>
        <w:footnoteRef/>
      </w:r>
      <w:r>
        <w:t xml:space="preserve"> </w:t>
      </w:r>
      <w:r>
        <w:t xml:space="preserve">Ibid.</w:t>
      </w:r>
    </w:p>
  </w:footnote>
  <w:footnote w:id="56">
    <w:p>
      <w:pPr>
        <w:pStyle w:val="FootnoteText"/>
      </w:pPr>
      <w:r>
        <w:rPr>
          <w:rStyle w:val="FootnoteReference"/>
        </w:rPr>
        <w:footnoteRef/>
      </w:r>
      <w:r>
        <w:t xml:space="preserve"> </w:t>
      </w:r>
      <w:r>
        <w:t xml:space="preserve">Hooper-Greenhill E. Museums and the Interpretation of Visual Culture. London: Routledge, 2000. P. 8.</w:t>
      </w:r>
    </w:p>
  </w:footnote>
  <w:footnote w:id="57">
    <w:p>
      <w:pPr>
        <w:pStyle w:val="FootnoteText"/>
      </w:pPr>
      <w:r>
        <w:rPr>
          <w:rStyle w:val="FootnoteReference"/>
        </w:rPr>
        <w:footnoteRef/>
      </w:r>
      <w:r>
        <w:t xml:space="preserve"> </w:t>
      </w:r>
      <w:r>
        <w:t xml:space="preserve">Ibid. P. 132–133.</w:t>
      </w:r>
    </w:p>
  </w:footnote>
  <w:footnote w:id="58">
    <w:p>
      <w:pPr>
        <w:pStyle w:val="FootnoteText"/>
      </w:pPr>
      <w:r>
        <w:rPr>
          <w:rStyle w:val="FootnoteReference"/>
        </w:rPr>
        <w:footnoteRef/>
      </w:r>
      <w:r>
        <w:t xml:space="preserve"> </w:t>
      </w:r>
      <w:r>
        <w:t xml:space="preserve">Huyssen A. Present Pasts: Urban Palimpsests and the Politics of Memory. Stanford: Stanford University Press, 2003.</w:t>
      </w:r>
    </w:p>
  </w:footnote>
  <w:footnote w:id="59">
    <w:p>
      <w:pPr>
        <w:pStyle w:val="FootnoteText"/>
      </w:pPr>
      <w:r>
        <w:rPr>
          <w:rStyle w:val="FootnoteReference"/>
        </w:rPr>
        <w:footnoteRef/>
      </w:r>
      <w:r>
        <w:t xml:space="preserve"> </w:t>
      </w:r>
      <w:r>
        <w:t xml:space="preserve">Ibid. P. 7.</w:t>
      </w:r>
    </w:p>
  </w:footnote>
  <w:footnote w:id="61">
    <w:p>
      <w:pPr>
        <w:pStyle w:val="FootnoteText"/>
      </w:pPr>
      <w:r>
        <w:rPr>
          <w:rStyle w:val="FootnoteReference"/>
        </w:rPr>
        <w:footnoteRef/>
      </w:r>
      <w:r>
        <w:t xml:space="preserve"> </w:t>
      </w:r>
      <w:r>
        <w:t xml:space="preserve">O’Neill P. The Culture of Curating and the Curating of Culture(s). Cambridge, MA: MIT Press, 2012. P. 1.</w:t>
      </w:r>
    </w:p>
  </w:footnote>
  <w:footnote w:id="62">
    <w:p>
      <w:pPr>
        <w:pStyle w:val="FootnoteText"/>
      </w:pPr>
      <w:r>
        <w:rPr>
          <w:rStyle w:val="FootnoteReference"/>
        </w:rPr>
        <w:footnoteRef/>
      </w:r>
      <w:r>
        <w:t xml:space="preserve"> </w:t>
      </w:r>
      <w:r>
        <w:t xml:space="preserve">Smith T. Thinking Contemporary Curating. New York: Independent Curators International, 2012. P. 12.</w:t>
      </w:r>
    </w:p>
  </w:footnote>
  <w:footnote w:id="63">
    <w:p>
      <w:pPr>
        <w:pStyle w:val="FootnoteText"/>
      </w:pPr>
      <w:r>
        <w:rPr>
          <w:rStyle w:val="FootnoteReference"/>
        </w:rPr>
        <w:footnoteRef/>
      </w:r>
      <w:r>
        <w:t xml:space="preserve"> </w:t>
      </w:r>
      <w:r>
        <w:t xml:space="preserve">O’Neill P. The Culture of Curating. P. 32.</w:t>
      </w:r>
    </w:p>
  </w:footnote>
  <w:footnote w:id="64">
    <w:p>
      <w:pPr>
        <w:pStyle w:val="FootnoteText"/>
      </w:pPr>
      <w:r>
        <w:rPr>
          <w:rStyle w:val="FootnoteReference"/>
        </w:rPr>
        <w:footnoteRef/>
      </w:r>
      <w:r>
        <w:t xml:space="preserve"> </w:t>
      </w:r>
      <w:r>
        <w:t xml:space="preserve">Manovich L. The Language of New Media. Cambridge, MA: MIT Press, 2001. P. 76.</w:t>
      </w:r>
    </w:p>
  </w:footnote>
  <w:footnote w:id="65">
    <w:p>
      <w:pPr>
        <w:pStyle w:val="FootnoteText"/>
      </w:pPr>
      <w:r>
        <w:rPr>
          <w:rStyle w:val="FootnoteReference"/>
        </w:rPr>
        <w:footnoteRef/>
      </w:r>
      <w:r>
        <w:t xml:space="preserve"> </w:t>
      </w:r>
      <w:r>
        <w:t xml:space="preserve">Parry R. (ed.). Museums in a Digital Age. London: Routledge, 2010. P. 454.</w:t>
      </w:r>
    </w:p>
  </w:footnote>
  <w:footnote w:id="66">
    <w:p>
      <w:pPr>
        <w:pStyle w:val="FootnoteText"/>
      </w:pPr>
      <w:r>
        <w:rPr>
          <w:rStyle w:val="FootnoteReference"/>
        </w:rPr>
        <w:footnoteRef/>
      </w:r>
      <w:r>
        <w:t xml:space="preserve"> </w:t>
      </w:r>
      <w:r>
        <w:t xml:space="preserve">Macdonald S. Interconnecting: Museum Visiting and Exhibition Design // CoDesign. 2007. Vol. 3, sup1. P. 149.</w:t>
      </w:r>
    </w:p>
  </w:footnote>
  <w:footnote w:id="67">
    <w:p>
      <w:pPr>
        <w:pStyle w:val="FootnoteText"/>
      </w:pPr>
      <w:r>
        <w:rPr>
          <w:rStyle w:val="FootnoteReference"/>
        </w:rPr>
        <w:footnoteRef/>
      </w:r>
      <w:r>
        <w:t xml:space="preserve"> </w:t>
      </w:r>
      <w:r>
        <w:t xml:space="preserve">Ibid. P. 157.</w:t>
      </w:r>
    </w:p>
  </w:footnote>
  <w:footnote w:id="68">
    <w:p>
      <w:pPr>
        <w:pStyle w:val="FootnoteText"/>
      </w:pPr>
      <w:r>
        <w:rPr>
          <w:rStyle w:val="FootnoteReference"/>
        </w:rPr>
        <w:footnoteRef/>
      </w:r>
      <w:r>
        <w:t xml:space="preserve"> </w:t>
      </w:r>
      <w:r>
        <w:t xml:space="preserve">Ibid.</w:t>
      </w:r>
    </w:p>
  </w:footnote>
  <w:footnote w:id="69">
    <w:p>
      <w:pPr>
        <w:pStyle w:val="FootnoteText"/>
      </w:pPr>
      <w:r>
        <w:rPr>
          <w:rStyle w:val="FootnoteReference"/>
        </w:rPr>
        <w:footnoteRef/>
      </w:r>
      <w:r>
        <w:t xml:space="preserve"> </w:t>
      </w:r>
      <w:r>
        <w:t xml:space="preserve">Ibid. P. 155.</w:t>
      </w:r>
    </w:p>
  </w:footnote>
  <w:footnote w:id="70">
    <w:p>
      <w:pPr>
        <w:pStyle w:val="FootnoteText"/>
      </w:pPr>
      <w:r>
        <w:rPr>
          <w:rStyle w:val="FootnoteReference"/>
        </w:rPr>
        <w:footnoteRef/>
      </w:r>
      <w:r>
        <w:t xml:space="preserve"> </w:t>
      </w:r>
      <w:r>
        <w:t xml:space="preserve">Williams P. Memorial Museums: The Global Rush to Commemorate Atrocities. Oxford; New York: Berg, 2007. P. 8.</w:t>
      </w:r>
    </w:p>
  </w:footnote>
  <w:footnote w:id="71">
    <w:p>
      <w:pPr>
        <w:pStyle w:val="FootnoteText"/>
      </w:pPr>
      <w:r>
        <w:rPr>
          <w:rStyle w:val="FootnoteReference"/>
        </w:rPr>
        <w:footnoteRef/>
      </w:r>
      <w:r>
        <w:t xml:space="preserve"> </w:t>
      </w:r>
      <w:r>
        <w:t xml:space="preserve">Ibid. P. 25.</w:t>
      </w:r>
    </w:p>
  </w:footnote>
  <w:footnote w:id="72">
    <w:p>
      <w:pPr>
        <w:pStyle w:val="FootnoteText"/>
      </w:pPr>
      <w:r>
        <w:rPr>
          <w:rStyle w:val="FootnoteReference"/>
        </w:rPr>
        <w:footnoteRef/>
      </w:r>
      <w:r>
        <w:t xml:space="preserve"> </w:t>
      </w:r>
      <w:r>
        <w:t xml:space="preserve">Ibid.</w:t>
      </w:r>
    </w:p>
  </w:footnote>
  <w:footnote w:id="73">
    <w:p>
      <w:pPr>
        <w:pStyle w:val="FootnoteText"/>
      </w:pPr>
      <w:r>
        <w:rPr>
          <w:rStyle w:val="FootnoteReference"/>
        </w:rPr>
        <w:footnoteRef/>
      </w:r>
      <w:r>
        <w:t xml:space="preserve"> </w:t>
      </w:r>
      <w:r>
        <w:t xml:space="preserve">Ibid. P. 8.</w:t>
      </w:r>
    </w:p>
  </w:footnote>
  <w:footnote w:id="74">
    <w:p>
      <w:pPr>
        <w:pStyle w:val="FootnoteText"/>
      </w:pPr>
      <w:r>
        <w:rPr>
          <w:rStyle w:val="FootnoteReference"/>
        </w:rPr>
        <w:footnoteRef/>
      </w:r>
      <w:r>
        <w:t xml:space="preserve"> </w:t>
      </w:r>
      <w:r>
        <w:t xml:space="preserve">Ibid. P. 126.</w:t>
      </w:r>
    </w:p>
  </w:footnote>
  <w:footnote w:id="75">
    <w:p>
      <w:pPr>
        <w:pStyle w:val="FootnoteText"/>
      </w:pPr>
      <w:r>
        <w:rPr>
          <w:rStyle w:val="FootnoteReference"/>
        </w:rPr>
        <w:footnoteRef/>
      </w:r>
      <w:r>
        <w:t xml:space="preserve"> </w:t>
      </w:r>
      <w:r>
        <w:t xml:space="preserve">Sodaro A. Exhibiting Atrocity: Memorial Museums and the Politics of Past Violence. New Brunswick: Rutgers University Press, 2018. P. 180.</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2026-05-16T06:51:15Z</dcterms:created>
  <dcterms:modified xsi:type="dcterms:W3CDTF">2026-05-16T06:51:15Z</dcterms:modified>
</cp:coreProperties>
</file>

<file path=docProps/custom.xml><?xml version="1.0" encoding="utf-8"?>
<Properties xmlns="http://schemas.openxmlformats.org/officeDocument/2006/custom-properties" xmlns:vt="http://schemas.openxmlformats.org/officeDocument/2006/docPropsVTypes"/>
</file>