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Mediatization</w:t>
      </w:r>
      <w:r>
        <w:t xml:space="preserve"> </w:t>
      </w:r>
      <w:r>
        <w:t xml:space="preserve">of</w:t>
      </w:r>
      <w:r>
        <w:t xml:space="preserve"> </w:t>
      </w:r>
      <w:r>
        <w:t xml:space="preserve">Political</w:t>
      </w:r>
      <w:r>
        <w:t xml:space="preserve"> </w:t>
      </w:r>
      <w:r>
        <w:t xml:space="preserve">Memory</w:t>
      </w:r>
      <w:r>
        <w:t xml:space="preserve"> </w:t>
      </w:r>
      <w:r>
        <w:t xml:space="preserve">in</w:t>
      </w:r>
      <w:r>
        <w:t xml:space="preserve"> </w:t>
      </w:r>
      <w:r>
        <w:t xml:space="preserve">Multimedia</w:t>
      </w:r>
      <w:r>
        <w:t xml:space="preserve"> </w:t>
      </w:r>
      <w:r>
        <w:t xml:space="preserve">Exhibitions</w:t>
      </w:r>
    </w:p>
    <w:p>
      <w:pPr>
        <w:pStyle w:val="Author"/>
      </w:pPr>
      <w:r>
        <w:t xml:space="preserve">Kazaryan</w:t>
      </w:r>
      <w:r>
        <w:t xml:space="preserve"> </w:t>
      </w:r>
      <w:r>
        <w:t xml:space="preserve">Christina</w:t>
      </w:r>
      <w:r>
        <w:t xml:space="preserve"> </w:t>
      </w:r>
      <w:r>
        <w:t xml:space="preserve">Ovikovna</w:t>
      </w:r>
    </w:p>
    <w:bookmarkStart w:id="65" w:name="introduction"/>
    <w:p>
      <w:pPr>
        <w:pStyle w:val="Heading1"/>
      </w:pPr>
      <w:r>
        <w:t xml:space="preserve">INTRODUCTION</w:t>
      </w:r>
    </w:p>
    <w:p>
      <w:pPr>
        <w:pStyle w:val="FirstParagraph"/>
      </w:pPr>
      <w:r>
        <w:t xml:space="preserve">This research describes the process of mediatization and its impact on visitors to multimedia museums through exhibitions dedicated to events of historical and political upheavals, such as genocide and war.</w:t>
      </w:r>
    </w:p>
    <w:bookmarkStart w:id="21" w:name="the-relevance-of-research"/>
    <w:p>
      <w:pPr>
        <w:pStyle w:val="Heading2"/>
      </w:pPr>
      <w:r>
        <w:t xml:space="preserve">The relevance of research</w:t>
      </w:r>
    </w:p>
    <w:p>
      <w:pPr>
        <w:pStyle w:val="FirstParagraph"/>
      </w:pPr>
      <w:r>
        <w:t xml:space="preserve">In the last decade, there has been a growing interest in digital technologies and their impact on memory formation</w:t>
      </w:r>
      <w:r>
        <w:rPr>
          <w:rStyle w:val="FootnoteReference"/>
        </w:rPr>
        <w:footnoteReference w:id="20"/>
      </w:r>
      <w:r>
        <w:t xml:space="preserve">. The processes of mediatization have fundamentally changed the mechanisms of memory reproduction. Considering the views of the classics, contemporary authors conclude that their theories, explaining the functioning of collective memory in the era of oral and written communication, stop working when describing the mechanisms of memory reproduction in a digital environment. As a result, the change in the means of communication has led to the transformation of the content of memories and the ways of their reproduction, which created the need to study the modern phenomenon of media memory.</w:t>
      </w:r>
    </w:p>
    <w:p>
      <w:pPr>
        <w:pStyle w:val="BodyText"/>
      </w:pPr>
      <w:r>
        <w:t xml:space="preserve">Here it is necessary to highlight the relevance of the topic of mediatization in several aspects. First, the creation of specific multimedia formats is directly related to the motive of attracting more people to museums and similar organisations, and second, it provides a more successful way of preserving and transmitting historical and political memory. For example, the traditional showcase exhibition, which museum visitors often observe through glass, less and less evokes any reaction from the modern layperson, especially empathy towards complex topics such as war or genocide. And finally, third, the need to study the phenomenon of media memory arises as a special virtual mechanism that constructs collectively shared ideas about the past in the digital age.</w:t>
      </w:r>
    </w:p>
    <w:p>
      <w:pPr>
        <w:pStyle w:val="BodyText"/>
      </w:pPr>
      <w:r>
        <w:t xml:space="preserve">The main reason for this relevance lies in the global process of mediatization, which has redefined the very nature of social interaction and the storage of the past. The media have become a key institution shaping social reality, and human immersion in the information flow creates the preconditions for the decisive influence of media on public consciousness. The processes of the mediatization of collective memory in the digital environment lead to the emergence of media memory as a special virtual mechanism for constructing representations of the past — media memory simultaneously possesses the characteristics of communicative, cultural and digital memory.</w:t>
      </w:r>
    </w:p>
    <w:p>
      <w:pPr>
        <w:pStyle w:val="BodyText"/>
      </w:pPr>
      <w:r>
        <w:t xml:space="preserve">Despite the wide spread of multimedia, the success of an exhibition is determined by its actual impact on visitors. The contemporary media field is characterised by the phenomenon of</w:t>
      </w:r>
      <w:r>
        <w:t xml:space="preserve"> </w:t>
      </w:r>
      <w:r>
        <w:t xml:space="preserve">“</w:t>
      </w:r>
      <w:r>
        <w:t xml:space="preserve">hypercomplexity</w:t>
      </w:r>
      <w:r>
        <w:t xml:space="preserve">”</w:t>
      </w:r>
      <w:r>
        <w:t xml:space="preserve">, in which the audience ceases to be a passive viewer and becomes a user, a consumer and a participant simultaneously. Today there are many examples of multimedia practices in exhibitions worldwide: for instance, the Canadian Museum for Human Rights in Winnipeg, dedicated to human rights, which is visited by an average of 750 000 people every year; the multimedia exhibition</w:t>
      </w:r>
      <w:r>
        <w:t xml:space="preserve"> </w:t>
      </w:r>
      <w:r>
        <w:t xml:space="preserve">“</w:t>
      </w:r>
      <w:r>
        <w:t xml:space="preserve">Saviours</w:t>
      </w:r>
      <w:r>
        <w:t xml:space="preserve">”</w:t>
      </w:r>
      <w:r>
        <w:t xml:space="preserve">, held in Moscow and dedicated to the history of one of the largest crimes of the Second World War — the Holocaust; and the multimedia exposition</w:t>
      </w:r>
      <w:r>
        <w:t xml:space="preserve"> </w:t>
      </w:r>
      <w:r>
        <w:t xml:space="preserve">“</w:t>
      </w:r>
      <w:r>
        <w:t xml:space="preserve">No to Genocide!</w:t>
      </w:r>
      <w:r>
        <w:t xml:space="preserve">”</w:t>
      </w:r>
      <w:r>
        <w:t xml:space="preserve">, devoted to the history of the Armenian people in the period of 1915 — the Armenian genocide in the Ottoman Empire. The first run of</w:t>
      </w:r>
      <w:r>
        <w:t xml:space="preserve"> </w:t>
      </w:r>
      <w:r>
        <w:t xml:space="preserve">“</w:t>
      </w:r>
      <w:r>
        <w:t xml:space="preserve">No to Genocide!</w:t>
      </w:r>
      <w:r>
        <w:t xml:space="preserve">”</w:t>
      </w:r>
      <w:r>
        <w:t xml:space="preserve"> </w:t>
      </w:r>
      <w:r>
        <w:t xml:space="preserve">took place in Rostov-on-Don and was later scaled to Saint Petersburg, Nizhny Novgorod and Yekaterinburg.</w:t>
      </w:r>
    </w:p>
    <w:p>
      <w:pPr>
        <w:pStyle w:val="BodyText"/>
      </w:pPr>
      <w:r>
        <w:t xml:space="preserve">Based on such existing examples of mediatization, this format is designed to provide a more successful way of preserving and transmitting historical and political memory. Studying this process is extremely important, because a society devoid of historical knowledge is unable to reflect on the present and to learn lessons for the future. The mediatization of historical facts offers new tools that allow visitors not only to learn about an event but also to experience it and feel a kind of involvement.</w:t>
      </w:r>
    </w:p>
    <w:bookmarkEnd w:id="21"/>
    <w:bookmarkStart w:id="50" w:name="the-scholarly-elaboration-of-the-problem"/>
    <w:p>
      <w:pPr>
        <w:pStyle w:val="Heading2"/>
      </w:pPr>
      <w:r>
        <w:t xml:space="preserve">The scholarly elaboration of the problem</w:t>
      </w:r>
    </w:p>
    <w:p>
      <w:pPr>
        <w:pStyle w:val="FirstParagraph"/>
      </w:pPr>
      <w:r>
        <w:t xml:space="preserve">The problem at the intersection of mediatization theory, memory studies and curatorial research has been examined from several distinct angles, but the curatorial production of political memory in a multimedia exhibition has not received the kind of integrated empirical treatment that this study seeks to provide.</w:t>
      </w:r>
    </w:p>
    <w:p>
      <w:pPr>
        <w:pStyle w:val="BodyText"/>
      </w:pPr>
      <w:r>
        <w:t xml:space="preserve">The theoretical foundation for treating media as a constitutive condition of cultural life, rather than as a neutral channel, was laid by S. Hjarvard’s theory of mediatization</w:t>
      </w:r>
      <w:r>
        <w:rPr>
          <w:rStyle w:val="FootnoteReference"/>
        </w:rPr>
        <w:footnoteReference w:id="22"/>
      </w:r>
      <w:r>
        <w:t xml:space="preserve"> </w:t>
      </w:r>
      <w:r>
        <w:t xml:space="preserve">and developed in A. Hepp’s concept of deep mediatization</w:t>
      </w:r>
      <w:r>
        <w:rPr>
          <w:rStyle w:val="FootnoteReference"/>
        </w:rPr>
        <w:footnoteReference w:id="23"/>
      </w:r>
      <w:r>
        <w:t xml:space="preserve"> </w:t>
      </w:r>
      <w:r>
        <w:t xml:space="preserve">and in N. Couldry and A. Hepp’s account of the mediated construction of reality</w:t>
      </w:r>
      <w:r>
        <w:rPr>
          <w:rStyle w:val="FootnoteReference"/>
        </w:rPr>
        <w:footnoteReference w:id="24"/>
      </w:r>
      <w:r>
        <w:t xml:space="preserve">. This line of work has shown that media institutions have their own logic that other social institutions have to accommodate, but it has rarely been brought to bear on the concrete labour of curators in mediatized memorial spaces.</w:t>
      </w:r>
    </w:p>
    <w:p>
      <w:pPr>
        <w:pStyle w:val="BodyText"/>
      </w:pPr>
      <w:r>
        <w:t xml:space="preserve">In memory studies, M. Halbwachs’s foundational notion of the social frames of collective memory</w:t>
      </w:r>
      <w:r>
        <w:rPr>
          <w:rStyle w:val="FootnoteReference"/>
        </w:rPr>
        <w:footnoteReference w:id="25"/>
      </w:r>
      <w:r>
        <w:t xml:space="preserve"> </w:t>
      </w:r>
      <w:r>
        <w:t xml:space="preserve">was extended into the distinction between communicative and cultural memory by J. Assmann</w:t>
      </w:r>
      <w:r>
        <w:rPr>
          <w:rStyle w:val="FootnoteReference"/>
        </w:rPr>
        <w:footnoteReference w:id="26"/>
      </w:r>
      <w:r>
        <w:t xml:space="preserve">, and into the conception of functional versus storage memory by A. Assmann</w:t>
      </w:r>
      <w:r>
        <w:rPr>
          <w:rStyle w:val="FootnoteReference"/>
        </w:rPr>
        <w:footnoteReference w:id="27"/>
      </w:r>
      <w:r>
        <w:t xml:space="preserve">. A. Erll</w:t>
      </w:r>
      <w:r>
        <w:rPr>
          <w:rStyle w:val="FootnoteReference"/>
        </w:rPr>
        <w:footnoteReference w:id="28"/>
      </w:r>
      <w:r>
        <w:t xml:space="preserve"> </w:t>
      </w:r>
      <w:r>
        <w:t xml:space="preserve">and A. Rigney</w:t>
      </w:r>
      <w:r>
        <w:rPr>
          <w:rStyle w:val="FootnoteReference"/>
        </w:rPr>
        <w:footnoteReference w:id="29"/>
      </w:r>
      <w:r>
        <w:t xml:space="preserve"> </w:t>
      </w:r>
      <w:r>
        <w:t xml:space="preserve">have analysed the dynamics of cultural memory through the lens of medial externalisation and</w:t>
      </w:r>
      <w:r>
        <w:t xml:space="preserve"> </w:t>
      </w:r>
      <w:r>
        <w:t xml:space="preserve">“</w:t>
      </w:r>
      <w:r>
        <w:t xml:space="preserve">portable monuments</w:t>
      </w:r>
      <w:r>
        <w:t xml:space="preserve">”</w:t>
      </w:r>
      <w:r>
        <w:t xml:space="preserve">. P. Connerton</w:t>
      </w:r>
      <w:r>
        <w:rPr>
          <w:rStyle w:val="FootnoteReference"/>
        </w:rPr>
        <w:footnoteReference w:id="30"/>
      </w:r>
      <w:r>
        <w:t xml:space="preserve"> </w:t>
      </w:r>
      <w:r>
        <w:t xml:space="preserve">formulated the distinction between inscribing and incorporating practices, and J. K. Olick</w:t>
      </w:r>
      <w:r>
        <w:rPr>
          <w:rStyle w:val="FootnoteReference"/>
        </w:rPr>
        <w:footnoteReference w:id="31"/>
      </w:r>
      <w:r>
        <w:t xml:space="preserve"> </w:t>
      </w:r>
      <w:r>
        <w:t xml:space="preserve">separated</w:t>
      </w:r>
      <w:r>
        <w:t xml:space="preserve"> </w:t>
      </w:r>
      <w:r>
        <w:t xml:space="preserve">“</w:t>
      </w:r>
      <w:r>
        <w:t xml:space="preserve">collected</w:t>
      </w:r>
      <w:r>
        <w:t xml:space="preserve">”</w:t>
      </w:r>
      <w:r>
        <w:t xml:space="preserve"> </w:t>
      </w:r>
      <w:r>
        <w:t xml:space="preserve">memory from properly</w:t>
      </w:r>
      <w:r>
        <w:t xml:space="preserve"> </w:t>
      </w:r>
      <w:r>
        <w:t xml:space="preserve">“</w:t>
      </w:r>
      <w:r>
        <w:t xml:space="preserve">collective</w:t>
      </w:r>
      <w:r>
        <w:t xml:space="preserve">”</w:t>
      </w:r>
      <w:r>
        <w:t xml:space="preserve"> </w:t>
      </w:r>
      <w:r>
        <w:t xml:space="preserve">memory as a methodological choice. P. Nora</w:t>
      </w:r>
      <w:r>
        <w:rPr>
          <w:rStyle w:val="FootnoteReference"/>
        </w:rPr>
        <w:footnoteReference w:id="32"/>
      </w:r>
      <w:r>
        <w:t xml:space="preserve"> </w:t>
      </w:r>
      <w:r>
        <w:t xml:space="preserve">introduced the concept of</w:t>
      </w:r>
      <w:r>
        <w:t xml:space="preserve"> </w:t>
      </w:r>
      <w:r>
        <w:rPr>
          <w:iCs/>
          <w:i/>
        </w:rPr>
        <w:t xml:space="preserve">lieux de mémoire</w:t>
      </w:r>
      <w:r>
        <w:t xml:space="preserve"> </w:t>
      </w:r>
      <w:r>
        <w:t xml:space="preserve">that has become the standard analytical lens for institutional memorial sites. These approaches together explain</w:t>
      </w:r>
      <w:r>
        <w:t xml:space="preserve"> </w:t>
      </w:r>
      <w:r>
        <w:rPr>
          <w:iCs/>
          <w:i/>
        </w:rPr>
        <w:t xml:space="preserve">how</w:t>
      </w:r>
      <w:r>
        <w:t xml:space="preserve"> </w:t>
      </w:r>
      <w:r>
        <w:t xml:space="preserve">memory is produced and transmitted, but they do not, in themselves, account for the political functions of these processes.</w:t>
      </w:r>
    </w:p>
    <w:p>
      <w:pPr>
        <w:pStyle w:val="BodyText"/>
      </w:pPr>
      <w:r>
        <w:t xml:space="preserve">The political dimension of memory has been theorised most directly by A. Assmann</w:t>
      </w:r>
      <w:r>
        <w:rPr>
          <w:rStyle w:val="FootnoteReference"/>
        </w:rPr>
        <w:footnoteReference w:id="33"/>
      </w:r>
      <w:r>
        <w:t xml:space="preserve">, who argued that institutions do not</w:t>
      </w:r>
      <w:r>
        <w:t xml:space="preserve"> </w:t>
      </w:r>
      <w:r>
        <w:t xml:space="preserve">“</w:t>
      </w:r>
      <w:r>
        <w:t xml:space="preserve">have</w:t>
      </w:r>
      <w:r>
        <w:t xml:space="preserve">”</w:t>
      </w:r>
      <w:r>
        <w:t xml:space="preserve"> </w:t>
      </w:r>
      <w:r>
        <w:t xml:space="preserve">but</w:t>
      </w:r>
      <w:r>
        <w:t xml:space="preserve"> </w:t>
      </w:r>
      <w:r>
        <w:t xml:space="preserve">“</w:t>
      </w:r>
      <w:r>
        <w:t xml:space="preserve">make</w:t>
      </w:r>
      <w:r>
        <w:t xml:space="preserve">”</w:t>
      </w:r>
      <w:r>
        <w:t xml:space="preserve"> </w:t>
      </w:r>
      <w:r>
        <w:t xml:space="preserve">memory; by T. Judt</w:t>
      </w:r>
      <w:r>
        <w:rPr>
          <w:rStyle w:val="FootnoteReference"/>
        </w:rPr>
        <w:footnoteReference w:id="34"/>
      </w:r>
      <w:r>
        <w:t xml:space="preserve">, who traced the asymmetric inclusion and exclusion of memories in post-war Europe; and by E. Traverso</w:t>
      </w:r>
      <w:r>
        <w:rPr>
          <w:rStyle w:val="FootnoteReference"/>
        </w:rPr>
        <w:footnoteReference w:id="35"/>
      </w:r>
      <w:r>
        <w:t xml:space="preserve">, who showed that memory always speaks in the present tense and serves current political tasks. These works provide the conceptual vocabulary for treating any memorial exhibition as a site of memory politics, but they do not address how this politics is reproduced specifically through digital and multimedia means.</w:t>
      </w:r>
    </w:p>
    <w:p>
      <w:pPr>
        <w:pStyle w:val="BodyText"/>
      </w:pPr>
      <w:r>
        <w:t xml:space="preserve">The digital transformation of memorial institutions and the question of who controls the narrative in the digital age have been addressed by A. Hoskins</w:t>
      </w:r>
      <w:r>
        <w:rPr>
          <w:rStyle w:val="FootnoteReference"/>
        </w:rPr>
        <w:footnoteReference w:id="36"/>
      </w:r>
      <w:r>
        <w:t xml:space="preserve"> </w:t>
      </w:r>
      <w:r>
        <w:t xml:space="preserve">in his account of the</w:t>
      </w:r>
      <w:r>
        <w:t xml:space="preserve"> </w:t>
      </w:r>
      <w:r>
        <w:t xml:space="preserve">“</w:t>
      </w:r>
      <w:r>
        <w:t xml:space="preserve">connective turn</w:t>
      </w:r>
      <w:r>
        <w:t xml:space="preserve">”</w:t>
      </w:r>
      <w:r>
        <w:t xml:space="preserve"> </w:t>
      </w:r>
      <w:r>
        <w:t xml:space="preserve">and the</w:t>
      </w:r>
      <w:r>
        <w:t xml:space="preserve"> </w:t>
      </w:r>
      <w:r>
        <w:t xml:space="preserve">“</w:t>
      </w:r>
      <w:r>
        <w:t xml:space="preserve">new memory ecology</w:t>
      </w:r>
      <w:r>
        <w:t xml:space="preserve">”</w:t>
      </w:r>
      <w:r>
        <w:t xml:space="preserve">, by W. Kansteiner</w:t>
      </w:r>
      <w:r>
        <w:rPr>
          <w:rStyle w:val="FootnoteReference"/>
        </w:rPr>
        <w:footnoteReference w:id="37"/>
      </w:r>
      <w:r>
        <w:t xml:space="preserve"> </w:t>
      </w:r>
      <w:r>
        <w:t xml:space="preserve">in his analysis of digital Holocaust commemoration, by W. Ernst</w:t>
      </w:r>
      <w:r>
        <w:rPr>
          <w:rStyle w:val="FootnoteReference"/>
        </w:rPr>
        <w:footnoteReference w:id="38"/>
      </w:r>
      <w:r>
        <w:t xml:space="preserve"> </w:t>
      </w:r>
      <w:r>
        <w:t xml:space="preserve">in his work on the digital archive, and by R. Silverstone</w:t>
      </w:r>
      <w:r>
        <w:rPr>
          <w:rStyle w:val="FootnoteReference"/>
        </w:rPr>
        <w:footnoteReference w:id="39"/>
      </w:r>
      <w:r>
        <w:t xml:space="preserve"> </w:t>
      </w:r>
      <w:r>
        <w:t xml:space="preserve">in his theory of the</w:t>
      </w:r>
      <w:r>
        <w:t xml:space="preserve"> </w:t>
      </w:r>
      <w:r>
        <w:t xml:space="preserve">“</w:t>
      </w:r>
      <w:r>
        <w:t xml:space="preserve">mediapolis</w:t>
      </w:r>
      <w:r>
        <w:t xml:space="preserve">”</w:t>
      </w:r>
      <w:r>
        <w:t xml:space="preserve"> </w:t>
      </w:r>
      <w:r>
        <w:t xml:space="preserve">and</w:t>
      </w:r>
      <w:r>
        <w:t xml:space="preserve"> </w:t>
      </w:r>
      <w:r>
        <w:t xml:space="preserve">“</w:t>
      </w:r>
      <w:r>
        <w:t xml:space="preserve">media hospitality</w:t>
      </w:r>
      <w:r>
        <w:t xml:space="preserve">”</w:t>
      </w:r>
      <w:r>
        <w:t xml:space="preserve">. Together these authors show that digitisation reproduces, rather than dissolves, institutional control over the narrative — but the empirical mechanisms through which this reproduction operates in concrete curatorial decisions on multimedia memorial exhibitions remain underexplored.</w:t>
      </w:r>
    </w:p>
    <w:p>
      <w:pPr>
        <w:pStyle w:val="BodyText"/>
      </w:pPr>
      <w:r>
        <w:t xml:space="preserve">The exhibition as a constructed environment of meaning-making has been theorised by T. Bennett</w:t>
      </w:r>
      <w:r>
        <w:rPr>
          <w:rStyle w:val="FootnoteReference"/>
        </w:rPr>
        <w:footnoteReference w:id="40"/>
      </w:r>
      <w:r>
        <w:t xml:space="preserve"> </w:t>
      </w:r>
      <w:r>
        <w:t xml:space="preserve">(the</w:t>
      </w:r>
      <w:r>
        <w:t xml:space="preserve"> </w:t>
      </w:r>
      <w:r>
        <w:t xml:space="preserve">“</w:t>
      </w:r>
      <w:r>
        <w:t xml:space="preserve">exhibitionary complex</w:t>
      </w:r>
      <w:r>
        <w:t xml:space="preserve">”</w:t>
      </w:r>
      <w:r>
        <w:t xml:space="preserve">), by E. Hooper-Greenhill</w:t>
      </w:r>
      <w:r>
        <w:rPr>
          <w:rStyle w:val="FootnoteReference"/>
        </w:rPr>
        <w:footnoteReference w:id="41"/>
      </w:r>
      <w:r>
        <w:t xml:space="preserve"> </w:t>
      </w:r>
      <w:r>
        <w:t xml:space="preserve">(the</w:t>
      </w:r>
      <w:r>
        <w:t xml:space="preserve"> </w:t>
      </w:r>
      <w:r>
        <w:t xml:space="preserve">“</w:t>
      </w:r>
      <w:r>
        <w:t xml:space="preserve">post-museum</w:t>
      </w:r>
      <w:r>
        <w:t xml:space="preserve">”</w:t>
      </w:r>
      <w:r>
        <w:t xml:space="preserve">), and by A. Huyssen</w:t>
      </w:r>
      <w:r>
        <w:rPr>
          <w:rStyle w:val="FootnoteReference"/>
        </w:rPr>
        <w:footnoteReference w:id="42"/>
      </w:r>
      <w:r>
        <w:t xml:space="preserve"> </w:t>
      </w:r>
      <w:r>
        <w:t xml:space="preserve">(the</w:t>
      </w:r>
      <w:r>
        <w:t xml:space="preserve"> </w:t>
      </w:r>
      <w:r>
        <w:t xml:space="preserve">“</w:t>
      </w:r>
      <w:r>
        <w:t xml:space="preserve">hypertrophy of memory</w:t>
      </w:r>
      <w:r>
        <w:t xml:space="preserve">”</w:t>
      </w:r>
      <w:r>
        <w:t xml:space="preserve">). The curatorial dimension specifically has been developed by P. O’Neill</w:t>
      </w:r>
      <w:r>
        <w:rPr>
          <w:rStyle w:val="FootnoteReference"/>
        </w:rPr>
        <w:footnoteReference w:id="43"/>
      </w:r>
      <w:r>
        <w:t xml:space="preserve"> </w:t>
      </w:r>
      <w:r>
        <w:t xml:space="preserve">and T. Smith</w:t>
      </w:r>
      <w:r>
        <w:rPr>
          <w:rStyle w:val="FootnoteReference"/>
        </w:rPr>
        <w:footnoteReference w:id="44"/>
      </w:r>
      <w:r>
        <w:t xml:space="preserve"> </w:t>
      </w:r>
      <w:r>
        <w:t xml:space="preserve">(curating as authorial practice and</w:t>
      </w:r>
      <w:r>
        <w:t xml:space="preserve"> </w:t>
      </w:r>
      <w:r>
        <w:t xml:space="preserve">“</w:t>
      </w:r>
      <w:r>
        <w:t xml:space="preserve">curatorial thinking</w:t>
      </w:r>
      <w:r>
        <w:t xml:space="preserve">”</w:t>
      </w:r>
      <w:r>
        <w:t xml:space="preserve">); the technological transformation of curatorial work has been examined by L. Manovich</w:t>
      </w:r>
      <w:r>
        <w:rPr>
          <w:rStyle w:val="FootnoteReference"/>
        </w:rPr>
        <w:footnoteReference w:id="45"/>
      </w:r>
      <w:r>
        <w:t xml:space="preserve"> </w:t>
      </w:r>
      <w:r>
        <w:t xml:space="preserve">(the</w:t>
      </w:r>
      <w:r>
        <w:t xml:space="preserve"> </w:t>
      </w:r>
      <w:r>
        <w:t xml:space="preserve">“</w:t>
      </w:r>
      <w:r>
        <w:t xml:space="preserve">cultural interface</w:t>
      </w:r>
      <w:r>
        <w:t xml:space="preserve">”</w:t>
      </w:r>
      <w:r>
        <w:t xml:space="preserve">) and R. Parry</w:t>
      </w:r>
      <w:r>
        <w:rPr>
          <w:rStyle w:val="FootnoteReference"/>
        </w:rPr>
        <w:footnoteReference w:id="46"/>
      </w:r>
      <w:r>
        <w:t xml:space="preserve"> </w:t>
      </w:r>
      <w:r>
        <w:t xml:space="preserve">(the shift from museum informatics to digital heritage). S. Macdonald</w:t>
      </w:r>
      <w:r>
        <w:rPr>
          <w:rStyle w:val="FootnoteReference"/>
        </w:rPr>
        <w:footnoteReference w:id="47"/>
      </w:r>
      <w:r>
        <w:t xml:space="preserve"> </w:t>
      </w:r>
      <w:r>
        <w:t xml:space="preserve">has analysed museum experience as the interplay of space, media and sociality. The memorial museum as a specific genre has been studied by P. Williams</w:t>
      </w:r>
      <w:r>
        <w:rPr>
          <w:rStyle w:val="FootnoteReference"/>
        </w:rPr>
        <w:footnoteReference w:id="48"/>
      </w:r>
      <w:r>
        <w:t xml:space="preserve"> </w:t>
      </w:r>
      <w:r>
        <w:t xml:space="preserve">and A. Sodaro</w:t>
      </w:r>
      <w:r>
        <w:rPr>
          <w:rStyle w:val="FootnoteReference"/>
        </w:rPr>
        <w:footnoteReference w:id="49"/>
      </w:r>
      <w:r>
        <w:t xml:space="preserve">, who have respectively shown the constitutive tension of the genre between reverent mourning and critical interpretation and the latent legitimating function of memorial institutions.</w:t>
      </w:r>
    </w:p>
    <w:p>
      <w:pPr>
        <w:pStyle w:val="BodyText"/>
      </w:pPr>
      <w:r>
        <w:t xml:space="preserve">Despite this rich theoretical landscape, several gaps remain. First, the existing literature has rarely combined mediatization theory, memory politics and curatorial studies into a single empirical analysis of a concrete multimedia exhibition. Second, the empirical literature on memorial multimedia exhibitions has overwhelmingly focused on Holocaust commemoration in Western Europe and North America; the production of political memory about the Armenian genocide in multimedia form, especially in the Russian context, has not been subjected to systematic analysis. Third, the specific question of how curatorial decisions translate archival material into mediatized political memory has not been addressed with the dual data design used here (multimodal discourse analysis combined with an expert interview with the curator). This study seeks to fill these gaps.</w:t>
      </w:r>
    </w:p>
    <w:bookmarkEnd w:id="50"/>
    <w:bookmarkStart w:id="51" w:name="the-research-problem"/>
    <w:p>
      <w:pPr>
        <w:pStyle w:val="Heading2"/>
      </w:pPr>
      <w:r>
        <w:t xml:space="preserve">The research problem</w:t>
      </w:r>
    </w:p>
    <w:p>
      <w:pPr>
        <w:pStyle w:val="FirstParagraph"/>
      </w:pPr>
      <w:r>
        <w:t xml:space="preserve">The research problem consists in the following: it is unknown which curatorial decisions determine how a multimedia exhibition constructs the genocide as political memory — what media formats and spatial strategies are deployed and what version of the past the curators construct.</w:t>
      </w:r>
    </w:p>
    <w:bookmarkEnd w:id="51"/>
    <w:bookmarkStart w:id="52" w:name="the-object-and-the-subject-of-research"/>
    <w:p>
      <w:pPr>
        <w:pStyle w:val="Heading2"/>
      </w:pPr>
      <w:r>
        <w:t xml:space="preserve">The object and the subject of research</w:t>
      </w:r>
    </w:p>
    <w:p>
      <w:pPr>
        <w:pStyle w:val="FirstParagraph"/>
      </w:pPr>
      <w:r>
        <w:t xml:space="preserve">The</w:t>
      </w:r>
      <w:r>
        <w:t xml:space="preserve"> </w:t>
      </w:r>
      <w:r>
        <w:rPr>
          <w:bCs/>
          <w:b/>
        </w:rPr>
        <w:t xml:space="preserve">object</w:t>
      </w:r>
      <w:r>
        <w:t xml:space="preserve"> </w:t>
      </w:r>
      <w:r>
        <w:t xml:space="preserve">of the research is the multimedia exhibition</w:t>
      </w:r>
      <w:r>
        <w:t xml:space="preserve"> </w:t>
      </w:r>
      <w:r>
        <w:t xml:space="preserve">“</w:t>
      </w:r>
      <w:r>
        <w:t xml:space="preserve">No to Genocide!</w:t>
      </w:r>
      <w:r>
        <w:t xml:space="preserve">”</w:t>
      </w:r>
      <w:r>
        <w:t xml:space="preserve">.</w:t>
      </w:r>
    </w:p>
    <w:p>
      <w:pPr>
        <w:pStyle w:val="BodyText"/>
      </w:pPr>
      <w:r>
        <w:t xml:space="preserve">The</w:t>
      </w:r>
      <w:r>
        <w:t xml:space="preserve"> </w:t>
      </w:r>
      <w:r>
        <w:rPr>
          <w:bCs/>
          <w:b/>
        </w:rPr>
        <w:t xml:space="preserve">subject</w:t>
      </w:r>
      <w:r>
        <w:t xml:space="preserve"> </w:t>
      </w:r>
      <w:r>
        <w:t xml:space="preserve">of the research is the curatorial and media-technological decisions through which political memory is produced and transmitted on this exhibition.</w:t>
      </w:r>
    </w:p>
    <w:bookmarkEnd w:id="52"/>
    <w:bookmarkStart w:id="53" w:name="the-aim-and-tasks-of-research"/>
    <w:p>
      <w:pPr>
        <w:pStyle w:val="Heading2"/>
      </w:pPr>
      <w:r>
        <w:t xml:space="preserve">The aim and tasks of research</w:t>
      </w:r>
    </w:p>
    <w:p>
      <w:pPr>
        <w:pStyle w:val="FirstParagraph"/>
      </w:pPr>
      <w:r>
        <w:t xml:space="preserve">The</w:t>
      </w:r>
      <w:r>
        <w:t xml:space="preserve"> </w:t>
      </w:r>
      <w:r>
        <w:rPr>
          <w:bCs/>
          <w:b/>
        </w:rPr>
        <w:t xml:space="preserve">aim</w:t>
      </w:r>
      <w:r>
        <w:t xml:space="preserve"> </w:t>
      </w:r>
      <w:r>
        <w:t xml:space="preserve">of the research is to identify and describe the curatorial decisions that shape the mediatization of the genocide of the Armenian people as political memory in the exhibition</w:t>
      </w:r>
      <w:r>
        <w:t xml:space="preserve"> </w:t>
      </w:r>
      <w:r>
        <w:t xml:space="preserve">“</w:t>
      </w:r>
      <w:r>
        <w:t xml:space="preserve">No to Genocide!</w:t>
      </w:r>
      <w:r>
        <w:t xml:space="preserve">”</w:t>
      </w:r>
      <w:r>
        <w:t xml:space="preserve">.</w:t>
      </w:r>
    </w:p>
    <w:p>
      <w:pPr>
        <w:pStyle w:val="BodyText"/>
      </w:pPr>
      <w:r>
        <w:t xml:space="preserve">The aim is achieved through the following</w:t>
      </w:r>
      <w:r>
        <w:t xml:space="preserve"> </w:t>
      </w:r>
      <w:r>
        <w:rPr>
          <w:bCs/>
          <w:b/>
        </w:rPr>
        <w:t xml:space="preserve">theoretical tasks</w:t>
      </w:r>
      <w:r>
        <w:t xml:space="preserve">:</w:t>
      </w:r>
    </w:p>
    <w:p>
      <w:pPr>
        <w:numPr>
          <w:ilvl w:val="0"/>
          <w:numId w:val="1001"/>
        </w:numPr>
        <w:pStyle w:val="Compact"/>
      </w:pPr>
      <w:r>
        <w:t xml:space="preserve">To examine the concept of mediatization as applied to cultural and museum practices.</w:t>
      </w:r>
    </w:p>
    <w:p>
      <w:pPr>
        <w:numPr>
          <w:ilvl w:val="0"/>
          <w:numId w:val="1001"/>
        </w:numPr>
        <w:pStyle w:val="Compact"/>
      </w:pPr>
      <w:r>
        <w:t xml:space="preserve">To establish the connection between mediatization and the production of political memory through the analysis of approaches to cultural memory, memory politics and the digital transformation of the museum.</w:t>
      </w:r>
    </w:p>
    <w:p>
      <w:pPr>
        <w:numPr>
          <w:ilvl w:val="0"/>
          <w:numId w:val="1001"/>
        </w:numPr>
        <w:pStyle w:val="Compact"/>
      </w:pPr>
      <w:r>
        <w:t xml:space="preserve">To describe the specificity of curating multimedia exhibitions on political memory and to identify the principal curatorial strategies for working with the traumatic past.</w:t>
      </w:r>
    </w:p>
    <w:p>
      <w:pPr>
        <w:pStyle w:val="FirstParagraph"/>
      </w:pPr>
      <w:r>
        <w:t xml:space="preserve">And through the following</w:t>
      </w:r>
      <w:r>
        <w:t xml:space="preserve"> </w:t>
      </w:r>
      <w:r>
        <w:rPr>
          <w:bCs/>
          <w:b/>
        </w:rPr>
        <w:t xml:space="preserve">empirical tasks</w:t>
      </w:r>
      <w:r>
        <w:t xml:space="preserve">:</w:t>
      </w:r>
    </w:p>
    <w:p>
      <w:pPr>
        <w:numPr>
          <w:ilvl w:val="0"/>
          <w:numId w:val="1002"/>
        </w:numPr>
        <w:pStyle w:val="Compact"/>
      </w:pPr>
      <w:r>
        <w:t xml:space="preserve">To conduct an expert interview with the curator of the exhibition with the aim of reconstructing the logic of the curatorial decisions.</w:t>
      </w:r>
    </w:p>
    <w:p>
      <w:pPr>
        <w:numPr>
          <w:ilvl w:val="0"/>
          <w:numId w:val="1002"/>
        </w:numPr>
        <w:pStyle w:val="Compact"/>
      </w:pPr>
      <w:r>
        <w:t xml:space="preserve">To compare and analyse the data of the structured observation and of the interview in order to identify how the curatorial decisions shape political memory about the genocide.</w:t>
      </w:r>
    </w:p>
    <w:p>
      <w:pPr>
        <w:numPr>
          <w:ilvl w:val="0"/>
          <w:numId w:val="1002"/>
        </w:numPr>
        <w:pStyle w:val="Compact"/>
      </w:pPr>
      <w:r>
        <w:t xml:space="preserve">To carry out a multimodal discourse analysis of the exhibition</w:t>
      </w:r>
      <w:r>
        <w:t xml:space="preserve"> </w:t>
      </w:r>
      <w:r>
        <w:t xml:space="preserve">“</w:t>
      </w:r>
      <w:r>
        <w:t xml:space="preserve">No to Genocide!</w:t>
      </w:r>
      <w:r>
        <w:t xml:space="preserve">”</w:t>
      </w:r>
      <w:r>
        <w:t xml:space="preserve">.</w:t>
      </w:r>
    </w:p>
    <w:bookmarkEnd w:id="53"/>
    <w:bookmarkStart w:id="54" w:name="the-research-question"/>
    <w:p>
      <w:pPr>
        <w:pStyle w:val="Heading2"/>
      </w:pPr>
      <w:r>
        <w:t xml:space="preserve">The research question</w:t>
      </w:r>
    </w:p>
    <w:p>
      <w:pPr>
        <w:pStyle w:val="FirstParagraph"/>
      </w:pPr>
      <w:r>
        <w:rPr>
          <w:bCs/>
          <w:b/>
        </w:rPr>
        <w:t xml:space="preserve">RQ.</w:t>
      </w:r>
      <w:r>
        <w:t xml:space="preserve"> </w:t>
      </w:r>
      <w:r>
        <w:t xml:space="preserve">What curatorial decisions shape the mediatization of genocide as political memory in multimedia exhibitions?</w:t>
      </w:r>
    </w:p>
    <w:p>
      <w:pPr>
        <w:pStyle w:val="BodyText"/>
      </w:pPr>
      <w:r>
        <w:rPr>
          <w:bCs/>
          <w:b/>
        </w:rPr>
        <w:t xml:space="preserve">RQ1.</w:t>
      </w:r>
      <w:r>
        <w:t xml:space="preserve"> </w:t>
      </w:r>
      <w:r>
        <w:t xml:space="preserve">What curatorial decisions shape the mediatization of the genocide of the Armenian people as political memory in the exhibition</w:t>
      </w:r>
      <w:r>
        <w:t xml:space="preserve"> </w:t>
      </w:r>
      <w:r>
        <w:t xml:space="preserve">“</w:t>
      </w:r>
      <w:r>
        <w:t xml:space="preserve">No to Genocide!</w:t>
      </w:r>
      <w:r>
        <w:t xml:space="preserve">”</w:t>
      </w:r>
      <w:r>
        <w:t xml:space="preserve">?</w:t>
      </w:r>
    </w:p>
    <w:bookmarkEnd w:id="54"/>
    <w:bookmarkStart w:id="55" w:name="the-theoretical-framework"/>
    <w:p>
      <w:pPr>
        <w:pStyle w:val="Heading2"/>
      </w:pPr>
      <w:r>
        <w:t xml:space="preserve">The theoretical framework</w:t>
      </w:r>
    </w:p>
    <w:p>
      <w:pPr>
        <w:pStyle w:val="FirstParagraph"/>
      </w:pPr>
      <w:r>
        <w:t xml:space="preserve">The theoretical framework of the study is constituted by four interrelated bodies of literature, each of which supplies a specific element of the analytical lens that is applied in the empirical chapter.</w:t>
      </w:r>
    </w:p>
    <w:p>
      <w:pPr>
        <w:numPr>
          <w:ilvl w:val="0"/>
          <w:numId w:val="1003"/>
        </w:numPr>
      </w:pPr>
      <w:r>
        <w:rPr>
          <w:bCs/>
          <w:b/>
        </w:rPr>
        <w:t xml:space="preserve">Mediatization of culture.</w:t>
      </w:r>
      <w:r>
        <w:t xml:space="preserve"> </w:t>
      </w:r>
      <w:r>
        <w:t xml:space="preserve">Media are treated not as a channel of transmission but as the very environment in which culture is produced. This frame draws on S. Hjarvard’s theory of media logic, A. Hepp’s notion of deep mediatization and molding forces of media, and N. Couldry and A. Hepp’s account of the mediated construction of reality.</w:t>
      </w:r>
    </w:p>
    <w:p>
      <w:pPr>
        <w:numPr>
          <w:ilvl w:val="0"/>
          <w:numId w:val="1003"/>
        </w:numPr>
      </w:pPr>
      <w:r>
        <w:rPr>
          <w:bCs/>
          <w:b/>
        </w:rPr>
        <w:t xml:space="preserve">Political memory and memory politics.</w:t>
      </w:r>
      <w:r>
        <w:t xml:space="preserve"> </w:t>
      </w:r>
      <w:r>
        <w:t xml:space="preserve">Memory is treated as an institutional product oriented to the tasks of the present and carrying a normative dimension. This frame draws on A. Assmann’s account of political memory as institutional stabilisation, E. Traverso’s claim that memory always speaks in the present tense, and T. Judt’s analysis of the asymmetric inclusion and exclusion of memories.</w:t>
      </w:r>
    </w:p>
    <w:p>
      <w:pPr>
        <w:numPr>
          <w:ilvl w:val="0"/>
          <w:numId w:val="1003"/>
        </w:numPr>
      </w:pPr>
      <w:r>
        <w:rPr>
          <w:bCs/>
          <w:b/>
        </w:rPr>
        <w:t xml:space="preserve">The digital transformation of the museum.</w:t>
      </w:r>
      <w:r>
        <w:t xml:space="preserve"> </w:t>
      </w:r>
      <w:r>
        <w:t xml:space="preserve">Digital technologies do not abolish institutional control over the narrative but reproduce it in new forms. This frame draws on A. Hoskins’s concept of the connective turn, W. Kansteiner’s analysis of digital memorial spaces, and R. Silverstone’s notion of the mediapolis and media hospitality.</w:t>
      </w:r>
    </w:p>
    <w:p>
      <w:pPr>
        <w:numPr>
          <w:ilvl w:val="0"/>
          <w:numId w:val="1003"/>
        </w:numPr>
      </w:pPr>
      <w:r>
        <w:rPr>
          <w:bCs/>
          <w:b/>
        </w:rPr>
        <w:t xml:space="preserve">The museum and curatorship.</w:t>
      </w:r>
      <w:r>
        <w:t xml:space="preserve"> </w:t>
      </w:r>
      <w:r>
        <w:t xml:space="preserve">Exhibition design constructs meaning and shapes a particular position of the viewer. This frame draws on T. Bennett’s exhibitionary complex, S. Macdonald’s three-part account of space, media and sociality, A. Sodaro’s analysis of the legitimating function of memorial museums, and L. Manovich’s concept of the cultural interface.</w:t>
      </w:r>
    </w:p>
    <w:p>
      <w:pPr>
        <w:pStyle w:val="FirstParagraph"/>
      </w:pPr>
      <w:r>
        <w:t xml:space="preserve">Together, these four frames yield the analytical lens that organises Chapter 3: each curatorial decision is read simultaneously as a response to the media logic of the platform, as an act of translating archival material into political memory, as a projection of a position for the visitor, and as an act of granting or withholding visibility.</w:t>
      </w:r>
    </w:p>
    <w:bookmarkEnd w:id="55"/>
    <w:bookmarkStart w:id="56" w:name="the-empirical-base"/>
    <w:p>
      <w:pPr>
        <w:pStyle w:val="Heading2"/>
      </w:pPr>
      <w:r>
        <w:t xml:space="preserve">The empirical base</w:t>
      </w:r>
    </w:p>
    <w:p>
      <w:pPr>
        <w:pStyle w:val="FirstParagraph"/>
      </w:pPr>
      <w:r>
        <w:t xml:space="preserve">The empirical base of the research consists of two complementary data sources collected on the same case.</w:t>
      </w:r>
    </w:p>
    <w:p>
      <w:pPr>
        <w:numPr>
          <w:ilvl w:val="0"/>
          <w:numId w:val="1004"/>
        </w:numPr>
      </w:pPr>
      <w:r>
        <w:rPr>
          <w:bCs/>
          <w:b/>
        </w:rPr>
        <w:t xml:space="preserve">Structured observation of the exhibition</w:t>
      </w:r>
      <w:r>
        <w:rPr>
          <w:bCs/>
          <w:b/>
        </w:rPr>
        <w:t xml:space="preserve"> </w:t>
      </w:r>
      <w:r>
        <w:rPr>
          <w:bCs/>
          <w:b/>
        </w:rPr>
        <w:t xml:space="preserve">“</w:t>
      </w:r>
      <w:r>
        <w:rPr>
          <w:bCs/>
          <w:b/>
        </w:rPr>
        <w:t xml:space="preserve">No to Genocide!</w:t>
      </w:r>
      <w:r>
        <w:rPr>
          <w:bCs/>
          <w:b/>
        </w:rPr>
        <w:t xml:space="preserve">”</w:t>
      </w:r>
      <w:r>
        <w:t xml:space="preserve">, conducted in 2024 in Rostov-on-Don during the annual run of the exhibition at the historical park</w:t>
      </w:r>
      <w:r>
        <w:t xml:space="preserve"> </w:t>
      </w:r>
      <w:r>
        <w:t xml:space="preserve">“</w:t>
      </w:r>
      <w:r>
        <w:t xml:space="preserve">Russia — My History</w:t>
      </w:r>
      <w:r>
        <w:t xml:space="preserve">”</w:t>
      </w:r>
      <w:r>
        <w:t xml:space="preserve">. The observation was organised in accordance with a protocol built around the three levels of multimodal discourse analysis (representational, interactive and compositional). For each element of the exposition (eleven thematic LED screens, the entrance sensor table with Kinect control, the duplicating sensor tables, the textile banners with quotations, the transitional screens, the soundscape, and the lighting regime) a four-block analytical record was produced.</w:t>
      </w:r>
    </w:p>
    <w:p>
      <w:pPr>
        <w:numPr>
          <w:ilvl w:val="0"/>
          <w:numId w:val="1004"/>
        </w:numPr>
      </w:pPr>
      <w:r>
        <w:rPr>
          <w:bCs/>
          <w:b/>
        </w:rPr>
        <w:t xml:space="preserve">Semi-structured expert interview</w:t>
      </w:r>
      <w:r>
        <w:t xml:space="preserve"> </w:t>
      </w:r>
      <w:r>
        <w:t xml:space="preserve">with the curator of the exhibition, who is also the principal organiser of the project on behalf of the Don Union of Armenian Youth. The interview was conducted in person, lasted approximately one hour, was recorded with the curator’s consent and subsequently transcribed in full. The interview guide consisted of seven thematic blocks and seventeen questions and was built around the gaps identified by the observation protocol.</w:t>
      </w:r>
    </w:p>
    <w:p>
      <w:pPr>
        <w:pStyle w:val="FirstParagraph"/>
      </w:pPr>
      <w:r>
        <w:t xml:space="preserve">The two sources are used in pairs: the observation records</w:t>
      </w:r>
      <w:r>
        <w:t xml:space="preserve"> </w:t>
      </w:r>
      <w:r>
        <w:rPr>
          <w:iCs/>
          <w:i/>
        </w:rPr>
        <w:t xml:space="preserve">what</w:t>
      </w:r>
      <w:r>
        <w:t xml:space="preserve"> </w:t>
      </w:r>
      <w:r>
        <w:t xml:space="preserve">is on the exhibition, while the interview reconstructs</w:t>
      </w:r>
      <w:r>
        <w:t xml:space="preserve"> </w:t>
      </w:r>
      <w:r>
        <w:rPr>
          <w:iCs/>
          <w:i/>
        </w:rPr>
        <w:t xml:space="preserve">why</w:t>
      </w:r>
      <w:r>
        <w:t xml:space="preserve"> </w:t>
      </w:r>
      <w:r>
        <w:t xml:space="preserve">it is precisely so. In the empirical chapter both layers are systematically juxtaposed and related to the theoretical concepts of Chapter 1.</w:t>
      </w:r>
    </w:p>
    <w:bookmarkEnd w:id="56"/>
    <w:bookmarkStart w:id="62" w:name="the-research-methodology-and-methods"/>
    <w:p>
      <w:pPr>
        <w:pStyle w:val="Heading2"/>
      </w:pPr>
      <w:r>
        <w:t xml:space="preserve">The research methodology and methods</w:t>
      </w:r>
    </w:p>
    <w:p>
      <w:pPr>
        <w:pStyle w:val="FirstParagraph"/>
      </w:pPr>
      <w:r>
        <w:t xml:space="preserve">The methodology of the research is the</w:t>
      </w:r>
      <w:r>
        <w:t xml:space="preserve"> </w:t>
      </w:r>
      <w:r>
        <w:rPr>
          <w:bCs/>
          <w:b/>
        </w:rPr>
        <w:t xml:space="preserve">case study</w:t>
      </w:r>
      <w:r>
        <w:t xml:space="preserve">. The exhibition</w:t>
      </w:r>
      <w:r>
        <w:t xml:space="preserve"> </w:t>
      </w:r>
      <w:r>
        <w:t xml:space="preserve">“</w:t>
      </w:r>
      <w:r>
        <w:t xml:space="preserve">No to Genocide!</w:t>
      </w:r>
      <w:r>
        <w:t xml:space="preserve">”</w:t>
      </w:r>
      <w:r>
        <w:t xml:space="preserve"> </w:t>
      </w:r>
      <w:r>
        <w:t xml:space="preserve">is examined as an</w:t>
      </w:r>
      <w:r>
        <w:t xml:space="preserve"> </w:t>
      </w:r>
      <w:r>
        <w:rPr>
          <w:bCs/>
          <w:b/>
        </w:rPr>
        <w:t xml:space="preserve">instrumental case</w:t>
      </w:r>
      <w:r>
        <w:rPr>
          <w:rStyle w:val="FootnoteReference"/>
        </w:rPr>
        <w:footnoteReference w:id="57"/>
      </w:r>
      <w:r>
        <w:t xml:space="preserve">: a concrete case is studied not for its own sake but as an instrument for answering a broader question about how multimedia exhibitions construct political memory. The case is treated as a</w:t>
      </w:r>
      <w:r>
        <w:t xml:space="preserve"> </w:t>
      </w:r>
      <w:r>
        <w:rPr>
          <w:bCs/>
          <w:b/>
        </w:rPr>
        <w:t xml:space="preserve">critical case</w:t>
      </w:r>
      <w:r>
        <w:t xml:space="preserve"> </w:t>
      </w:r>
      <w:r>
        <w:t xml:space="preserve">in B. Flyvbjerg’s sense</w:t>
      </w:r>
      <w:r>
        <w:rPr>
          <w:rStyle w:val="FootnoteReference"/>
        </w:rPr>
        <w:footnoteReference w:id="58"/>
      </w:r>
      <w:r>
        <w:t xml:space="preserve">: the maximum political tension around the recognition of the Armenian genocide, combined with the institutional tension between a diaspora organisation and a state multimedia park, forces the mechanisms of memory mediatization to operate with the greatest possible clarity. The research follows R. K. Yin’s single-case design</w:t>
      </w:r>
      <w:r>
        <w:rPr>
          <w:rStyle w:val="FootnoteReference"/>
        </w:rPr>
        <w:footnoteReference w:id="59"/>
      </w:r>
      <w:r>
        <w:t xml:space="preserve">: generalisation is analytical, not statistical, and is directed at theoretical propositions, not at populations.</w:t>
      </w:r>
    </w:p>
    <w:p>
      <w:pPr>
        <w:pStyle w:val="BodyText"/>
      </w:pPr>
      <w:r>
        <w:t xml:space="preserve">The principal method of analysis is</w:t>
      </w:r>
      <w:r>
        <w:t xml:space="preserve"> </w:t>
      </w:r>
      <w:r>
        <w:rPr>
          <w:bCs/>
          <w:b/>
        </w:rPr>
        <w:t xml:space="preserve">multimodal discourse analysis (MDA)</w:t>
      </w:r>
      <w:r>
        <w:t xml:space="preserve"> </w:t>
      </w:r>
      <w:r>
        <w:t xml:space="preserve">in the version developed by G. Kress and T. van Leeuwen</w:t>
      </w:r>
      <w:r>
        <w:rPr>
          <w:rStyle w:val="FootnoteReference"/>
        </w:rPr>
        <w:footnoteReference w:id="60"/>
      </w:r>
      <w:r>
        <w:t xml:space="preserve">. The analysis is organised around three levels:</w:t>
      </w:r>
    </w:p>
    <w:p>
      <w:pPr>
        <w:pStyle w:val="BodyText"/>
      </w:pPr>
      <w:r>
        <w:t xml:space="preserve">— the</w:t>
      </w:r>
      <w:r>
        <w:t xml:space="preserve"> </w:t>
      </w:r>
      <w:r>
        <w:rPr>
          <w:bCs/>
          <w:b/>
        </w:rPr>
        <w:t xml:space="preserve">representational level</w:t>
      </w:r>
      <w:r>
        <w:t xml:space="preserve"> </w:t>
      </w:r>
      <w:r>
        <w:t xml:space="preserve">examines who is depicted and how;</w:t>
      </w:r>
    </w:p>
    <w:p>
      <w:pPr>
        <w:pStyle w:val="BodyText"/>
      </w:pPr>
      <w:r>
        <w:t xml:space="preserve">— the</w:t>
      </w:r>
      <w:r>
        <w:t xml:space="preserve"> </w:t>
      </w:r>
      <w:r>
        <w:rPr>
          <w:bCs/>
          <w:b/>
        </w:rPr>
        <w:t xml:space="preserve">interactive level</w:t>
      </w:r>
      <w:r>
        <w:t xml:space="preserve"> </w:t>
      </w:r>
      <w:r>
        <w:t xml:space="preserve">examines the position that the viewer is given;</w:t>
      </w:r>
    </w:p>
    <w:p>
      <w:pPr>
        <w:pStyle w:val="BodyText"/>
      </w:pPr>
      <w:r>
        <w:t xml:space="preserve">— the</w:t>
      </w:r>
      <w:r>
        <w:t xml:space="preserve"> </w:t>
      </w:r>
      <w:r>
        <w:rPr>
          <w:bCs/>
          <w:b/>
        </w:rPr>
        <w:t xml:space="preserve">compositional level</w:t>
      </w:r>
      <w:r>
        <w:t xml:space="preserve"> </w:t>
      </w:r>
      <w:r>
        <w:t xml:space="preserve">examines how the space of the image and the route through the exhibition are organised.</w:t>
      </w:r>
    </w:p>
    <w:p>
      <w:pPr>
        <w:pStyle w:val="BodyText"/>
      </w:pPr>
      <w:r>
        <w:t xml:space="preserve">The expert interview is analysed by means of</w:t>
      </w:r>
      <w:r>
        <w:t xml:space="preserve"> </w:t>
      </w:r>
      <w:r>
        <w:rPr>
          <w:bCs/>
          <w:b/>
        </w:rPr>
        <w:t xml:space="preserve">semi-structured in-depth interviewing</w:t>
      </w:r>
      <w:r>
        <w:rPr>
          <w:rStyle w:val="FootnoteReference"/>
        </w:rPr>
        <w:footnoteReference w:id="61"/>
      </w:r>
      <w:r>
        <w:t xml:space="preserve">: the transcript is processed as a text from which key fragments are extracted and matched with the data of the observation protocol and the theoretical concepts of Chapter 1.</w:t>
      </w:r>
    </w:p>
    <w:bookmarkEnd w:id="62"/>
    <w:bookmarkStart w:id="63" w:name="the-scientific-novelty-of-the-research"/>
    <w:p>
      <w:pPr>
        <w:pStyle w:val="Heading2"/>
      </w:pPr>
      <w:r>
        <w:t xml:space="preserve">The scientific novelty of the research</w:t>
      </w:r>
    </w:p>
    <w:p>
      <w:pPr>
        <w:pStyle w:val="FirstParagraph"/>
      </w:pPr>
      <w:r>
        <w:t xml:space="preserve">The scientific novelty of the research consists in the following:</w:t>
      </w:r>
    </w:p>
    <w:p>
      <w:pPr>
        <w:numPr>
          <w:ilvl w:val="0"/>
          <w:numId w:val="1005"/>
        </w:numPr>
      </w:pPr>
      <w:r>
        <w:t xml:space="preserve">The study offers the first systematic analysis of the curatorial work behind the multimedia exhibition</w:t>
      </w:r>
      <w:r>
        <w:t xml:space="preserve"> </w:t>
      </w:r>
      <w:r>
        <w:t xml:space="preserve">“</w:t>
      </w:r>
      <w:r>
        <w:t xml:space="preserve">No to Genocide!</w:t>
      </w:r>
      <w:r>
        <w:t xml:space="preserve">”</w:t>
      </w:r>
      <w:r>
        <w:t xml:space="preserve"> </w:t>
      </w:r>
      <w:r>
        <w:t xml:space="preserve">— a memorial project that exists at the intersection of diaspora memory activism and the federal infrastructure of historical memory in Russia, and which has so far not been subjected to academic examination.</w:t>
      </w:r>
    </w:p>
    <w:p>
      <w:pPr>
        <w:numPr>
          <w:ilvl w:val="0"/>
          <w:numId w:val="1005"/>
        </w:numPr>
      </w:pPr>
      <w:r>
        <w:t xml:space="preserve">The research integrates three previously separate analytical traditions — mediatization theory, memory studies and curatorial studies — into a single empirical design built around concrete curatorial decisions, and demonstrates that these decisions are simultaneously decisions about media logic, about the translation of archival material into functional memory, about visitor positioning, and about the distribution of visibility.</w:t>
      </w:r>
    </w:p>
    <w:p>
      <w:pPr>
        <w:numPr>
          <w:ilvl w:val="0"/>
          <w:numId w:val="1005"/>
        </w:numPr>
      </w:pPr>
      <w:r>
        <w:t xml:space="preserve">The research introduces a dual-data design — multimodal discourse analysis of the exhibition combined with an expert interview with its curator — which makes it possible to compare the observed material organisation of the exposition with the reconstructed practical logic of its authors, and thereby to identify curatorial trade-offs that are not visible at the level of artefacts alone.</w:t>
      </w:r>
    </w:p>
    <w:p>
      <w:pPr>
        <w:numPr>
          <w:ilvl w:val="0"/>
          <w:numId w:val="1005"/>
        </w:numPr>
      </w:pPr>
      <w:r>
        <w:t xml:space="preserve">The Armenian genocide is taken as a critical case of memory politics under institutional tension: the analysis shows that the mediatization of political memory in such conditions operates through a four-level hierarchy of voices (international authorities, Russian witnesses, silent victims, active Armenian subjects), a structural isomorphism between chronological narrative and linear spatial route, and a set of affective strategies that hold the genocide</w:t>
      </w:r>
      <w:r>
        <w:t xml:space="preserve"> </w:t>
      </w:r>
      <w:r>
        <w:t xml:space="preserve">“</w:t>
      </w:r>
      <w:r>
        <w:t xml:space="preserve">readable</w:t>
      </w:r>
      <w:r>
        <w:t xml:space="preserve">”</w:t>
      </w:r>
      <w:r>
        <w:t xml:space="preserve"> </w:t>
      </w:r>
      <w:r>
        <w:t xml:space="preserve">inside an actual political frame of recognition.</w:t>
      </w:r>
    </w:p>
    <w:bookmarkEnd w:id="63"/>
    <w:bookmarkStart w:id="64" w:name="Xd8cf8a1965d176cf7f316613685c0a3dadba715"/>
    <w:p>
      <w:pPr>
        <w:pStyle w:val="Heading2"/>
      </w:pPr>
      <w:r>
        <w:t xml:space="preserve">The theoretical and practical significance of the research</w:t>
      </w:r>
    </w:p>
    <w:p>
      <w:pPr>
        <w:pStyle w:val="FirstParagraph"/>
      </w:pPr>
      <w:r>
        <w:t xml:space="preserve">The</w:t>
      </w:r>
      <w:r>
        <w:t xml:space="preserve"> </w:t>
      </w:r>
      <w:r>
        <w:rPr>
          <w:bCs/>
          <w:b/>
        </w:rPr>
        <w:t xml:space="preserve">theoretical significance</w:t>
      </w:r>
      <w:r>
        <w:t xml:space="preserve"> </w:t>
      </w:r>
      <w:r>
        <w:t xml:space="preserve">of the research consists in extending mediatization theory and memory studies to a class of cases — multimedia memorial exhibitions about contested genocides — that has so far been described mainly within the Holocaust paradigm. The study shows that the concepts of media logic, deep mediatization, functional and storage memory, sites of memory, mediapolis, exhibitionary complex and curatorial thinking can be operationalised together as an integrated analytical lens. The empirical material confirms the theoretical claim that digitisation does not transfer power over the narrative away from institutions but reproduces this power through technology — and refines the claim by identifying the concrete curatorial mechanisms through which this reproduction takes place.</w:t>
      </w:r>
    </w:p>
    <w:p>
      <w:pPr>
        <w:pStyle w:val="BodyText"/>
      </w:pPr>
      <w:r>
        <w:t xml:space="preserve">The</w:t>
      </w:r>
      <w:r>
        <w:t xml:space="preserve"> </w:t>
      </w:r>
      <w:r>
        <w:rPr>
          <w:bCs/>
          <w:b/>
        </w:rPr>
        <w:t xml:space="preserve">practical significance</w:t>
      </w:r>
      <w:r>
        <w:t xml:space="preserve"> </w:t>
      </w:r>
      <w:r>
        <w:t xml:space="preserve">of the research consists, first, in providing curators, organisers and educational staff of multimedia memorial exhibitions with an analytical vocabulary for reflecting on their own decisions about format, route, voice distribution and affective strategy; second, in offering Armenian diaspora organisations and the museum community a description of the institutional and medial trade-offs typical of memorial projects hosted by federal cultural infrastructures; and third, in producing practical recommendations for the ethical and effective use of multimedia technologies in the transmission of political memory about events of mass violence.</w:t>
      </w:r>
    </w:p>
    <w:bookmarkEnd w:id="64"/>
    <w:bookmarkEnd w:id="65"/>
    <w:bookmarkStart w:id="139" w:name="chapter-1.-theoretical-framework"/>
    <w:p>
      <w:pPr>
        <w:pStyle w:val="Heading1"/>
      </w:pPr>
      <w:r>
        <w:t xml:space="preserve">CHAPTER 1. THEORETICAL FRAMEWORK</w:t>
      </w:r>
    </w:p>
    <w:p>
      <w:pPr>
        <w:pStyle w:val="FirstParagraph"/>
      </w:pPr>
      <w:r>
        <w:t xml:space="preserve">This chapter develops the conceptual apparatus on which the empirical analysis of the multimedia exhibition</w:t>
      </w:r>
      <w:r>
        <w:t xml:space="preserve"> </w:t>
      </w:r>
      <w:r>
        <w:t xml:space="preserve">“</w:t>
      </w:r>
      <w:r>
        <w:t xml:space="preserve">No to Genocide!</w:t>
      </w:r>
      <w:r>
        <w:t xml:space="preserve">”</w:t>
      </w:r>
      <w:r>
        <w:t xml:space="preserve"> </w:t>
      </w:r>
      <w:r>
        <w:t xml:space="preserve">will rely. The framework is built in six steps, each corresponding to one section. Section 1.1 introduces the concept of mediatization and explains why it is needed to understand curatorial work as taking place inside, and not above, the media environment. Section 1.2 moves from media to memory, treating remembrance as a cultural and social process rather than a neutral transmission of facts. Section 1.3 narrows the focus to political memory and shows how institutional choices stabilise one version of the past at the expense of others. Section 1.4 examines what happens to memory in the digital condition and explains why the museum today is itself a mediatized form of memory politics. Section 1.5 situates the museum as both a medial and a political form. Section 1.6 brings these threads together at the level where this study operates — the level of concrete curatorial decisions. Throughout the chapter, each concept is followed by an explicit statement of why it matters for this research and how it will be used in the analysis of</w:t>
      </w:r>
      <w:r>
        <w:t xml:space="preserve"> </w:t>
      </w:r>
      <w:r>
        <w:t xml:space="preserve">“</w:t>
      </w:r>
      <w:r>
        <w:t xml:space="preserve">No to Genocide!</w:t>
      </w:r>
      <w:r>
        <w:t xml:space="preserve">”</w:t>
      </w:r>
      <w:r>
        <w:t xml:space="preserve">.</w:t>
      </w:r>
    </w:p>
    <w:bookmarkStart w:id="77" w:name="the-mediatization-of-culture"/>
    <w:p>
      <w:pPr>
        <w:pStyle w:val="Heading2"/>
      </w:pPr>
      <w:r>
        <w:t xml:space="preserve">1.1 The Mediatization of Culture</w:t>
      </w:r>
    </w:p>
    <w:p>
      <w:pPr>
        <w:pStyle w:val="FirstParagraph"/>
      </w:pPr>
      <w:r>
        <w:t xml:space="preserve">Contemporary cultural processes are increasingly described through the concept of</w:t>
      </w:r>
      <w:r>
        <w:t xml:space="preserve"> </w:t>
      </w:r>
      <w:r>
        <w:t xml:space="preserve">“</w:t>
      </w:r>
      <w:r>
        <w:t xml:space="preserve">mediatization</w:t>
      </w:r>
      <w:r>
        <w:t xml:space="preserve">”</w:t>
      </w:r>
      <w:r>
        <w:t xml:space="preserve">, which captures the fundamental changes that take place in society under the influence of media, and especially digital media</w:t>
      </w:r>
      <w:r>
        <w:rPr>
          <w:rStyle w:val="FootnoteReference"/>
        </w:rPr>
        <w:footnoteReference w:id="66"/>
      </w:r>
      <w:r>
        <w:t xml:space="preserve">. The concept was elaborated in detail by Stig Hjarvard, who defined it as the central category of a theory that explains the growing and changing role of media in culture and society</w:t>
      </w:r>
      <w:r>
        <w:rPr>
          <w:rStyle w:val="FootnoteReference"/>
        </w:rPr>
        <w:footnoteReference w:id="67"/>
      </w:r>
      <w:r>
        <w:t xml:space="preserve">. For Hjarvard, the mediatization of society is the process by which society becomes increasingly subordinate to the media and their logic, or comes to depend on them</w:t>
      </w:r>
      <w:r>
        <w:rPr>
          <w:rStyle w:val="FootnoteReference"/>
        </w:rPr>
        <w:footnoteReference w:id="68"/>
      </w:r>
      <w:r>
        <w:t xml:space="preserve">.</w:t>
      </w:r>
    </w:p>
    <w:p>
      <w:pPr>
        <w:pStyle w:val="BodyText"/>
      </w:pPr>
      <w:r>
        <w:t xml:space="preserve">Hjarvard’s concept of mediatization is important for this research because it allows us to refuse the common-sense view of an exhibition as a neutral</w:t>
      </w:r>
      <w:r>
        <w:t xml:space="preserve"> </w:t>
      </w:r>
      <w:r>
        <w:t xml:space="preserve">“</w:t>
      </w:r>
      <w:r>
        <w:t xml:space="preserve">container</w:t>
      </w:r>
      <w:r>
        <w:t xml:space="preserve">”</w:t>
      </w:r>
      <w:r>
        <w:t xml:space="preserve"> </w:t>
      </w:r>
      <w:r>
        <w:t xml:space="preserve">for content. If we accepted that view, the empirical analysis in Chapter 3 would simply describe what the exhibition shows and then, separately, what technologies it uses. The concept of mediatization forbids this separation. It claims that the curatorial work on</w:t>
      </w:r>
      <w:r>
        <w:t xml:space="preserve"> </w:t>
      </w:r>
      <w:r>
        <w:t xml:space="preserve">“</w:t>
      </w:r>
      <w:r>
        <w:t xml:space="preserve">No to Genocide!</w:t>
      </w:r>
      <w:r>
        <w:t xml:space="preserve">”</w:t>
      </w:r>
      <w:r>
        <w:t xml:space="preserve"> </w:t>
      </w:r>
      <w:r>
        <w:t xml:space="preserve">unfolds inside a media environment that has a logic of its own, and that this logic shapes the very form of political memory that the exhibition produces. Concretely, this means that when we look at choices such as the linear route, the LED screens, the sensor tables, or the synchronised transitions between thematic blocks, we read them not as decorative wrappers around an already finished memory but as constitutive elements of that memory.</w:t>
      </w:r>
    </w:p>
    <w:p>
      <w:pPr>
        <w:pStyle w:val="BodyText"/>
      </w:pPr>
      <w:r>
        <w:t xml:space="preserve">Hjarvard also describes media as an institution with its own</w:t>
      </w:r>
      <w:r>
        <w:t xml:space="preserve"> </w:t>
      </w:r>
      <w:r>
        <w:t xml:space="preserve">“</w:t>
      </w:r>
      <w:r>
        <w:t xml:space="preserve">logic</w:t>
      </w:r>
      <w:r>
        <w:t xml:space="preserve">”</w:t>
      </w:r>
      <w:r>
        <w:t xml:space="preserve"> </w:t>
      </w:r>
      <w:r>
        <w:t xml:space="preserve">— a set of rules, formats, technological and organisational principles — to which other institutions have to adapt:</w:t>
      </w:r>
      <w:r>
        <w:t xml:space="preserve"> </w:t>
      </w:r>
      <w:r>
        <w:t xml:space="preserve">“</w:t>
      </w:r>
      <w:r>
        <w:t xml:space="preserve">Mediatization is to be considered a double-sided process of high modernity in which the media on the one hand emerge as an independent institution with a logic of its own that other social institutions have to accommodate to. On the other hand, media simultaneously become an integrated part of other institutions like politics, work, family, and religion as more and more of these institutional activities are performed through both interactive and mass media</w:t>
      </w:r>
      <w:r>
        <w:t xml:space="preserve">”</w:t>
      </w:r>
      <w:r>
        <w:rPr>
          <w:rStyle w:val="FootnoteReference"/>
        </w:rPr>
        <w:footnoteReference w:id="69"/>
      </w:r>
      <w:r>
        <w:t xml:space="preserve">. The notion of media logic applies to this research because it gives us a precise way of asking what the multimedia format makes possible and what it makes impossible. A curator who decides to place a quotation on a tissue banner, an archival photograph on a looped LED screen, or a textual commentary on a sensor table is not just choosing a</w:t>
      </w:r>
      <w:r>
        <w:t xml:space="preserve"> </w:t>
      </w:r>
      <w:r>
        <w:t xml:space="preserve">“</w:t>
      </w:r>
      <w:r>
        <w:t xml:space="preserve">channel</w:t>
      </w:r>
      <w:r>
        <w:t xml:space="preserve">”</w:t>
      </w:r>
      <w:r>
        <w:t xml:space="preserve">: they are entering a logic in which each format has its own affordances and its own constraints. The analysis will use this idea to read each curatorial decision as a negotiated outcome between the curator’s intent and the media logic of the platform</w:t>
      </w:r>
      <w:r>
        <w:t xml:space="preserve"> </w:t>
      </w:r>
      <w:r>
        <w:t xml:space="preserve">“</w:t>
      </w:r>
      <w:r>
        <w:t xml:space="preserve">Russia — My History</w:t>
      </w:r>
      <w:r>
        <w:t xml:space="preserve">”</w:t>
      </w:r>
      <w:r>
        <w:t xml:space="preserve">.</w:t>
      </w:r>
    </w:p>
    <w:p>
      <w:pPr>
        <w:pStyle w:val="BodyText"/>
      </w:pPr>
      <w:r>
        <w:t xml:space="preserve">Hjarvard further distinguishes two forms of mediatization, direct (strong) and indirect (weak), which differ in the degree to which media intervene in an activity</w:t>
      </w:r>
      <w:r>
        <w:rPr>
          <w:rStyle w:val="FootnoteReference"/>
        </w:rPr>
        <w:footnoteReference w:id="70"/>
      </w:r>
      <w:r>
        <w:t xml:space="preserve">. Direct mediatization occurs when a previously non-mediated activity is transformed into a mediated one — when media become a necessary interface for carrying it out. Indirect mediatization is more subtle: the activity is not replaced, but its form, content or organisation comes under the influence of media symbols and mechanisms. The classic example is politicians who adapt their speech to television formats</w:t>
      </w:r>
      <w:r>
        <w:rPr>
          <w:rStyle w:val="FootnoteReference"/>
        </w:rPr>
        <w:footnoteReference w:id="71"/>
      </w:r>
      <w:r>
        <w:t xml:space="preserve">. This distinction is important for the present study because it allows us to describe two distinct ways in which the</w:t>
      </w:r>
      <w:r>
        <w:t xml:space="preserve"> </w:t>
      </w:r>
      <w:r>
        <w:t xml:space="preserve">“</w:t>
      </w:r>
      <w:r>
        <w:t xml:space="preserve">No to Genocide!</w:t>
      </w:r>
      <w:r>
        <w:t xml:space="preserve">”</w:t>
      </w:r>
      <w:r>
        <w:t xml:space="preserve"> </w:t>
      </w:r>
      <w:r>
        <w:t xml:space="preserve">exhibition is mediatized at once. On the one hand, the very existence of the project depends on the LED-screen infrastructure of</w:t>
      </w:r>
      <w:r>
        <w:t xml:space="preserve"> </w:t>
      </w:r>
      <w:r>
        <w:t xml:space="preserve">“</w:t>
      </w:r>
      <w:r>
        <w:t xml:space="preserve">Russia — My History</w:t>
      </w:r>
      <w:r>
        <w:t xml:space="preserve">”</w:t>
      </w:r>
      <w:r>
        <w:t xml:space="preserve">; without that interface the exhibition does not exist (direct mediatization). On the other hand, decisions about how to talk about the genocide — short captions instead of long texts, thematic blocks instead of continuous narrative, symbolic transitions instead of explanatory pauses — are shaped by the conventions of digital exhibition design that the curators inherit rather than invent (indirect mediatization). In Chapter 3 these two forms will not be treated as alternatives but as layers that operate simultaneously, with indirect mediatization dominating at the level of formatting and direct mediatization dominating at the level of infrastructure.</w:t>
      </w:r>
    </w:p>
    <w:p>
      <w:pPr>
        <w:pStyle w:val="BodyText"/>
      </w:pPr>
      <w:r>
        <w:t xml:space="preserve">The contemporary scale of these processes has been described as</w:t>
      </w:r>
      <w:r>
        <w:t xml:space="preserve"> </w:t>
      </w:r>
      <w:r>
        <w:rPr>
          <w:bCs/>
          <w:b/>
        </w:rPr>
        <w:t xml:space="preserve">deep mediatization</w:t>
      </w:r>
      <w:r>
        <w:t xml:space="preserve"> </w:t>
      </w:r>
      <w:r>
        <w:t xml:space="preserve">by Andreas Hepp. Deep mediatization captures the fact that mediatization today covers all levels of social life and cannot be confined to particular spheres. Hepp identifies five quantitative trends that characterise this stage: the growing variety of digital devices, their increasing connectedness, their omnipresence, the acceleration of technical innovation, and the conversion of everyday life into data</w:t>
      </w:r>
      <w:r>
        <w:rPr>
          <w:rStyle w:val="FootnoteReference"/>
        </w:rPr>
        <w:footnoteReference w:id="72"/>
      </w:r>
      <w:r>
        <w:t xml:space="preserve">. Hepp’s notion of deep mediatization is important for this research because it explains why we cannot analyse the content and the technology of the exhibition as separate layers. In a deeply mediatized environment, digital tools and cultural production are not joined retroactively; they are entangled from the start. Applied to</w:t>
      </w:r>
      <w:r>
        <w:t xml:space="preserve"> </w:t>
      </w:r>
      <w:r>
        <w:t xml:space="preserve">“</w:t>
      </w:r>
      <w:r>
        <w:t xml:space="preserve">No to Genocide!</w:t>
      </w:r>
      <w:r>
        <w:t xml:space="preserve">”</w:t>
      </w:r>
      <w:r>
        <w:t xml:space="preserve">, this means that the question is not</w:t>
      </w:r>
      <w:r>
        <w:t xml:space="preserve"> </w:t>
      </w:r>
      <w:r>
        <w:t xml:space="preserve">“</w:t>
      </w:r>
      <w:r>
        <w:t xml:space="preserve">how do digital technologies transmit a memory about the genocide?</w:t>
      </w:r>
      <w:r>
        <w:t xml:space="preserve">”</w:t>
      </w:r>
      <w:r>
        <w:t xml:space="preserve"> </w:t>
      </w:r>
      <w:r>
        <w:t xml:space="preserve">but</w:t>
      </w:r>
      <w:r>
        <w:t xml:space="preserve"> </w:t>
      </w:r>
      <w:r>
        <w:t xml:space="preserve">“</w:t>
      </w:r>
      <w:r>
        <w:t xml:space="preserve">what version of memory becomes possible inside this particular digitally saturated environment?</w:t>
      </w:r>
      <w:r>
        <w:t xml:space="preserve">”</w:t>
      </w:r>
      <w:r>
        <w:t xml:space="preserve">.</w:t>
      </w:r>
    </w:p>
    <w:p>
      <w:pPr>
        <w:pStyle w:val="BodyText"/>
      </w:pPr>
      <w:r>
        <w:t xml:space="preserve">Hepp also rethinks Hjarvard’s idea of a single, uniform</w:t>
      </w:r>
      <w:r>
        <w:t xml:space="preserve"> </w:t>
      </w:r>
      <w:r>
        <w:t xml:space="preserve">“</w:t>
      </w:r>
      <w:r>
        <w:t xml:space="preserve">media logic</w:t>
      </w:r>
      <w:r>
        <w:t xml:space="preserve">”</w:t>
      </w:r>
      <w:r>
        <w:t xml:space="preserve">. He argues that mediatization should not be understood as the gradual penetration of one common logic into all spheres of life</w:t>
      </w:r>
      <w:r>
        <w:rPr>
          <w:rStyle w:val="FootnoteReference"/>
        </w:rPr>
        <w:footnoteReference w:id="73"/>
      </w:r>
      <w:r>
        <w:t xml:space="preserve">. Instead, Hepp proposes the concept of</w:t>
      </w:r>
      <w:r>
        <w:t xml:space="preserve"> </w:t>
      </w:r>
      <w:r>
        <w:rPr>
          <w:bCs/>
          <w:b/>
        </w:rPr>
        <w:t xml:space="preserve">molding forces of media</w:t>
      </w:r>
      <w:r>
        <w:t xml:space="preserve">, which only become concrete in specific contexts, and the concept of</w:t>
      </w:r>
      <w:r>
        <w:t xml:space="preserve"> </w:t>
      </w:r>
      <w:r>
        <w:rPr>
          <w:bCs/>
          <w:b/>
        </w:rPr>
        <w:t xml:space="preserve">mediatized worlds</w:t>
      </w:r>
      <w:r>
        <w:t xml:space="preserve"> </w:t>
      </w:r>
      <w:r>
        <w:t xml:space="preserve">— small life-worlds where media become the main way of producing and sustaining meaning. By media culture, he therefore means mediatized culture; and media cultures, more broadly, are cultures of mediatization that become concrete in particular mediatized worlds</w:t>
      </w:r>
      <w:r>
        <w:rPr>
          <w:rStyle w:val="FootnoteReference"/>
        </w:rPr>
        <w:footnoteReference w:id="74"/>
      </w:r>
      <w:r>
        <w:t xml:space="preserve">. Hepp’s reformulation is important for this research because it warns us against imposing on the exhibition some abstract</w:t>
      </w:r>
      <w:r>
        <w:t xml:space="preserve"> </w:t>
      </w:r>
      <w:r>
        <w:t xml:space="preserve">“</w:t>
      </w:r>
      <w:r>
        <w:t xml:space="preserve">logic of digital media</w:t>
      </w:r>
      <w:r>
        <w:t xml:space="preserve">”</w:t>
      </w:r>
      <w:r>
        <w:t xml:space="preserve"> </w:t>
      </w:r>
      <w:r>
        <w:t xml:space="preserve">and pushes us instead to reconstruct the specific mediatized world that</w:t>
      </w:r>
      <w:r>
        <w:t xml:space="preserve"> </w:t>
      </w:r>
      <w:r>
        <w:t xml:space="preserve">“</w:t>
      </w:r>
      <w:r>
        <w:t xml:space="preserve">No to Genocide!</w:t>
      </w:r>
      <w:r>
        <w:t xml:space="preserve">”</w:t>
      </w:r>
      <w:r>
        <w:t xml:space="preserve"> </w:t>
      </w:r>
      <w:r>
        <w:t xml:space="preserve">constitutes. In the analysis, this concept will be operationalised by asking which formats, conventions and routines are at work in this particular exhibition — not what digital media</w:t>
      </w:r>
      <w:r>
        <w:t xml:space="preserve"> </w:t>
      </w:r>
      <w:r>
        <w:t xml:space="preserve">“</w:t>
      </w:r>
      <w:r>
        <w:t xml:space="preserve">always</w:t>
      </w:r>
      <w:r>
        <w:t xml:space="preserve">”</w:t>
      </w:r>
      <w:r>
        <w:t xml:space="preserve"> </w:t>
      </w:r>
      <w:r>
        <w:t xml:space="preserve">do, but what this configuration of LED screens, Kinect-driven sensor tables, banners, and synchronised transitions does in this particular institutional setting.</w:t>
      </w:r>
    </w:p>
    <w:p>
      <w:pPr>
        <w:pStyle w:val="BodyText"/>
      </w:pPr>
      <w:r>
        <w:t xml:space="preserve">How, then, do we see curatorial decisions not as a neutral fixing of facts but as an active production of a version of the past? A productive answer comes from the idea of the social construction of reality articulated by Peter Berger and Thomas Luckmann. According to them, society is a human product that nonetheless exists as objective reality, while the human being is a social product, formed under the influence of society</w:t>
      </w:r>
      <w:r>
        <w:rPr>
          <w:rStyle w:val="FootnoteReference"/>
        </w:rPr>
        <w:footnoteReference w:id="75"/>
      </w:r>
      <w:r>
        <w:t xml:space="preserve">. Berger and Luckmann’s framework is important for this research because it provides the most general epistemological grounding for the entire chapter: it allows us to treat political memory as a construct that institutions and symbolic means make, rather than as a deposit they merely store. Each curatorial choice — from the selection of documents to the way they are edited and arranged — therefore does not fix the past but actively constructs it for the visitor. This claim is operative throughout the empirical analysis.</w:t>
      </w:r>
    </w:p>
    <w:p>
      <w:pPr>
        <w:pStyle w:val="BodyText"/>
      </w:pPr>
      <w:r>
        <w:t xml:space="preserve">This understanding underpins Couldry and Hepp’s further idea that media do not simply reflect reality but actively participate in its construction, an idea they formalise in the concept of</w:t>
      </w:r>
      <w:r>
        <w:t xml:space="preserve"> </w:t>
      </w:r>
      <w:r>
        <w:rPr>
          <w:bCs/>
          <w:b/>
        </w:rPr>
        <w:t xml:space="preserve">deep mediatization</w:t>
      </w:r>
      <w:r>
        <w:t xml:space="preserve">:</w:t>
      </w:r>
      <w:r>
        <w:t xml:space="preserve"> </w:t>
      </w:r>
      <w:r>
        <w:t xml:space="preserve">“</w:t>
      </w:r>
      <w:r>
        <w:t xml:space="preserve">Deep mediatization is an advanced stage in which all elements of our social world are deeply intertwined with digital media and their underlying infrastructures</w:t>
      </w:r>
      <w:r>
        <w:t xml:space="preserve">”</w:t>
      </w:r>
      <w:r>
        <w:rPr>
          <w:rStyle w:val="FootnoteReference"/>
        </w:rPr>
        <w:footnoteReference w:id="76"/>
      </w:r>
      <w:r>
        <w:t xml:space="preserve">. Couldry and Hepp’s definition is important for this research because it lets us treat the digital components of the exhibition not as an</w:t>
      </w:r>
      <w:r>
        <w:t xml:space="preserve"> </w:t>
      </w:r>
      <w:r>
        <w:t xml:space="preserve">“</w:t>
      </w:r>
      <w:r>
        <w:t xml:space="preserve">add-on</w:t>
      </w:r>
      <w:r>
        <w:t xml:space="preserve">”</w:t>
      </w:r>
      <w:r>
        <w:t xml:space="preserve"> </w:t>
      </w:r>
      <w:r>
        <w:t xml:space="preserve">to traditional artefacts but as the basic infrastructure of cultural meaning-making. Practically, the analysis will refuse to first describe the content (what is shown) and then separately the technology (how it is shown). Content and technology are given together, and the framework of deep mediatization requires us to read them as a single fabric. Mediatization of culture thus forms the first pillar of the theoretical framework.</w:t>
      </w:r>
    </w:p>
    <w:bookmarkEnd w:id="77"/>
    <w:bookmarkStart w:id="95" w:name="memory-as-a-cultural-and-social-process"/>
    <w:p>
      <w:pPr>
        <w:pStyle w:val="Heading2"/>
      </w:pPr>
      <w:r>
        <w:t xml:space="preserve">1.2 Memory as a Cultural and Social Process</w:t>
      </w:r>
    </w:p>
    <w:p>
      <w:pPr>
        <w:pStyle w:val="FirstParagraph"/>
      </w:pPr>
      <w:r>
        <w:t xml:space="preserve">To analyse curatorial decisions as a way of producing political memory, we need a conception of memory as a social and cultural process. Such a conception allows us to treat the exhibition as a space of active construction of memory, not of neutral transmission of historical facts. The starting point is the concept of social frames of memory, developed by Maurice Halbwachs. Social frames direct and create remembrance, which is reconstructive in character; the past is rebuilt under the pressure of present needs. Halbwachs makes an important distinction between collective memory — the experience of the past shared by a group and forming its identity — and history:</w:t>
      </w:r>
      <w:r>
        <w:t xml:space="preserve"> </w:t>
      </w:r>
      <w:r>
        <w:t xml:space="preserve">“</w:t>
      </w:r>
      <w:r>
        <w:t xml:space="preserve">history begins only at the point where tradition ends and where social memory dissolves</w:t>
      </w:r>
      <w:r>
        <w:t xml:space="preserve">”</w:t>
      </w:r>
      <w:r>
        <w:rPr>
          <w:rStyle w:val="FootnoteReference"/>
        </w:rPr>
        <w:footnoteReference w:id="78"/>
      </w:r>
      <w:r>
        <w:t xml:space="preserve">.</w:t>
      </w:r>
    </w:p>
    <w:p>
      <w:pPr>
        <w:pStyle w:val="BodyText"/>
      </w:pPr>
      <w:r>
        <w:t xml:space="preserve">Halbwachs’s framework is important for this research because it lets us classify</w:t>
      </w:r>
      <w:r>
        <w:t xml:space="preserve"> </w:t>
      </w:r>
      <w:r>
        <w:t xml:space="preserve">“</w:t>
      </w:r>
      <w:r>
        <w:t xml:space="preserve">No to Genocide!</w:t>
      </w:r>
      <w:r>
        <w:t xml:space="preserve">”</w:t>
      </w:r>
      <w:r>
        <w:t xml:space="preserve"> </w:t>
      </w:r>
      <w:r>
        <w:t xml:space="preserve">not as a</w:t>
      </w:r>
      <w:r>
        <w:t xml:space="preserve"> </w:t>
      </w:r>
      <w:r>
        <w:t xml:space="preserve">“</w:t>
      </w:r>
      <w:r>
        <w:t xml:space="preserve">historical</w:t>
      </w:r>
      <w:r>
        <w:t xml:space="preserve">”</w:t>
      </w:r>
      <w:r>
        <w:t xml:space="preserve"> </w:t>
      </w:r>
      <w:r>
        <w:t xml:space="preserve">but as a</w:t>
      </w:r>
      <w:r>
        <w:t xml:space="preserve"> </w:t>
      </w:r>
      <w:r>
        <w:t xml:space="preserve">“</w:t>
      </w:r>
      <w:r>
        <w:t xml:space="preserve">memorial</w:t>
      </w:r>
      <w:r>
        <w:t xml:space="preserve">”</w:t>
      </w:r>
      <w:r>
        <w:t xml:space="preserve"> </w:t>
      </w:r>
      <w:r>
        <w:t xml:space="preserve">project, and so to ask different analytical questions of it. A historical exhibition can be evaluated by criteria of accuracy and completeness; a collective-memory exhibition has to be evaluated by what version of the past it offers and to whom that version speaks. Applied to our case, this distinction is decisive: the exhibition works in the register of collective memory of the Armenian community, and the curators construct this register through specific social frames — religious, political, kinship-based, diasporic. The analysis will draw on Halbwachs’s distinction to read the exhibition’s claims of</w:t>
      </w:r>
      <w:r>
        <w:t xml:space="preserve"> </w:t>
      </w:r>
      <w:r>
        <w:t xml:space="preserve">“</w:t>
      </w:r>
      <w:r>
        <w:t xml:space="preserve">historical truth</w:t>
      </w:r>
      <w:r>
        <w:t xml:space="preserve">”</w:t>
      </w:r>
      <w:r>
        <w:t xml:space="preserve"> </w:t>
      </w:r>
      <w:r>
        <w:t xml:space="preserve">not as neutral statements but as social-frame-bound interpretations.</w:t>
      </w:r>
    </w:p>
    <w:p>
      <w:pPr>
        <w:pStyle w:val="BodyText"/>
      </w:pPr>
      <w:r>
        <w:t xml:space="preserve">To grasp the nuance between modes of cultural transmission, the analysis also needs Paul Connerton’s distinction between</w:t>
      </w:r>
      <w:r>
        <w:t xml:space="preserve"> </w:t>
      </w:r>
      <w:r>
        <w:rPr>
          <w:bCs/>
          <w:b/>
        </w:rPr>
        <w:t xml:space="preserve">incorporating and inscribing practices</w:t>
      </w:r>
      <w:r>
        <w:rPr>
          <w:rStyle w:val="FootnoteReference"/>
        </w:rPr>
        <w:footnoteReference w:id="79"/>
      </w:r>
      <w:r>
        <w:t xml:space="preserve">. Inscribing practices are most relevant for this study because they transmit actions through physical carriers that capture and retain information; ritual receives special attention as a form of social memory that performatively produces meaning, and the notion of</w:t>
      </w:r>
      <w:r>
        <w:t xml:space="preserve"> </w:t>
      </w:r>
      <w:r>
        <w:t xml:space="preserve">“</w:t>
      </w:r>
      <w:r>
        <w:t xml:space="preserve">habit memory</w:t>
      </w:r>
      <w:r>
        <w:t xml:space="preserve">”</w:t>
      </w:r>
      <w:r>
        <w:t xml:space="preserve"> </w:t>
      </w:r>
      <w:r>
        <w:t xml:space="preserve">describes the fixation of the past through bodily automatisms. Connerton’s distinction is important for this research because it gives us a tool for understanding how material objects of the exposition and the staged rhythm of the visitor’s movement together fix a particular version of the past. In Chapter 3 this will be developed: the linear route, the synchronised transitions and the looped music are read as inscribing devices that perform memory through the visitor’s body, not only through their cognition.</w:t>
      </w:r>
    </w:p>
    <w:p>
      <w:pPr>
        <w:pStyle w:val="BodyText"/>
      </w:pPr>
      <w:r>
        <w:t xml:space="preserve">If Halbwachs speaks of social frames, Jan Assmann introduces a more specific distinction — between</w:t>
      </w:r>
      <w:r>
        <w:t xml:space="preserve"> </w:t>
      </w:r>
      <w:r>
        <w:rPr>
          <w:bCs/>
          <w:b/>
        </w:rPr>
        <w:t xml:space="preserve">communicative and cultural memory</w:t>
      </w:r>
      <w:r>
        <w:rPr>
          <w:rStyle w:val="FootnoteReference"/>
        </w:rPr>
        <w:footnoteReference w:id="80"/>
      </w:r>
      <w:r>
        <w:t xml:space="preserve">. The first covers recollections that pertain to the recent past, the second is directed at fixed points in the past. In cultural memory the past becomes symbolic figures to which remembrance attaches. Cultural memory operates through a</w:t>
      </w:r>
      <w:r>
        <w:t xml:space="preserve"> </w:t>
      </w:r>
      <w:r>
        <w:t xml:space="preserve">“</w:t>
      </w:r>
      <w:r>
        <w:t xml:space="preserve">canon</w:t>
      </w:r>
      <w:r>
        <w:t xml:space="preserve">”</w:t>
      </w:r>
      <w:r>
        <w:t xml:space="preserve"> </w:t>
      </w:r>
      <w:r>
        <w:t xml:space="preserve">— a formal, fixed and normatively established set of texts which serves as the authoritative source of knowledge for a group; it performs two functions: it forms and supports the identity of the group, and it serves as a reliable source of knowledge about the past. Jan Assmann’s distinction is important for this research because the Armenian genocide of 1915 falls precisely at the threshold between communicative and cultural memory. The last living witnesses have passed away, communicative memory is being lost, and the exhibition takes part in the work of</w:t>
      </w:r>
      <w:r>
        <w:t xml:space="preserve"> </w:t>
      </w:r>
      <w:r>
        <w:t xml:space="preserve">“</w:t>
      </w:r>
      <w:r>
        <w:t xml:space="preserve">canonisation</w:t>
      </w:r>
      <w:r>
        <w:t xml:space="preserve">”</w:t>
      </w:r>
      <w:r>
        <w:t xml:space="preserve"> </w:t>
      </w:r>
      <w:r>
        <w:t xml:space="preserve">— fixing a particular set of texts, images, and figures as authoritative carriers of memory. In Chapter 3, we will read curatorial decisions about which documents, photographs, names and quotations to include as moves in this canonising work.</w:t>
      </w:r>
    </w:p>
    <w:p>
      <w:pPr>
        <w:pStyle w:val="BodyText"/>
      </w:pPr>
      <w:r>
        <w:t xml:space="preserve">To understand the origin and selection principles of the material for the exhibition, Aleida Assmann’s distinction between two types of cultural memory —</w:t>
      </w:r>
      <w:r>
        <w:t xml:space="preserve"> </w:t>
      </w:r>
      <w:r>
        <w:rPr>
          <w:bCs/>
          <w:b/>
        </w:rPr>
        <w:t xml:space="preserve">functional memory and storage memory</w:t>
      </w:r>
      <w:r>
        <w:t xml:space="preserve"> </w:t>
      </w:r>
      <w:r>
        <w:t xml:space="preserve">— is needed. The fundamental difference between the terms is that</w:t>
      </w:r>
      <w:r>
        <w:t xml:space="preserve"> </w:t>
      </w:r>
      <w:r>
        <w:t xml:space="preserve">“</w:t>
      </w:r>
      <w:r>
        <w:t xml:space="preserve">functional memory is highly selective, and only gives presence to a fraction of memory’s contents</w:t>
      </w:r>
      <w:r>
        <w:t xml:space="preserve">”</w:t>
      </w:r>
      <w:r>
        <w:rPr>
          <w:rStyle w:val="FootnoteReference"/>
        </w:rPr>
        <w:footnoteReference w:id="81"/>
      </w:r>
      <w:r>
        <w:t xml:space="preserve">, whereas storage memory is a</w:t>
      </w:r>
      <w:r>
        <w:t xml:space="preserve"> </w:t>
      </w:r>
      <w:r>
        <w:t xml:space="preserve">“</w:t>
      </w:r>
      <w:r>
        <w:t xml:space="preserve">reservoir of unused possibilities</w:t>
      </w:r>
      <w:r>
        <w:t xml:space="preserve">”</w:t>
      </w:r>
      <w:r>
        <w:rPr>
          <w:rStyle w:val="FootnoteReference"/>
        </w:rPr>
        <w:footnoteReference w:id="82"/>
      </w:r>
      <w:r>
        <w:t xml:space="preserve">, that is, knowledge that is not applicable to a specific period of time. Transitions of knowledge from storage memory to functional memory can occur, for example, in connection with historical, political changes or the creation of curatorial projects. Multimedia exhibitions often extract materials from archives and reformat them as actualised experience. As A. Assmann notes, without the mobility of borders between functional and storage memory, cultural memory would have congealed into something fixed and absolute</w:t>
      </w:r>
      <w:r>
        <w:rPr>
          <w:rStyle w:val="FootnoteReference"/>
        </w:rPr>
        <w:footnoteReference w:id="83"/>
      </w:r>
      <w:r>
        <w:t xml:space="preserve">. Aleida Assmann’s distinction is important for this research because it gives us the precise analytical move that explains what curators of</w:t>
      </w:r>
      <w:r>
        <w:t xml:space="preserve"> </w:t>
      </w:r>
      <w:r>
        <w:t xml:space="preserve">“</w:t>
      </w:r>
      <w:r>
        <w:t xml:space="preserve">No to Genocide!</w:t>
      </w:r>
      <w:r>
        <w:t xml:space="preserve">”</w:t>
      </w:r>
      <w:r>
        <w:t xml:space="preserve"> </w:t>
      </w:r>
      <w:r>
        <w:t xml:space="preserve">actually do. They reach into the storage memory of the Armenian Genocide Museum-Institute in Yerevan and selectively pull material into functional memory by placing it on LED screens in the Russian</w:t>
      </w:r>
      <w:r>
        <w:t xml:space="preserve"> </w:t>
      </w:r>
      <w:r>
        <w:t xml:space="preserve">“</w:t>
      </w:r>
      <w:r>
        <w:t xml:space="preserve">Russia — My History</w:t>
      </w:r>
      <w:r>
        <w:t xml:space="preserve">”</w:t>
      </w:r>
      <w:r>
        <w:t xml:space="preserve"> </w:t>
      </w:r>
      <w:r>
        <w:t xml:space="preserve">infrastructure. The empirical analysis will therefore ask which materials are activated, which remain in storage, and what political work this selection performs.</w:t>
      </w:r>
    </w:p>
    <w:p>
      <w:pPr>
        <w:pStyle w:val="BodyText"/>
      </w:pPr>
      <w:r>
        <w:t xml:space="preserve">Aleida Assmann also emphasises the institutional dimension: institutions stand above, and the content of memory below, so memory has to</w:t>
      </w:r>
      <w:r>
        <w:t xml:space="preserve"> </w:t>
      </w:r>
      <w:r>
        <w:t xml:space="preserve">“</w:t>
      </w:r>
      <w:r>
        <w:t xml:space="preserve">rise up</w:t>
      </w:r>
      <w:r>
        <w:t xml:space="preserve">”</w:t>
      </w:r>
      <w:r>
        <w:t xml:space="preserve"> </w:t>
      </w:r>
      <w:r>
        <w:t xml:space="preserve">to enter the field of attention of institutions, which in turn</w:t>
      </w:r>
      <w:r>
        <w:t xml:space="preserve"> </w:t>
      </w:r>
      <w:r>
        <w:t xml:space="preserve">“</w:t>
      </w:r>
      <w:r>
        <w:t xml:space="preserve">prepare cultural memory for subsequent assimilation</w:t>
      </w:r>
      <w:r>
        <w:t xml:space="preserve">”</w:t>
      </w:r>
      <w:r>
        <w:rPr>
          <w:rStyle w:val="FootnoteReference"/>
        </w:rPr>
        <w:footnoteReference w:id="84"/>
      </w:r>
      <w:r>
        <w:t xml:space="preserve">. This characterisation is important for this research because it provides the theoretical grounding for treating museum curatorship as an institutional instrument. A curator selects material, groups it and presents the visitor with a ready interpretation of tragic events. For our analysis this means that the exhibition cannot be understood simply as a set of exhibits; we must take into account the institutional principles that lie behind the selection and organisation of those exhibits — and this is precisely what the interview with the curator will allow us to reconstruct.</w:t>
      </w:r>
    </w:p>
    <w:p>
      <w:pPr>
        <w:pStyle w:val="BodyText"/>
      </w:pPr>
      <w:r>
        <w:t xml:space="preserve">Developing Halbwachs’s ideas, Pierre Nora examines the moment of crisis of living memory in modern society. We talk about memory so much, he argues, because it is disappearing as an immediate, spontaneous reality. The era of</w:t>
      </w:r>
      <w:r>
        <w:t xml:space="preserve"> </w:t>
      </w:r>
      <w:r>
        <w:rPr>
          <w:iCs/>
          <w:i/>
        </w:rPr>
        <w:t xml:space="preserve">milieux de mémoire</w:t>
      </w:r>
      <w:r>
        <w:t xml:space="preserve"> </w:t>
      </w:r>
      <w:r>
        <w:t xml:space="preserve">— natural communities where the past is passed down from generation to generation through customs and rituals — is coming to an end, and it is replaced by</w:t>
      </w:r>
      <w:r>
        <w:t xml:space="preserve"> </w:t>
      </w:r>
      <w:r>
        <w:rPr>
          <w:iCs/>
          <w:i/>
        </w:rPr>
        <w:t xml:space="preserve">lieux de mémoire</w:t>
      </w:r>
      <w:r>
        <w:t xml:space="preserve">,</w:t>
      </w:r>
      <w:r>
        <w:t xml:space="preserve"> </w:t>
      </w:r>
      <w:r>
        <w:t xml:space="preserve">“</w:t>
      </w:r>
      <w:r>
        <w:t xml:space="preserve">sites of memory</w:t>
      </w:r>
      <w:r>
        <w:t xml:space="preserve">”</w:t>
      </w:r>
      <w:r>
        <w:t xml:space="preserve"> </w:t>
      </w:r>
      <w:r>
        <w:t xml:space="preserve">artificially created to compensate for lost traditions. In contrast to Halbwachs, who allowed for the existence of living collective memory, Pierre Nora declares its irreversible decay. As a result, the analysis of remembering processes is replaced by the study of external objectifications of memory, called</w:t>
      </w:r>
      <w:r>
        <w:t xml:space="preserve"> </w:t>
      </w:r>
      <w:r>
        <w:t xml:space="preserve">“</w:t>
      </w:r>
      <w:r>
        <w:t xml:space="preserve">sites of memory</w:t>
      </w:r>
      <w:r>
        <w:t xml:space="preserve">”</w:t>
      </w:r>
      <w:r>
        <w:rPr>
          <w:rStyle w:val="FootnoteReference"/>
        </w:rPr>
        <w:footnoteReference w:id="85"/>
      </w:r>
      <w:r>
        <w:t xml:space="preserve">. Nora’s concept of sites of memory is important for this research because it provides the explicit conceptual licence to treat the multimedia exhibition</w:t>
      </w:r>
      <w:r>
        <w:t xml:space="preserve"> </w:t>
      </w:r>
      <w:r>
        <w:t xml:space="preserve">“</w:t>
      </w:r>
      <w:r>
        <w:t xml:space="preserve">No to Genocide!</w:t>
      </w:r>
      <w:r>
        <w:t xml:space="preserve">”</w:t>
      </w:r>
      <w:r>
        <w:t xml:space="preserve"> </w:t>
      </w:r>
      <w:r>
        <w:t xml:space="preserve">as a constructed site of memory and not as a continuation of an organic memorial tradition. Once we treat it as a site of memory, we can read its political work directly: the exhibition exists not because there is a stable community ritualising the past, but because that community has had to externalise its memory into an institution. The analysis will use this concept to explain why the exhibition has to do so much explicit memorial work — the symbols of the forget-me-not and the thorn crown, the explanatory introductory screens — that organic communities would not need to do.</w:t>
      </w:r>
    </w:p>
    <w:p>
      <w:pPr>
        <w:pStyle w:val="BodyText"/>
      </w:pPr>
      <w:r>
        <w:t xml:space="preserve">At the conceptual level, the problem of collective memory is analysed by Jeffrey Olick, who distinguishes between two competing</w:t>
      </w:r>
      <w:r>
        <w:t xml:space="preserve"> </w:t>
      </w:r>
      <w:r>
        <w:t xml:space="preserve">“</w:t>
      </w:r>
      <w:r>
        <w:t xml:space="preserve">cultures</w:t>
      </w:r>
      <w:r>
        <w:t xml:space="preserve">”</w:t>
      </w:r>
      <w:r>
        <w:t xml:space="preserve"> </w:t>
      </w:r>
      <w:r>
        <w:t xml:space="preserve">of memory: collected memory and collective memory. The first treats collective memory as a sum of personal recollections, socially conditioned but belonging to specific individuals. The present study follows the collectivist tradition, which treats memory as symbolic structures, rituals and collective representations that cannot be reduced to individual representations</w:t>
      </w:r>
      <w:r>
        <w:rPr>
          <w:rStyle w:val="FootnoteReference"/>
        </w:rPr>
        <w:footnoteReference w:id="86"/>
      </w:r>
      <w:r>
        <w:t xml:space="preserve">. Olick’s distinction is important for this research because it forces us to make a methodological commitment. This work does not study how individual visitors remember the genocide after attending the exhibition; it studies what symbolic structures, rituals and collective representations the curators put in place. The MDA protocol described in Chapter 2 operationalises this commitment directly: it analyses the artefacts and arrangements, not individual responses.</w:t>
      </w:r>
    </w:p>
    <w:p>
      <w:pPr>
        <w:pStyle w:val="BodyText"/>
      </w:pPr>
      <w:r>
        <w:t xml:space="preserve">The next step in building the theoretical frame concerns the role of medial formats. Astrid Erll proposes to understand culture through three aspects: the social (people, social relations, institutions), the material (artefacts and media), and the mental (culturally defined ways of thinking, mentalities)</w:t>
      </w:r>
      <w:r>
        <w:rPr>
          <w:rStyle w:val="FootnoteReference"/>
        </w:rPr>
        <w:footnoteReference w:id="87"/>
      </w:r>
      <w:r>
        <w:t xml:space="preserve">. For Erll, cultural memory is a general concept that unites all three dimensions. For our research the material aspect is decisive, because it is responsible for the fixation and transmission of recollections — and the exhibition operates above all on this aspect. The empirical analysis will be organised around this insight: we look at archival photographs, banners, screens, the sensor table, and the spatial arrangement as the material carriers through which one specific version of cultural memory is fixed.</w:t>
      </w:r>
    </w:p>
    <w:p>
      <w:pPr>
        <w:pStyle w:val="BodyText"/>
      </w:pPr>
      <w:r>
        <w:t xml:space="preserve">A further key thesis for this work is Erll’s claim that recollections do not exist prior to and outside of media; they arise in the process of medial externalisation — the transposition of internal experience into an external, material form. As Erll puts it,</w:t>
      </w:r>
      <w:r>
        <w:t xml:space="preserve"> </w:t>
      </w:r>
      <w:r>
        <w:t xml:space="preserve">“</w:t>
      </w:r>
      <w:r>
        <w:t xml:space="preserve">cultural memory hinges on the notion of the medial, because it is only via medial externalization (from oral speech to writing, painting, or using the Internet) that individual memories, cultural knowledge, and versions of history can be shared</w:t>
      </w:r>
      <w:r>
        <w:t xml:space="preserve">”</w:t>
      </w:r>
      <w:r>
        <w:rPr>
          <w:rStyle w:val="FootnoteReference"/>
        </w:rPr>
        <w:footnoteReference w:id="88"/>
      </w:r>
      <w:r>
        <w:t xml:space="preserve">. Erll’s notion of medial externalisation is important for this research because it provides the strongest argument against treating media merely as transparent channels. Applied to the Armenian genocide, this means that the version of political memory available in the public sphere is the one that has been externalised through specific media. The analysis will follow this logic: the curatorial choice of media (LED, banners, sensor table, music, light) is read as the substantive choice of what kind of cultural memory of the genocide can be shared.</w:t>
      </w:r>
    </w:p>
    <w:p>
      <w:pPr>
        <w:pStyle w:val="BodyText"/>
      </w:pPr>
      <w:r>
        <w:t xml:space="preserve">Erll further proposes to abandon what she sees as the unhelpful</w:t>
      </w:r>
      <w:r>
        <w:t xml:space="preserve"> </w:t>
      </w:r>
      <w:r>
        <w:t xml:space="preserve">“</w:t>
      </w:r>
      <w:r>
        <w:t xml:space="preserve">opposition between history and memory</w:t>
      </w:r>
      <w:r>
        <w:t xml:space="preserve">”</w:t>
      </w:r>
      <w:r>
        <w:t xml:space="preserve"> </w:t>
      </w:r>
      <w:r>
        <w:t xml:space="preserve">and to speak instead of</w:t>
      </w:r>
      <w:r>
        <w:t xml:space="preserve"> </w:t>
      </w:r>
      <w:r>
        <w:rPr>
          <w:bCs/>
          <w:b/>
        </w:rPr>
        <w:t xml:space="preserve">modes of remembering</w:t>
      </w:r>
      <w:r>
        <w:t xml:space="preserve"> </w:t>
      </w:r>
      <w:r>
        <w:t xml:space="preserve">in culture</w:t>
      </w:r>
      <w:r>
        <w:rPr>
          <w:rStyle w:val="FootnoteReference"/>
        </w:rPr>
        <w:footnoteReference w:id="89"/>
      </w:r>
      <w:r>
        <w:t xml:space="preserve">. For her, the past does not have a fixed form: it is constantly reassembled and re-presented in acts of remembrance</w:t>
      </w:r>
      <w:r>
        <w:rPr>
          <w:rStyle w:val="FootnoteReference"/>
        </w:rPr>
        <w:footnoteReference w:id="90"/>
      </w:r>
      <w:r>
        <w:t xml:space="preserve">. Therefore the way people remember past events can differ substantially — not only in content but in the very mode of remembering, in the quality and meaning that the past acquires in the present. Erll’s concept of modes of remembering is important for this research because it provides the most direct analytical formulation of the central research question. The exhibition is not just choosing what to remember about the genocide; it is choosing a mode in which to remember it — trauma, heroic resistance, crime against humanity, religious martyrdom, fraternal solidarity. The analysis in Chapter 3 will explicitly identify the modes activated on different screens of</w:t>
      </w:r>
      <w:r>
        <w:t xml:space="preserve"> </w:t>
      </w:r>
      <w:r>
        <w:t xml:space="preserve">“</w:t>
      </w:r>
      <w:r>
        <w:t xml:space="preserve">No to Genocide!</w:t>
      </w:r>
      <w:r>
        <w:t xml:space="preserve">”</w:t>
      </w:r>
      <w:r>
        <w:t xml:space="preserve"> </w:t>
      </w:r>
      <w:r>
        <w:t xml:space="preserve">and explain how the exhibition combines them into one composite mode of</w:t>
      </w:r>
      <w:r>
        <w:t xml:space="preserve"> </w:t>
      </w:r>
      <w:r>
        <w:t xml:space="preserve">“</w:t>
      </w:r>
      <w:r>
        <w:t xml:space="preserve">Russian–Armenian solidarity in the face of historical tragedy</w:t>
      </w:r>
      <w:r>
        <w:t xml:space="preserve">”</w:t>
      </w:r>
      <w:r>
        <w:t xml:space="preserve">.</w:t>
      </w:r>
    </w:p>
    <w:p>
      <w:pPr>
        <w:pStyle w:val="BodyText"/>
      </w:pPr>
      <w:r>
        <w:t xml:space="preserve">If Astrid Erll provides the general theoretical frame for understanding cultural memory, then Ann Rigney, complementing her idea, focuses on the concrete mechanisms of cultural memory’s dynamics. Rigney proposes to consider cultural memory as a continuous process of memorial dynamics, rather than as a static reservoir. She defines it as a</w:t>
      </w:r>
      <w:r>
        <w:t xml:space="preserve"> </w:t>
      </w:r>
      <w:r>
        <w:t xml:space="preserve">“</w:t>
      </w:r>
      <w:r>
        <w:t xml:space="preserve">historical product of cultural mnemotechniques and mnemotechnologies</w:t>
      </w:r>
      <w:r>
        <w:t xml:space="preserve">”</w:t>
      </w:r>
      <w:r>
        <w:rPr>
          <w:rStyle w:val="FootnoteReference"/>
        </w:rPr>
        <w:footnoteReference w:id="91"/>
      </w:r>
      <w:r>
        <w:t xml:space="preserve">. To describe the material embodiment of this memory, Rigney introduces the concept of the</w:t>
      </w:r>
      <w:r>
        <w:t xml:space="preserve"> </w:t>
      </w:r>
      <w:r>
        <w:rPr>
          <w:bCs/>
          <w:b/>
        </w:rPr>
        <w:t xml:space="preserve">“</w:t>
      </w:r>
      <w:r>
        <w:rPr>
          <w:bCs/>
          <w:b/>
        </w:rPr>
        <w:t xml:space="preserve">portable monument</w:t>
      </w:r>
      <w:r>
        <w:rPr>
          <w:bCs/>
          <w:b/>
        </w:rPr>
        <w:t xml:space="preserve">”</w:t>
      </w:r>
      <w:r>
        <w:t xml:space="preserve">. In contrast to monuments tied to a specific place, memory objects such as texts or other medial objects can be transferred to new contexts, where they acquire new meanings</w:t>
      </w:r>
      <w:r>
        <w:rPr>
          <w:rStyle w:val="FootnoteReference"/>
        </w:rPr>
        <w:footnoteReference w:id="92"/>
      </w:r>
      <w:r>
        <w:t xml:space="preserve">. Following Yuri Lotman, the author calls such images</w:t>
      </w:r>
      <w:r>
        <w:t xml:space="preserve"> </w:t>
      </w:r>
      <w:r>
        <w:rPr>
          <w:bCs/>
          <w:b/>
        </w:rPr>
        <w:t xml:space="preserve">“</w:t>
      </w:r>
      <w:r>
        <w:rPr>
          <w:bCs/>
          <w:b/>
        </w:rPr>
        <w:t xml:space="preserve">mnemonic symbols</w:t>
      </w:r>
      <w:r>
        <w:rPr>
          <w:bCs/>
          <w:b/>
        </w:rPr>
        <w:t xml:space="preserve">”</w:t>
      </w:r>
      <w:r>
        <w:t xml:space="preserve">; they do not so much refer to the past as point to the existence of such a remembrance</w:t>
      </w:r>
      <w:r>
        <w:rPr>
          <w:rStyle w:val="FootnoteReference"/>
        </w:rPr>
        <w:footnoteReference w:id="93"/>
      </w:r>
      <w:r>
        <w:t xml:space="preserve">. Rigney’s concept of portable monuments and mnemonic symbols is important for this research because it provides direct theoretical language for two key categories of material on the exhibition. First, the very travelling of the exhibition between Rostov, Saint Petersburg, Nizhny Novgorod and Yekaterinburg is an enactment of</w:t>
      </w:r>
      <w:r>
        <w:t xml:space="preserve"> </w:t>
      </w:r>
      <w:r>
        <w:t xml:space="preserve">“</w:t>
      </w:r>
      <w:r>
        <w:t xml:space="preserve">portable monumentality</w:t>
      </w:r>
      <w:r>
        <w:t xml:space="preserve">”</w:t>
      </w:r>
      <w:r>
        <w:t xml:space="preserve"> </w:t>
      </w:r>
      <w:r>
        <w:t xml:space="preserve">— the memorial object is, by design, transferable. Second, the symbols of the forget-me-not and the thorn crown that appear on the transitional screens are exactly the kind of</w:t>
      </w:r>
      <w:r>
        <w:t xml:space="preserve"> </w:t>
      </w:r>
      <w:r>
        <w:t xml:space="preserve">“</w:t>
      </w:r>
      <w:r>
        <w:t xml:space="preserve">mnemonic symbols</w:t>
      </w:r>
      <w:r>
        <w:t xml:space="preserve">”</w:t>
      </w:r>
      <w:r>
        <w:t xml:space="preserve"> </w:t>
      </w:r>
      <w:r>
        <w:t xml:space="preserve">Rigney describes: they do not depict the past, they index the fact of remembrance and call the viewer into it.</w:t>
      </w:r>
    </w:p>
    <w:p>
      <w:pPr>
        <w:pStyle w:val="BodyText"/>
      </w:pPr>
      <w:r>
        <w:t xml:space="preserve">For Rigney, the authenticity of the past is not always relevant to memorial dynamics: what is significant are those images of the past that are important for the society in the present, because they matter to those who remember them</w:t>
      </w:r>
      <w:r>
        <w:rPr>
          <w:rStyle w:val="FootnoteReference"/>
        </w:rPr>
        <w:footnoteReference w:id="94"/>
      </w:r>
      <w:r>
        <w:t xml:space="preserve">. Rigney’s argument applies to this research because it explains a particular feature of</w:t>
      </w:r>
      <w:r>
        <w:t xml:space="preserve"> </w:t>
      </w:r>
      <w:r>
        <w:t xml:space="preserve">“</w:t>
      </w:r>
      <w:r>
        <w:t xml:space="preserve">No to Genocide!</w:t>
      </w:r>
      <w:r>
        <w:t xml:space="preserve">”</w:t>
      </w:r>
      <w:r>
        <w:t xml:space="preserve"> </w:t>
      </w:r>
      <w:r>
        <w:t xml:space="preserve">— that the exhibition openly addresses the present. It does not pretend to be a neutral historical reconstruction; in the curators’ own words, it is aimed at</w:t>
      </w:r>
      <w:r>
        <w:t xml:space="preserve"> </w:t>
      </w:r>
      <w:r>
        <w:t xml:space="preserve">“</w:t>
      </w:r>
      <w:r>
        <w:t xml:space="preserve">the rising of your souls and hearts</w:t>
      </w:r>
      <w:r>
        <w:t xml:space="preserve">”</w:t>
      </w:r>
      <w:r>
        <w:t xml:space="preserve">. The relevance of this material for present-day audiences is precisely the criterion of selection. This thesis is consistent with A. Assmann’s idea of mobile borders between functional and storage memory, and resonates with Halbwachs’s position that memory always reconstructs the past under the influence of the present.</w:t>
      </w:r>
    </w:p>
    <w:bookmarkEnd w:id="95"/>
    <w:bookmarkStart w:id="104" w:name="X8acc9587a7f86b06cfe0311a765bbeb55d26bd3"/>
    <w:p>
      <w:pPr>
        <w:pStyle w:val="Heading2"/>
      </w:pPr>
      <w:r>
        <w:t xml:space="preserve">1.3 Political Memory and Memory Politics: Institutional Production of the Past</w:t>
      </w:r>
    </w:p>
    <w:p>
      <w:pPr>
        <w:pStyle w:val="FirstParagraph"/>
      </w:pPr>
      <w:r>
        <w:t xml:space="preserve">Social memory does not require special efforts of maintenance; it lives in transmitted customs, conversations, family stories. Political memory, by contrast, requires production. This distinction is important for the present study because the exhibition under analysis is precisely an institutional project — initiated by a diaspora organisation, supported by a museum-institute, and hosted by a federal multimedia park — and therefore belongs to the regime of political memory in a strict sense. One of the definitions of political memory is given by Aleida Assmann:</w:t>
      </w:r>
      <w:r>
        <w:t xml:space="preserve"> </w:t>
      </w:r>
      <w:r>
        <w:t xml:space="preserve">“</w:t>
      </w:r>
      <w:r>
        <w:t xml:space="preserve">Institutions and larger social groups, such as nations, states, the church, or a business firm do not</w:t>
      </w:r>
      <w:r>
        <w:t xml:space="preserve"> </w:t>
      </w:r>
      <w:r>
        <w:t xml:space="preserve">‘</w:t>
      </w:r>
      <w:r>
        <w:t xml:space="preserve">have</w:t>
      </w:r>
      <w:r>
        <w:t xml:space="preserve">’</w:t>
      </w:r>
      <w:r>
        <w:t xml:space="preserve"> </w:t>
      </w:r>
      <w:r>
        <w:t xml:space="preserve">a memory, they</w:t>
      </w:r>
      <w:r>
        <w:t xml:space="preserve"> </w:t>
      </w:r>
      <w:r>
        <w:t xml:space="preserve">‘</w:t>
      </w:r>
      <w:r>
        <w:t xml:space="preserve">make</w:t>
      </w:r>
      <w:r>
        <w:t xml:space="preserve">’</w:t>
      </w:r>
      <w:r>
        <w:t xml:space="preserve"> </w:t>
      </w:r>
      <w:r>
        <w:t xml:space="preserve">one for themselves with the aid of memorial signs such as monuments, museums, commemoration rites, and ceremonies</w:t>
      </w:r>
      <w:r>
        <w:t xml:space="preserve">”</w:t>
      </w:r>
      <w:r>
        <w:rPr>
          <w:rStyle w:val="FootnoteReference"/>
        </w:rPr>
        <w:footnoteReference w:id="96"/>
      </w:r>
      <w:r>
        <w:t xml:space="preserve">. This formulation fixes a key property: political memory is produced intentionally.</w:t>
      </w:r>
    </w:p>
    <w:p>
      <w:pPr>
        <w:pStyle w:val="BodyText"/>
      </w:pPr>
      <w:r>
        <w:t xml:space="preserve">The making of memory always involves selection: some events get a place in the official version of the past, others do not. Political memory tends towards uniformity: it reduces different versions of the past to one and fixes them in material carriers — monuments, museums, rituals — designed for transmission to subsequent generations:</w:t>
      </w:r>
      <w:r>
        <w:t xml:space="preserve"> </w:t>
      </w:r>
      <w:r>
        <w:t xml:space="preserve">“</w:t>
      </w:r>
      <w:r>
        <w:t xml:space="preserve">political memory is stabilized and can be transmitted from generation to generation</w:t>
      </w:r>
      <w:r>
        <w:t xml:space="preserve">”</w:t>
      </w:r>
      <w:r>
        <w:rPr>
          <w:rStyle w:val="FootnoteReference"/>
        </w:rPr>
        <w:footnoteReference w:id="97"/>
      </w:r>
      <w:r>
        <w:t xml:space="preserve">. The word</w:t>
      </w:r>
      <w:r>
        <w:t xml:space="preserve"> </w:t>
      </w:r>
      <w:r>
        <w:t xml:space="preserve">“</w:t>
      </w:r>
      <w:r>
        <w:t xml:space="preserve">stabilised</w:t>
      </w:r>
      <w:r>
        <w:t xml:space="preserve">”</w:t>
      </w:r>
      <w:r>
        <w:t xml:space="preserve"> </w:t>
      </w:r>
      <w:r>
        <w:t xml:space="preserve">is key here: what lives spontaneously in a group requires constant maintenance work in an institution. Aleida Assmann’s account of political memory as institutional stabilisation is important for this research because it gives us the strongest argument against reading any single curatorial element as a neutral act of information. Each element on the exhibition — a banner, a screen, a transition, a photograph — has to be read as a result of selection and as a contribution to the stabilisation of a particular version of the past.</w:t>
      </w:r>
    </w:p>
    <w:p>
      <w:pPr>
        <w:pStyle w:val="BodyText"/>
      </w:pPr>
      <w:r>
        <w:t xml:space="preserve">Political memory establishes a normative framework within which some recollections gain the status of legitimate in the public space, while others are displaced</w:t>
      </w:r>
      <w:r>
        <w:rPr>
          <w:rStyle w:val="FootnoteReference"/>
        </w:rPr>
        <w:footnoteReference w:id="98"/>
      </w:r>
      <w:r>
        <w:t xml:space="preserve">. Recognition or non-recognition of an event at the state level is a decision about whether it will enter the normative symbolic order of the given society or remain outside of it. This translates the question from a historical into a political one. This idea is important for the analysis of</w:t>
      </w:r>
      <w:r>
        <w:t xml:space="preserve"> </w:t>
      </w:r>
      <w:r>
        <w:t xml:space="preserve">“</w:t>
      </w:r>
      <w:r>
        <w:t xml:space="preserve">No to Genocide!</w:t>
      </w:r>
      <w:r>
        <w:t xml:space="preserve">”</w:t>
      </w:r>
      <w:r>
        <w:t xml:space="preserve"> </w:t>
      </w:r>
      <w:r>
        <w:t xml:space="preserve">because it allows us to read the very fact of public recognition of the genocide by an institution — and the exhibition’s final block on Russia’s and the world’s recognition of the genocide — as a normative act, not as an informational one. The exhibition does not</w:t>
      </w:r>
      <w:r>
        <w:t xml:space="preserve"> </w:t>
      </w:r>
      <w:r>
        <w:t xml:space="preserve">“</w:t>
      </w:r>
      <w:r>
        <w:t xml:space="preserve">inform</w:t>
      </w:r>
      <w:r>
        <w:t xml:space="preserve">”</w:t>
      </w:r>
      <w:r>
        <w:t xml:space="preserve"> </w:t>
      </w:r>
      <w:r>
        <w:t xml:space="preserve">the visitor that the genocide was recognised; it performs an act of stabilising that recognition.</w:t>
      </w:r>
    </w:p>
    <w:p>
      <w:pPr>
        <w:pStyle w:val="BodyText"/>
      </w:pPr>
      <w:r>
        <w:t xml:space="preserve">However, this concept does not answer the question of who exactly is recognised as a victim and who is not, and how memory functions under the conditions of this conflict. Post-war Europe is a vivid example of how the state decides what to remember and what to forget: this mechanism is traced by Tony Judt. Official memory was consistently built on a separation: that which was done</w:t>
      </w:r>
      <w:r>
        <w:t xml:space="preserve"> </w:t>
      </w:r>
      <w:r>
        <w:t xml:space="preserve">“</w:t>
      </w:r>
      <w:r>
        <w:t xml:space="preserve">to us</w:t>
      </w:r>
      <w:r>
        <w:t xml:space="preserve">”</w:t>
      </w:r>
      <w:r>
        <w:t xml:space="preserve"> </w:t>
      </w:r>
      <w:r>
        <w:t xml:space="preserve">was openly recognised; that which</w:t>
      </w:r>
      <w:r>
        <w:t xml:space="preserve"> </w:t>
      </w:r>
      <w:r>
        <w:t xml:space="preserve">“</w:t>
      </w:r>
      <w:r>
        <w:t xml:space="preserve">we did ourselves</w:t>
      </w:r>
      <w:r>
        <w:t xml:space="preserve">”</w:t>
      </w:r>
      <w:r>
        <w:t xml:space="preserve"> </w:t>
      </w:r>
      <w:r>
        <w:t xml:space="preserve">was systematically displaced</w:t>
      </w:r>
      <w:r>
        <w:rPr>
          <w:rStyle w:val="FootnoteReference"/>
        </w:rPr>
        <w:footnoteReference w:id="99"/>
      </w:r>
      <w:r>
        <w:t xml:space="preserve">. To present oneself as a victim and at the same time keep silent about one’s own complicity is a deliberate choice. Some recollections receive institutional support, others exist in spite of it. The selection of what is preserved is impossible without the selection of what is eliminated. Moreover, this forgetting is organised by the same institutions that organise memory. This is demonstrated through the analysis of memorial practices:</w:t>
      </w:r>
      <w:r>
        <w:t xml:space="preserve"> </w:t>
      </w:r>
      <w:r>
        <w:t xml:space="preserve">“</w:t>
      </w:r>
      <w:r>
        <w:t xml:space="preserve">the construction of war memorials was undertaken, all of them with the same pedagogical message</w:t>
      </w:r>
      <w:r>
        <w:t xml:space="preserve">”</w:t>
      </w:r>
      <w:r>
        <w:rPr>
          <w:rStyle w:val="FootnoteReference"/>
        </w:rPr>
        <w:footnoteReference w:id="100"/>
      </w:r>
      <w:r>
        <w:t xml:space="preserve">. Thus, in addition to informing, a memorial becomes a pedagogical instrument. The memorial in this case is a way of constructing memory.</w:t>
      </w:r>
    </w:p>
    <w:p>
      <w:pPr>
        <w:pStyle w:val="BodyText"/>
      </w:pPr>
      <w:r>
        <w:t xml:space="preserve">Judt’s framework is important for this research because it provides the analytical vocabulary for examining the asymmetric distribution of voice on the exhibition. Although</w:t>
      </w:r>
      <w:r>
        <w:t xml:space="preserve"> </w:t>
      </w:r>
      <w:r>
        <w:t xml:space="preserve">“</w:t>
      </w:r>
      <w:r>
        <w:t xml:space="preserve">No to Genocide!</w:t>
      </w:r>
      <w:r>
        <w:t xml:space="preserve">”</w:t>
      </w:r>
      <w:r>
        <w:t xml:space="preserve"> </w:t>
      </w:r>
      <w:r>
        <w:t xml:space="preserve">is not silencing its own historical responsibility (the project is created by an Armenian diaspora organisation and is unambiguously on the side of the victims), its composition is still structured by a Judtian logic. The visible voices are those of the recognised authorities — the Pope, Nansen, Putin, Russian writers, Russian soldiers. The voice of the victims themselves is mainly mediated through images, not through speech. The voice of the perpetrator (the Ottoman empire, the Young Turk government) is mentioned but not enacted. The analysis will use Judt’s lens to make this asymmetry visible as a structural feature of the exhibition.</w:t>
      </w:r>
    </w:p>
    <w:p>
      <w:pPr>
        <w:pStyle w:val="BodyText"/>
      </w:pPr>
      <w:r>
        <w:t xml:space="preserve">It is important to take into account the temporal mode in which political memory operates. Enzo Traverso formulates one approach to this problem:</w:t>
      </w:r>
      <w:r>
        <w:t xml:space="preserve"> </w:t>
      </w:r>
      <w:r>
        <w:t xml:space="preserve">“</w:t>
      </w:r>
      <w:r>
        <w:t xml:space="preserve">Memory always speaks in the present tense, which determines its modalities: the selection of events worthy of preservation, of witnesses worth listening to, their interpretation, and their</w:t>
      </w:r>
      <w:r>
        <w:t xml:space="preserve"> </w:t>
      </w:r>
      <w:r>
        <w:t xml:space="preserve">‘</w:t>
      </w:r>
      <w:r>
        <w:t xml:space="preserve">lessons</w:t>
      </w:r>
      <w:r>
        <w:t xml:space="preserve">’</w:t>
      </w:r>
      <w:r>
        <w:t xml:space="preserve">”</w:t>
      </w:r>
      <w:r>
        <w:rPr>
          <w:rStyle w:val="FootnoteReference"/>
        </w:rPr>
        <w:footnoteReference w:id="101"/>
      </w:r>
      <w:r>
        <w:t xml:space="preserve">. Political memory is an instrument of the present. The decision about what exactly to remember and how to interpret a recollection is taken in light of current political tasks, not in light of the logic of the event itself. The concepts of A. Assmann and E. Traverso are important for this research because, taken together, they account for both the structure and the temporality of political memory production. Assmann’s account describes the structure through which memory is produced institutionally; Traverso’s account asserts that this memory always serves the actual political tasks of the present. Applied to our case, this twofold lens explains why the exhibition’s final block frames recognition not in terms of past international declarations but through the contemporary photograph of Putin at the Tsitsernakaberd memorial — the act of remembering is anchored in the political present.</w:t>
      </w:r>
    </w:p>
    <w:p>
      <w:pPr>
        <w:pStyle w:val="BodyText"/>
      </w:pPr>
      <w:r>
        <w:t xml:space="preserve">The requirement to remember is called the</w:t>
      </w:r>
      <w:r>
        <w:t xml:space="preserve"> </w:t>
      </w:r>
      <w:r>
        <w:t xml:space="preserve">“</w:t>
      </w:r>
      <w:r>
        <w:t xml:space="preserve">duty of memory</w:t>
      </w:r>
      <w:r>
        <w:t xml:space="preserve">”</w:t>
      </w:r>
      <w:r>
        <w:t xml:space="preserve">, which can turn into a political instrument:</w:t>
      </w:r>
      <w:r>
        <w:t xml:space="preserve"> </w:t>
      </w:r>
      <w:r>
        <w:t xml:space="preserve">“</w:t>
      </w:r>
      <w:r>
        <w:t xml:space="preserve">Memory turns into a political stake and takes on the form of an ethical demand of</w:t>
      </w:r>
      <w:r>
        <w:t xml:space="preserve"> </w:t>
      </w:r>
      <w:r>
        <w:t xml:space="preserve">‘</w:t>
      </w:r>
      <w:r>
        <w:t xml:space="preserve">duty of memory</w:t>
      </w:r>
      <w:r>
        <w:t xml:space="preserve">’</w:t>
      </w:r>
      <w:r>
        <w:t xml:space="preserve">, which often becomes a source of abuses</w:t>
      </w:r>
      <w:r>
        <w:t xml:space="preserve">”</w:t>
      </w:r>
      <w:r>
        <w:rPr>
          <w:rStyle w:val="FootnoteReference"/>
        </w:rPr>
        <w:footnoteReference w:id="102"/>
      </w:r>
      <w:r>
        <w:t xml:space="preserve">. The obligation to remember can work in favour of the victims, but it can also turn into an instrument for those who control the narrative. The difference between these two outcomes is determined by the concrete mechanisms of memory production: by who speaks, about what they speak, and what they keep silent about. Traverso’s notion of the duty of memory is important for this research because it gives us a critical, rather than celebratory, lens on the exhibition’s memorial ambition. The same exhibition that performs the act of recognition of victims also stabilises a specific national narrative; the analysis in Chapter 3 will pay attention to both sides at once.</w:t>
      </w:r>
    </w:p>
    <w:p>
      <w:pPr>
        <w:pStyle w:val="BodyText"/>
      </w:pPr>
      <w:r>
        <w:t xml:space="preserve">Another regularity is also recorded: memory of one historical crime creates a normative point of reference through which society perceives others. Catastrophes that have received recognition acquire a memorial infrastructure; those that have not been recognised remain outside the field of normative memory and thereby outside the field of political action. Traverso traces this logic on a specific example: when in April 1994 the genocide in Rwanda was not yet recognised by the international community, it was precisely the appeal to the memory of the Holocaust that proved to be the only rhetorical instrument capable of drawing attention to it. However, Traverso records the following:</w:t>
      </w:r>
      <w:r>
        <w:t xml:space="preserve"> </w:t>
      </w:r>
      <w:r>
        <w:t xml:space="preserve">“</w:t>
      </w:r>
      <w:r>
        <w:t xml:space="preserve">Malheureusement, il est plus facile de commémorer les génocides, surtout à des décennies de distance, que de les empêcher</w:t>
      </w:r>
      <w:r>
        <w:t xml:space="preserve">”</w:t>
      </w:r>
      <w:r>
        <w:rPr>
          <w:rStyle w:val="FootnoteReference"/>
        </w:rPr>
        <w:footnoteReference w:id="103"/>
      </w:r>
      <w:r>
        <w:t xml:space="preserve">. Memory that relies on institutional structures is oriented towards the past; it fixes already recognised catastrophes and uses them as a starting point for conversations about the contemporary. This argument is important for this research because it places the analysed case in a broader memorial economy. The Armenian genocide is not recognised on all sides (it is denied by Turkey, and recognition by various states has been gained unevenly), so the recognition that the exhibition produces operates inside the same logic that Traverso describes: it both inscribes the event in the field of normative memory and depends, in its symbolism, on prior recognitions (the Holocaust, the language of</w:t>
      </w:r>
      <w:r>
        <w:t xml:space="preserve"> </w:t>
      </w:r>
      <w:r>
        <w:t xml:space="preserve">“</w:t>
      </w:r>
      <w:r>
        <w:t xml:space="preserve">crime against humanity</w:t>
      </w:r>
      <w:r>
        <w:t xml:space="preserve">”</w:t>
      </w:r>
      <w:r>
        <w:t xml:space="preserve"> </w:t>
      </w:r>
      <w:r>
        <w:t xml:space="preserve">coined by Lemkin in the Armenian context).</w:t>
      </w:r>
    </w:p>
    <w:p>
      <w:pPr>
        <w:pStyle w:val="BodyText"/>
      </w:pPr>
      <w:r>
        <w:t xml:space="preserve">The three approaches considered together build an analytical framework. Aleida Assmann describes the structure of political memory: it is produced institutionally, builds a hierarchy of normative symbols, and is fixed in material carriers. Tony Judt shows this structure in action through the asymmetry between those who receive the status of victim and those who do not, and through the logic of the memorial as a pedagogical instrument. Traverso adds that memory is always produced in the logic of the present, and that the</w:t>
      </w:r>
      <w:r>
        <w:t xml:space="preserve"> </w:t>
      </w:r>
      <w:r>
        <w:t xml:space="preserve">“</w:t>
      </w:r>
      <w:r>
        <w:t xml:space="preserve">duty of memory</w:t>
      </w:r>
      <w:r>
        <w:t xml:space="preserve">”</w:t>
      </w:r>
      <w:r>
        <w:t xml:space="preserve"> </w:t>
      </w:r>
      <w:r>
        <w:t xml:space="preserve">does not lift it out of memory politics but creates a new form of it. Together, these positions establish that a museum or memorial exhibition is, by its very structure, a space of memory politics. The institutional choice of what to show, how to construct the narrative, and which voices to bring to the foreground carries a political dimension regardless of the declared intentions of the creators. This is precisely what makes the question of curatorial decisions a research question and not merely a descriptive one — and it sets up the next section, where the museum will be examined as a mediatized form of memory politics under the digital condition.</w:t>
      </w:r>
    </w:p>
    <w:bookmarkEnd w:id="104"/>
    <w:bookmarkStart w:id="114" w:name="Xa51429882835da1ec74d2957d2b10d107b315ed"/>
    <w:p>
      <w:pPr>
        <w:pStyle w:val="Heading2"/>
      </w:pPr>
      <w:r>
        <w:t xml:space="preserve">1.4 The Digital Transformation of Memory and the Museum as a Mediatized Form of Memory Politics</w:t>
      </w:r>
    </w:p>
    <w:p>
      <w:pPr>
        <w:pStyle w:val="FirstParagraph"/>
      </w:pPr>
      <w:r>
        <w:t xml:space="preserve">Digital media have changed the very nature of memory, not merely the ways of storing information. The concept of the</w:t>
      </w:r>
      <w:r>
        <w:t xml:space="preserve"> </w:t>
      </w:r>
      <w:r>
        <w:rPr>
          <w:bCs/>
          <w:b/>
        </w:rPr>
        <w:t xml:space="preserve">“</w:t>
      </w:r>
      <w:r>
        <w:rPr>
          <w:bCs/>
          <w:b/>
        </w:rPr>
        <w:t xml:space="preserve">connective turn</w:t>
      </w:r>
      <w:r>
        <w:rPr>
          <w:bCs/>
          <w:b/>
        </w:rPr>
        <w:t xml:space="preserve">”</w:t>
      </w:r>
      <w:r>
        <w:t xml:space="preserve"> </w:t>
      </w:r>
      <w:r>
        <w:t xml:space="preserve">describes this process as an abrupt transition to a culture of data abundance, in which traditional institutions of memory come under pressure</w:t>
      </w:r>
      <w:r>
        <w:rPr>
          <w:rStyle w:val="FootnoteReference"/>
        </w:rPr>
        <w:footnoteReference w:id="105"/>
      </w:r>
      <w:r>
        <w:t xml:space="preserve">. Memory begins to function differently: it simultaneously fixes the past and deprives it of stability. In the traditional model, the archive and the museum acted as stable repositories of memory, ensuring its long-term preservation. In the digital age, this principle is blurred: memory ceases to exist in the form of unchanging objects and becomes a process of continuous renewal. Hoskins’s concept of the connective turn is important for this research because it positions</w:t>
      </w:r>
      <w:r>
        <w:t xml:space="preserve"> </w:t>
      </w:r>
      <w:r>
        <w:t xml:space="preserve">“</w:t>
      </w:r>
      <w:r>
        <w:t xml:space="preserve">No to Genocide!</w:t>
      </w:r>
      <w:r>
        <w:t xml:space="preserve">”</w:t>
      </w:r>
      <w:r>
        <w:t xml:space="preserve"> </w:t>
      </w:r>
      <w:r>
        <w:t xml:space="preserve">inside, not outside, the very crisis of traditional memorial institutions. The exhibition is not a</w:t>
      </w:r>
      <w:r>
        <w:t xml:space="preserve"> </w:t>
      </w:r>
      <w:r>
        <w:t xml:space="preserve">“</w:t>
      </w:r>
      <w:r>
        <w:t xml:space="preserve">classical museum project that happens to use multimedia</w:t>
      </w:r>
      <w:r>
        <w:t xml:space="preserve">”</w:t>
      </w:r>
      <w:r>
        <w:t xml:space="preserve">; it is a memorial form designed for an environment in which audiences already presume that</w:t>
      </w:r>
      <w:r>
        <w:t xml:space="preserve"> </w:t>
      </w:r>
      <w:r>
        <w:t xml:space="preserve">“</w:t>
      </w:r>
      <w:r>
        <w:t xml:space="preserve">everything is available online</w:t>
      </w:r>
      <w:r>
        <w:t xml:space="preserve">”</w:t>
      </w:r>
      <w:r>
        <w:t xml:space="preserve">. Its curatorial decisions about format, density of material, and pace of transitions are made in competition with that online presence.</w:t>
      </w:r>
    </w:p>
    <w:p>
      <w:pPr>
        <w:pStyle w:val="BodyText"/>
      </w:pPr>
      <w:r>
        <w:t xml:space="preserve">The concept of the</w:t>
      </w:r>
      <w:r>
        <w:t xml:space="preserve"> </w:t>
      </w:r>
      <w:r>
        <w:rPr>
          <w:bCs/>
          <w:b/>
        </w:rPr>
        <w:t xml:space="preserve">“</w:t>
      </w:r>
      <w:r>
        <w:rPr>
          <w:bCs/>
          <w:b/>
        </w:rPr>
        <w:t xml:space="preserve">new memory ecology</w:t>
      </w:r>
      <w:r>
        <w:rPr>
          <w:bCs/>
          <w:b/>
        </w:rPr>
        <w:t xml:space="preserve">”</w:t>
      </w:r>
      <w:r>
        <w:t xml:space="preserve"> </w:t>
      </w:r>
      <w:r>
        <w:t xml:space="preserve">captures an environment in which media and memory cannot be reduced to a single carrier or individual. Museums, exhibitions and archives became embodiments of the</w:t>
      </w:r>
      <w:r>
        <w:t xml:space="preserve"> </w:t>
      </w:r>
      <w:r>
        <w:t xml:space="preserve">“</w:t>
      </w:r>
      <w:r>
        <w:t xml:space="preserve">second memory boom</w:t>
      </w:r>
      <w:r>
        <w:t xml:space="preserve">”</w:t>
      </w:r>
      <w:r>
        <w:t xml:space="preserve"> </w:t>
      </w:r>
      <w:r>
        <w:t xml:space="preserve">— the period of the second half of the 20th century when the institutional culture of memory flourished</w:t>
      </w:r>
      <w:r>
        <w:rPr>
          <w:rStyle w:val="FootnoteReference"/>
        </w:rPr>
        <w:footnoteReference w:id="106"/>
      </w:r>
      <w:r>
        <w:t xml:space="preserve">. However, in the digital age this institutional peak turns into a crisis. The audience’s conviction that any information can be found online leads to a flight from physical institutions. A telling example is a situation recorded in the mid-2010s: the National Archives of the United Kingdom experienced a decline in attendance, because</w:t>
      </w:r>
      <w:r>
        <w:t xml:space="preserve"> </w:t>
      </w:r>
      <w:r>
        <w:t xml:space="preserve">“</w:t>
      </w:r>
      <w:r>
        <w:t xml:space="preserve">…as people believe they can access everything online…</w:t>
      </w:r>
      <w:r>
        <w:t xml:space="preserve">”</w:t>
      </w:r>
      <w:r>
        <w:rPr>
          <w:rStyle w:val="FootnoteReference"/>
        </w:rPr>
        <w:footnoteReference w:id="107"/>
      </w:r>
      <w:r>
        <w:t xml:space="preserve">. This is a consequence of a</w:t>
      </w:r>
      <w:r>
        <w:t xml:space="preserve"> </w:t>
      </w:r>
      <w:r>
        <w:t xml:space="preserve">“</w:t>
      </w:r>
      <w:r>
        <w:t xml:space="preserve">post-scarcity</w:t>
      </w:r>
      <w:r>
        <w:t xml:space="preserve">”</w:t>
      </w:r>
      <w:r>
        <w:t xml:space="preserve"> </w:t>
      </w:r>
      <w:r>
        <w:t xml:space="preserve">culture: the excess of information undermines the authority of the very institutions that store it. Applied to the present study, the concept of the new memory ecology is important because it explains why the exhibition has to perform such intense work of presence and atmosphere — the darkening, the continuous music, the synchronous transitions, the use of large-scale LED surfaces. In a post-scarcity environment, the museum has to justify the physical visit by offering an experience that online access cannot reproduce, and the analysis in Chapter 3 will read several spatial-technological decisions of</w:t>
      </w:r>
      <w:r>
        <w:t xml:space="preserve"> </w:t>
      </w:r>
      <w:r>
        <w:t xml:space="preserve">“</w:t>
      </w:r>
      <w:r>
        <w:t xml:space="preserve">No to Genocide!</w:t>
      </w:r>
      <w:r>
        <w:t xml:space="preserve">”</w:t>
      </w:r>
      <w:r>
        <w:t xml:space="preserve"> </w:t>
      </w:r>
      <w:r>
        <w:t xml:space="preserve">precisely as responses to this competitive pressure.</w:t>
      </w:r>
    </w:p>
    <w:p>
      <w:pPr>
        <w:pStyle w:val="BodyText"/>
      </w:pPr>
      <w:r>
        <w:t xml:space="preserve">The crisis of attendance is the external manifestation of a deeper shift. An analysis of digital practices in Holocaust museums shows that institutions do not simply adapt to the digital environment — they become dependent on it:</w:t>
      </w:r>
      <w:r>
        <w:t xml:space="preserve"> </w:t>
      </w:r>
      <w:r>
        <w:t xml:space="preserve">“</w:t>
      </w:r>
      <w:r>
        <w:t xml:space="preserve">Successfully staging historical authenticity for today’s audiences requires digital technology. All these exhibits teem with digital media as they surround their visitors with re-mastered photos, sound recordings, and film footage…</w:t>
      </w:r>
      <w:r>
        <w:t xml:space="preserve">”</w:t>
      </w:r>
      <w:r>
        <w:rPr>
          <w:rStyle w:val="FootnoteReference"/>
        </w:rPr>
        <w:footnoteReference w:id="108"/>
      </w:r>
      <w:r>
        <w:t xml:space="preserve">. However, technology does not abolish institutional control over interpretation — it reproduces it in new forms. The exposition of the Buchenwald memorial illustrates this vividly:</w:t>
      </w:r>
      <w:r>
        <w:t xml:space="preserve"> </w:t>
      </w:r>
      <w:r>
        <w:t xml:space="preserve">“</w:t>
      </w:r>
      <w:r>
        <w:t xml:space="preserve">visitors are cast in relatively passive roles; they can watch, read, and listen but there are few explicit invitations to participate in the sense-making endeavor</w:t>
      </w:r>
      <w:r>
        <w:t xml:space="preserve">”</w:t>
      </w:r>
      <w:r>
        <w:rPr>
          <w:rStyle w:val="FootnoteReference"/>
        </w:rPr>
        <w:footnoteReference w:id="109"/>
      </w:r>
      <w:r>
        <w:t xml:space="preserve">. The digitisation of an exhibition does not mean the transfer of power over the narrative: the question of who controls it remains political. Kansteiner’s argument is important for this research because it directly explains a tension that</w:t>
      </w:r>
      <w:r>
        <w:t xml:space="preserve"> </w:t>
      </w:r>
      <w:r>
        <w:t xml:space="preserve">“</w:t>
      </w:r>
      <w:r>
        <w:t xml:space="preserve">No to Genocide!</w:t>
      </w:r>
      <w:r>
        <w:t xml:space="preserve">”</w:t>
      </w:r>
      <w:r>
        <w:t xml:space="preserve"> </w:t>
      </w:r>
      <w:r>
        <w:t xml:space="preserve">itself reproduces: the multimedia format of the exhibition creates an appearance of technological openness, while curatorial decisions about which voices are included in the narrative and what the visitor’s role is remain determined by the institutional logic of the organisers. Empirically, this will be visible in Chapter 3 in the analysis of the sensor tables (mostly duplicating the LED screens rather than offering autonomous content) and the linear route (no branches, no visitor-chosen path).</w:t>
      </w:r>
    </w:p>
    <w:p>
      <w:pPr>
        <w:pStyle w:val="BodyText"/>
      </w:pPr>
      <w:r>
        <w:t xml:space="preserve">This observation points to a fracture which is described as a contradiction between two cultures of memory:</w:t>
      </w:r>
      <w:r>
        <w:t xml:space="preserve"> </w:t>
      </w:r>
      <w:r>
        <w:t xml:space="preserve">“</w:t>
      </w:r>
      <w:r>
        <w:t xml:space="preserve">one formalized, institutionalized, regimented (including online); the other more emergent, confrontational, yet fragmented</w:t>
      </w:r>
      <w:r>
        <w:t xml:space="preserve">”</w:t>
      </w:r>
      <w:r>
        <w:rPr>
          <w:rStyle w:val="FootnoteReference"/>
        </w:rPr>
        <w:footnoteReference w:id="110"/>
      </w:r>
      <w:r>
        <w:t xml:space="preserve">. Crucially, this fracture runs within institutions themselves, not between the museum and its audience. Multimedia exhibitions are spaces where this contradiction is not resolved but reproduced in every curatorial decision. Hoskins’s diagnosis is important for this research because the case of</w:t>
      </w:r>
      <w:r>
        <w:t xml:space="preserve"> </w:t>
      </w:r>
      <w:r>
        <w:t xml:space="preserve">“</w:t>
      </w:r>
      <w:r>
        <w:t xml:space="preserve">No to Genocide!</w:t>
      </w:r>
      <w:r>
        <w:t xml:space="preserve">”</w:t>
      </w:r>
      <w:r>
        <w:t xml:space="preserve"> </w:t>
      </w:r>
      <w:r>
        <w:t xml:space="preserve">embodies an additional, very specific version of this contradiction: the exhibition is created by a diaspora organisation on the platform of a state historical park, which from the outset sets up a tension between the institutional narrative of the platform and the memorial narrative of the organisers. The analysis will treat this tension as productive — that is, as a source of analytically valuable curatorial trade-offs.</w:t>
      </w:r>
    </w:p>
    <w:p>
      <w:pPr>
        <w:pStyle w:val="BodyText"/>
      </w:pPr>
      <w:r>
        <w:t xml:space="preserve">Why the fracture became possible at all is explained by the concept of the archival order and its digital transformation. The traditional museum was built on the principle of archival order, but the digital environment replaces this order with dynamics</w:t>
      </w:r>
      <w:r>
        <w:rPr>
          <w:rStyle w:val="FootnoteReference"/>
        </w:rPr>
        <w:footnoteReference w:id="111"/>
      </w:r>
      <w:r>
        <w:t xml:space="preserve">. For the museum this means a fundamental shift: it ceases to be merely a storage and becomes a space where the past is constantly reassembled. Ernst’s account is important for this research because it provides the technical foundation of the fracture described above: when the past becomes a process rather than an archive, power over it ceases to belong exclusively to the institution. The analysis will use this perspective to read the looped, rotating images on the LED screens not as automated storage retrieval but as continual reassembling of the past in the visitor’s presence.</w:t>
      </w:r>
    </w:p>
    <w:p>
      <w:pPr>
        <w:pStyle w:val="BodyText"/>
      </w:pPr>
      <w:r>
        <w:t xml:space="preserve">The question of whose past is produced and to whom visibility is granted in this process is posed by the concept of the</w:t>
      </w:r>
      <w:r>
        <w:t xml:space="preserve"> </w:t>
      </w:r>
      <w:r>
        <w:rPr>
          <w:bCs/>
          <w:b/>
        </w:rPr>
        <w:t xml:space="preserve">mediapolis</w:t>
      </w:r>
      <w:r>
        <w:rPr>
          <w:rStyle w:val="FootnoteReference"/>
        </w:rPr>
        <w:footnoteReference w:id="112"/>
      </w:r>
      <w:r>
        <w:t xml:space="preserve">. A mediatized public space is a place where some subjects acquire visibility and the right to speak, while others remain invisible and unheard. From this perspective, a multimedia exhibition about genocide is a political space: a place where some subjects gain visibility in public discourse while others remain outside it. The key condition of such visibility is</w:t>
      </w:r>
      <w:r>
        <w:t xml:space="preserve"> </w:t>
      </w:r>
      <w:r>
        <w:rPr>
          <w:bCs/>
          <w:b/>
        </w:rPr>
        <w:t xml:space="preserve">media hospitality</w:t>
      </w:r>
      <w:r>
        <w:t xml:space="preserve"> </w:t>
      </w:r>
      <w:r>
        <w:t xml:space="preserve">—</w:t>
      </w:r>
      <w:r>
        <w:t xml:space="preserve"> </w:t>
      </w:r>
      <w:r>
        <w:t xml:space="preserve">“</w:t>
      </w:r>
      <w:r>
        <w:t xml:space="preserve">the first virtue of the mediapolis</w:t>
      </w:r>
      <w:r>
        <w:t xml:space="preserve">”</w:t>
      </w:r>
      <w:r>
        <w:t xml:space="preserve">, understood not as the right to freedom of speech but as the obligation to listen to and to hear the Other:</w:t>
      </w:r>
      <w:r>
        <w:t xml:space="preserve"> </w:t>
      </w:r>
      <w:r>
        <w:t xml:space="preserve">“</w:t>
      </w:r>
      <w:r>
        <w:t xml:space="preserve">Hospitality as a right not just to the freedom of speech but as an obligation to listen and to hear</w:t>
      </w:r>
      <w:r>
        <w:t xml:space="preserve">”</w:t>
      </w:r>
      <w:r>
        <w:rPr>
          <w:rStyle w:val="FootnoteReference"/>
        </w:rPr>
        <w:footnoteReference w:id="113"/>
      </w:r>
      <w:r>
        <w:t xml:space="preserve">. The appearance of the Other in the exhibition space does not itself guarantee genuine inclusion: mediatization can both strengthen presence and reduce a subject to an image of a victim without voice. Silverstone’s concept of the mediapolis is important for this research because it gives us the most precise question to ask of the empirical material: in what mode is the victim of the Armenian genocide present on this exhibition — as a historical fact with its own voice, or as an image of suffering deprived of subjecthood? The MDA-based analysis in Chapter 3 will operationalise exactly this question: it will examine, screen by screen, who looks at the viewer (a</w:t>
      </w:r>
      <w:r>
        <w:t xml:space="preserve"> </w:t>
      </w:r>
      <w:r>
        <w:t xml:space="preserve">“</w:t>
      </w:r>
      <w:r>
        <w:t xml:space="preserve">demand</w:t>
      </w:r>
      <w:r>
        <w:t xml:space="preserve">”</w:t>
      </w:r>
      <w:r>
        <w:t xml:space="preserve"> </w:t>
      </w:r>
      <w:r>
        <w:t xml:space="preserve">in Kress and van Leeuwen’s terms), who looks away, who is named and who is anonymous, and through which medial means visibility is granted.</w:t>
      </w:r>
    </w:p>
    <w:p>
      <w:pPr>
        <w:pStyle w:val="BodyText"/>
      </w:pPr>
      <w:r>
        <w:t xml:space="preserve">Taken together, the concepts considered above describe the digital museum as a space where several processes take place simultaneously. Institutional control over the narrative is preserved, but reproduced through technology rather than against it. The past ceases to be an archival fund and becomes a process of continuous actualisation. Visibility in this process is distributed unevenly, and curatorial decisions determine who receives the right to a voice in the memorial space. These three processes form the analytical context within which the curatorial decisions of</w:t>
      </w:r>
      <w:r>
        <w:t xml:space="preserve"> </w:t>
      </w:r>
      <w:r>
        <w:t xml:space="preserve">“</w:t>
      </w:r>
      <w:r>
        <w:t xml:space="preserve">No to Genocide!</w:t>
      </w:r>
      <w:r>
        <w:t xml:space="preserve">”</w:t>
      </w:r>
      <w:r>
        <w:t xml:space="preserve"> </w:t>
      </w:r>
      <w:r>
        <w:t xml:space="preserve">will be examined in the subsequent chapters.</w:t>
      </w:r>
    </w:p>
    <w:bookmarkEnd w:id="114"/>
    <w:bookmarkStart w:id="121" w:name="Xbfe648656f598df60bb042f2636018f3f8becdc"/>
    <w:p>
      <w:pPr>
        <w:pStyle w:val="Heading2"/>
      </w:pPr>
      <w:r>
        <w:t xml:space="preserve">1.5 The Museum as a Medial and Political Form of Memory</w:t>
      </w:r>
    </w:p>
    <w:p>
      <w:pPr>
        <w:pStyle w:val="FirstParagraph"/>
      </w:pPr>
      <w:r>
        <w:t xml:space="preserve">The understanding of the exhibition space as an environment in which political memory is formed has taken shape under the influence of several theoretical traditions. The concept of the</w:t>
      </w:r>
      <w:r>
        <w:t xml:space="preserve"> </w:t>
      </w:r>
      <w:r>
        <w:rPr>
          <w:bCs/>
          <w:b/>
        </w:rPr>
        <w:t xml:space="preserve">“</w:t>
      </w:r>
      <w:r>
        <w:rPr>
          <w:bCs/>
          <w:b/>
        </w:rPr>
        <w:t xml:space="preserve">exhibitionary complex</w:t>
      </w:r>
      <w:r>
        <w:rPr>
          <w:bCs/>
          <w:b/>
        </w:rPr>
        <w:t xml:space="preserve">”</w:t>
      </w:r>
      <w:r>
        <w:t xml:space="preserve"> </w:t>
      </w:r>
      <w:r>
        <w:t xml:space="preserve">describes 19th-century museums as part of a system of institutions that managed the behaviour and consciousness of the public</w:t>
      </w:r>
      <w:r>
        <w:rPr>
          <w:rStyle w:val="FootnoteReference"/>
        </w:rPr>
        <w:footnoteReference w:id="115"/>
      </w:r>
      <w:r>
        <w:t xml:space="preserve">. The museum acted not through direct coercion but through voluntary self-management: power here organised the order of things and assigned the visitor a particular position within that order. The museum sought to win the people over to its side — not by intimidation but by including the viewer in voluntary complicity with power. The exposition becomes a political form: it does not present ideology as direct statements but shapes a particular point of view in the visitor through how the space is organised, how the objects are arranged, and how emotional impact is constructed. Bennett’s concept of the exhibitionary complex is important for this research because it provides the strongest argument that the political dimension of the exhibition is structural, not declarative. Applied to</w:t>
      </w:r>
      <w:r>
        <w:t xml:space="preserve"> </w:t>
      </w:r>
      <w:r>
        <w:t xml:space="preserve">“</w:t>
      </w:r>
      <w:r>
        <w:t xml:space="preserve">No to Genocide!</w:t>
      </w:r>
      <w:r>
        <w:t xml:space="preserve">”</w:t>
      </w:r>
      <w:r>
        <w:t xml:space="preserve">, this means that even if the curators had not formulated explicit political goals, the very organisation of the exhibition’s space — the linear route, the dark hall, the corridor of authoritative banners, the synchronised transitions — would still carry political meaning. The visitor is positioned in a particular relation to the past through the spatial arrangement, and the analysis will examine which position is constructed.</w:t>
      </w:r>
    </w:p>
    <w:p>
      <w:pPr>
        <w:pStyle w:val="BodyText"/>
      </w:pPr>
      <w:r>
        <w:t xml:space="preserve">Bennett’s exhibitionary complex also captures a fundamental spatial principle: the combination of the functions of spectacle and surveillance. The visitor simultaneously becomes a spectator and an object of control, while the space itself manages both what they see and how they see it</w:t>
      </w:r>
      <w:r>
        <w:rPr>
          <w:rStyle w:val="FootnoteReference"/>
        </w:rPr>
        <w:footnoteReference w:id="116"/>
      </w:r>
      <w:r>
        <w:t xml:space="preserve">. This dual function is important for this research because it allows us to interpret the technologically distinctive feature of</w:t>
      </w:r>
      <w:r>
        <w:t xml:space="preserve"> </w:t>
      </w:r>
      <w:r>
        <w:t xml:space="preserve">“</w:t>
      </w:r>
      <w:r>
        <w:t xml:space="preserve">No to Genocide!</w:t>
      </w:r>
      <w:r>
        <w:t xml:space="preserve">”</w:t>
      </w:r>
      <w:r>
        <w:t xml:space="preserve"> </w:t>
      </w:r>
      <w:r>
        <w:t xml:space="preserve">— the synchronised transitions across all LED screens — as exactly such a spatial mechanism. The transitions place all visitors in the same point of the narrative at the same time, and this synchronisation is not just a technical feature but a way of producing a shared, collectively managed mode of viewing. The concept of the exhibitionary complex thereby explains how the museum works as a form of power, but it leaves open the question of through which concrete mechanisms this power is realised at the level of meaning-making.</w:t>
      </w:r>
    </w:p>
    <w:p>
      <w:pPr>
        <w:pStyle w:val="BodyText"/>
      </w:pPr>
      <w:r>
        <w:t xml:space="preserve">This question is answered by the concept of the</w:t>
      </w:r>
      <w:r>
        <w:t xml:space="preserve"> </w:t>
      </w:r>
      <w:r>
        <w:rPr>
          <w:bCs/>
          <w:b/>
        </w:rPr>
        <w:t xml:space="preserve">“</w:t>
      </w:r>
      <w:r>
        <w:rPr>
          <w:bCs/>
          <w:b/>
        </w:rPr>
        <w:t xml:space="preserve">post-museum</w:t>
      </w:r>
      <w:r>
        <w:rPr>
          <w:bCs/>
          <w:b/>
        </w:rPr>
        <w:t xml:space="preserve">”</w:t>
      </w:r>
      <w:r>
        <w:t xml:space="preserve">. In this model, the museum ceases to be the transmitter of one true knowledge and becomes a space of interpretive frameworks: it is the frameworks, not the objects themselves, that determine how an exhibit will be understood. Objects in themselves have no meaning:</w:t>
      </w:r>
      <w:r>
        <w:t xml:space="preserve"> </w:t>
      </w:r>
      <w:r>
        <w:t xml:space="preserve">“</w:t>
      </w:r>
      <w:r>
        <w:t xml:space="preserve">displayed objects of all types are made meaningful according to the interpretive frameworks within which they are placed</w:t>
      </w:r>
      <w:r>
        <w:t xml:space="preserve">”</w:t>
      </w:r>
      <w:r>
        <w:rPr>
          <w:rStyle w:val="FootnoteReference"/>
        </w:rPr>
        <w:footnoteReference w:id="117"/>
      </w:r>
      <w:r>
        <w:t xml:space="preserve">. The museum exhibition constructs reality through the selection of objects, their arrangement, and the accompanying text. The traditional museum was based on a transmission model: knowledge was passed to the visitor in finished form, and the visitor’s own activity was not envisaged in the process. This is replaced by a constructivist approach, in which the visitor is treated as an active subject building meaning in dialogue with the exhibition space</w:t>
      </w:r>
      <w:r>
        <w:rPr>
          <w:rStyle w:val="FootnoteReference"/>
        </w:rPr>
        <w:footnoteReference w:id="118"/>
      </w:r>
      <w:r>
        <w:t xml:space="preserve">. Hooper-Greenhill’s concept of the post-museum is important for this research because it lets us read the exhibition as a system of interpretive frameworks rather than as a sum of exhibits. The question that organises the analysis becomes: which frameworks did the curators choose to represent the Armenian genocide, and how do these frameworks direct the visitor’s perception?</w:t>
      </w:r>
    </w:p>
    <w:p>
      <w:pPr>
        <w:pStyle w:val="BodyText"/>
      </w:pPr>
      <w:r>
        <w:t xml:space="preserve">The concept of the post-museum explains the interpretive mechanisms through which an exhibition works, but it does not answer the question of why exactly today the production of memory through museum institutions has acquired such intensity. This question is answered by the concept of the</w:t>
      </w:r>
      <w:r>
        <w:t xml:space="preserve"> </w:t>
      </w:r>
      <w:r>
        <w:rPr>
          <w:bCs/>
          <w:b/>
        </w:rPr>
        <w:t xml:space="preserve">“</w:t>
      </w:r>
      <w:r>
        <w:rPr>
          <w:bCs/>
          <w:b/>
        </w:rPr>
        <w:t xml:space="preserve">hypertrophy of memory</w:t>
      </w:r>
      <w:r>
        <w:rPr>
          <w:bCs/>
          <w:b/>
        </w:rPr>
        <w:t xml:space="preserve">”</w:t>
      </w:r>
      <w:r>
        <w:t xml:space="preserve">. The situation in which the past becomes a political resource of the present is described as a condition in which memory politics is inseparably linked to current social processes and undergoes change under the influence of political and generational factors</w:t>
      </w:r>
      <w:r>
        <w:rPr>
          <w:rStyle w:val="FootnoteReference"/>
        </w:rPr>
        <w:footnoteReference w:id="119"/>
      </w:r>
      <w:r>
        <w:t xml:space="preserve">. The notion of the</w:t>
      </w:r>
      <w:r>
        <w:t xml:space="preserve"> </w:t>
      </w:r>
      <w:r>
        <w:rPr>
          <w:bCs/>
          <w:b/>
        </w:rPr>
        <w:t xml:space="preserve">palimpsest</w:t>
      </w:r>
      <w:r>
        <w:t xml:space="preserve"> </w:t>
      </w:r>
      <w:r>
        <w:t xml:space="preserve">in this context means that urban space and architectural objects accumulate layers of meaning:</w:t>
      </w:r>
      <w:r>
        <w:t xml:space="preserve"> </w:t>
      </w:r>
      <w:r>
        <w:t xml:space="preserve">“</w:t>
      </w:r>
      <w:r>
        <w:t xml:space="preserve">we have come to read cities and buildings as palimpsests of space</w:t>
      </w:r>
      <w:r>
        <w:t xml:space="preserve">”</w:t>
      </w:r>
      <w:r>
        <w:rPr>
          <w:rStyle w:val="FootnoteReference"/>
        </w:rPr>
        <w:footnoteReference w:id="120"/>
      </w:r>
      <w:r>
        <w:t xml:space="preserve">. This perspective allows us to see that a museum exhibition does not fix the past in unchanging form but offers a new reading of it at each encounter. Huyssen’s concept is important for this research because it lets us treat the very fact of the exhibition’s existence — its appearance in 2021 at the platform of</w:t>
      </w:r>
      <w:r>
        <w:t xml:space="preserve"> </w:t>
      </w:r>
      <w:r>
        <w:t xml:space="preserve">“</w:t>
      </w:r>
      <w:r>
        <w:t xml:space="preserve">Russia — My History</w:t>
      </w:r>
      <w:r>
        <w:t xml:space="preserve">”</w:t>
      </w:r>
      <w:r>
        <w:t xml:space="preserve">, in the year of the 106th anniversary of the genocide, in the context of Russian–Turkish relations — as an act of memory politics, not as a neutral memorial gesture. The analysis will read the exhibition’s recurring annual cycle (2021–2024) and its expansion to other cities (St. Petersburg, Nizhny Novgorod, Yekaterinburg) as the active production of a memorial palimpsest on a federal scale.</w:t>
      </w:r>
    </w:p>
    <w:p>
      <w:pPr>
        <w:pStyle w:val="BodyText"/>
      </w:pPr>
      <w:r>
        <w:t xml:space="preserve">Putting the three concepts together, a logic emerges that connects all three approaches. The concept of the exhibitionary complex shows that the museum is built into relations of power from the start and constructs the position of the viewer through spatial organisation. The concept of the post-museum describes the mechanism of this construction: through interpretive frameworks that determine how a given exhibit is perceived. The concept of the hypertrophy of memory explains why this mechanism acquires political sharpness in contemporary conditions: the past becomes a resource in current conflicts, and an exhibition on genocide inevitably becomes a participant in those conflicts. Together, these concepts form the analytical horizon within which the curatorial decisions of</w:t>
      </w:r>
      <w:r>
        <w:t xml:space="preserve"> </w:t>
      </w:r>
      <w:r>
        <w:t xml:space="preserve">“</w:t>
      </w:r>
      <w:r>
        <w:t xml:space="preserve">No to Genocide!</w:t>
      </w:r>
      <w:r>
        <w:t xml:space="preserve">”</w:t>
      </w:r>
      <w:r>
        <w:t xml:space="preserve"> </w:t>
      </w:r>
      <w:r>
        <w:t xml:space="preserve">can be considered as political acts, not as technical tasks of exhibition design.</w:t>
      </w:r>
    </w:p>
    <w:bookmarkEnd w:id="121"/>
    <w:bookmarkStart w:id="138" w:name="X69a8a73dabacf48757ef52257889fd9297e61d8"/>
    <w:p>
      <w:pPr>
        <w:pStyle w:val="Heading2"/>
      </w:pPr>
      <w:r>
        <w:t xml:space="preserve">1.6 Curatorship and Curatorial Decisions: From Exposition Practice to the Production of Political Memory</w:t>
      </w:r>
    </w:p>
    <w:p>
      <w:pPr>
        <w:pStyle w:val="FirstParagraph"/>
      </w:pPr>
      <w:r>
        <w:t xml:space="preserve">Curatorial decisions determine the version of the past offered to the visitor. They determine which narratives will be at the centre of the exhibition and which will be pushed to the periphery. They also determine how media technologies will be deployed for emotional and political impact. This section compares concepts of curatorship across three dimensions: traditional curating of exhibitions, curating of multimedia projects, and curating of expositions about traumatic memory. Understanding these approaches is necessary in order to answer the central research question.</w:t>
      </w:r>
    </w:p>
    <w:p>
      <w:pPr>
        <w:pStyle w:val="BodyText"/>
      </w:pPr>
      <w:r>
        <w:t xml:space="preserve">For the analysis of curatorial decisions on</w:t>
      </w:r>
      <w:r>
        <w:t xml:space="preserve"> </w:t>
      </w:r>
      <w:r>
        <w:t xml:space="preserve">“</w:t>
      </w:r>
      <w:r>
        <w:t xml:space="preserve">No to Genocide!</w:t>
      </w:r>
      <w:r>
        <w:t xml:space="preserve">”</w:t>
      </w:r>
      <w:r>
        <w:t xml:space="preserve"> </w:t>
      </w:r>
      <w:r>
        <w:t xml:space="preserve">it is important to understand that the exhibition is not a neutral display of material; on the contrary, it itself produces meaning. The concept of</w:t>
      </w:r>
      <w:r>
        <w:t xml:space="preserve"> </w:t>
      </w:r>
      <w:r>
        <w:rPr>
          <w:bCs/>
          <w:b/>
        </w:rPr>
        <w:t xml:space="preserve">authorial curatorial practice</w:t>
      </w:r>
      <w:r>
        <w:t xml:space="preserve"> </w:t>
      </w:r>
      <w:r>
        <w:t xml:space="preserve">proposed by Paul O’Neill allows us to view the exposition in exactly this way. O’Neill shows how in the second half of the 20th century the figure of the curator shifted from the position of the keeper of the collection. Earlier, the curator worked</w:t>
      </w:r>
      <w:r>
        <w:t xml:space="preserve"> </w:t>
      </w:r>
      <w:r>
        <w:t xml:space="preserve">“</w:t>
      </w:r>
      <w:r>
        <w:t xml:space="preserve">behind the scenes</w:t>
      </w:r>
      <w:r>
        <w:t xml:space="preserve">”</w:t>
      </w:r>
      <w:r>
        <w:t xml:space="preserve">, but later they turned into an independent author. By O’Neill’s observation, the curator changed from</w:t>
      </w:r>
      <w:r>
        <w:t xml:space="preserve"> </w:t>
      </w:r>
      <w:r>
        <w:t xml:space="preserve">“</w:t>
      </w:r>
      <w:r>
        <w:t xml:space="preserve">an organiser behind the scenes and arbiter of taste</w:t>
      </w:r>
      <w:r>
        <w:t xml:space="preserve">”</w:t>
      </w:r>
      <w:r>
        <w:t xml:space="preserve"> </w:t>
      </w:r>
      <w:r>
        <w:t xml:space="preserve">to</w:t>
      </w:r>
      <w:r>
        <w:t xml:space="preserve"> </w:t>
      </w:r>
      <w:r>
        <w:t xml:space="preserve">“</w:t>
      </w:r>
      <w:r>
        <w:t xml:space="preserve">a self-motivated practitioner with a more central position in the contemporary art world</w:t>
      </w:r>
      <w:r>
        <w:t xml:space="preserve">”</w:t>
      </w:r>
      <w:r>
        <w:rPr>
          <w:rStyle w:val="FootnoteReference"/>
        </w:rPr>
        <w:footnoteReference w:id="122"/>
      </w:r>
      <w:r>
        <w:t xml:space="preserve">. The group exhibition in this logic ceases to be a sum of exhibits. It becomes an authorial statement. O’Neill’s concept of authorial curatorial practice is important for this research because it lets us treat the curator of</w:t>
      </w:r>
      <w:r>
        <w:t xml:space="preserve"> </w:t>
      </w:r>
      <w:r>
        <w:t xml:space="preserve">“</w:t>
      </w:r>
      <w:r>
        <w:t xml:space="preserve">No to Genocide!</w:t>
      </w:r>
      <w:r>
        <w:t xml:space="preserve">”</w:t>
      </w:r>
      <w:r>
        <w:t xml:space="preserve"> </w:t>
      </w:r>
      <w:r>
        <w:t xml:space="preserve">not as a technical organiser of the platform but as an author of a coherent statement. Concretely, this means that in the analysis we will pay attention not only to what is shown but to the consistency of the authorial voice across the formats: the choice of chronology, of authoritative voices on the banners, of symbols on the transitions, of the final photograph in colour at the Tsitsernakaberd memorial — all of these will be read as elements of one authorial gesture, not as isolated solutions.</w:t>
      </w:r>
    </w:p>
    <w:p>
      <w:pPr>
        <w:pStyle w:val="BodyText"/>
      </w:pPr>
      <w:r>
        <w:t xml:space="preserve">It is also important for this study that curatorial decisions are not the consequence of a pre-formed theoretical concept; they are born in the process of practical work. Terry Smith’s concept of</w:t>
      </w:r>
      <w:r>
        <w:t xml:space="preserve"> </w:t>
      </w:r>
      <w:r>
        <w:rPr>
          <w:bCs/>
          <w:b/>
        </w:rPr>
        <w:t xml:space="preserve">curatorial thinking</w:t>
      </w:r>
      <w:r>
        <w:t xml:space="preserve"> </w:t>
      </w:r>
      <w:r>
        <w:t xml:space="preserve">provides a tool for understanding this. He formulates:</w:t>
      </w:r>
      <w:r>
        <w:t xml:space="preserve"> </w:t>
      </w:r>
      <w:r>
        <w:t xml:space="preserve">“</w:t>
      </w:r>
      <w:r>
        <w:t xml:space="preserve">curatorial thinking… is always deeply embedded in the practice of actually mounting the exhibition</w:t>
      </w:r>
      <w:r>
        <w:t xml:space="preserve">”</w:t>
      </w:r>
      <w:r>
        <w:rPr>
          <w:rStyle w:val="FootnoteReference"/>
        </w:rPr>
        <w:footnoteReference w:id="123"/>
      </w:r>
      <w:r>
        <w:t xml:space="preserve">. Curatorial decisions in</w:t>
      </w:r>
      <w:r>
        <w:t xml:space="preserve"> </w:t>
      </w:r>
      <w:r>
        <w:t xml:space="preserve">“</w:t>
      </w:r>
      <w:r>
        <w:t xml:space="preserve">No to Genocide!</w:t>
      </w:r>
      <w:r>
        <w:t xml:space="preserve">”</w:t>
      </w:r>
      <w:r>
        <w:t xml:space="preserve"> </w:t>
      </w:r>
      <w:r>
        <w:t xml:space="preserve">were shaped under specific institutional constraints, with the available technologies and within a specific political context. They cannot be derived from general theory. It is also indicative that in studies of curatorship the appearance of the verb</w:t>
      </w:r>
      <w:r>
        <w:t xml:space="preserve"> </w:t>
      </w:r>
      <w:r>
        <w:t xml:space="preserve">“</w:t>
      </w:r>
      <w:r>
        <w:t xml:space="preserve">to curate</w:t>
      </w:r>
      <w:r>
        <w:t xml:space="preserve">”</w:t>
      </w:r>
      <w:r>
        <w:t xml:space="preserve"> </w:t>
      </w:r>
      <w:r>
        <w:t xml:space="preserve">instead of the noun</w:t>
      </w:r>
      <w:r>
        <w:t xml:space="preserve"> </w:t>
      </w:r>
      <w:r>
        <w:t xml:space="preserve">“</w:t>
      </w:r>
      <w:r>
        <w:t xml:space="preserve">curator</w:t>
      </w:r>
      <w:r>
        <w:t xml:space="preserve">”</w:t>
      </w:r>
      <w:r>
        <w:t xml:space="preserve"> </w:t>
      </w:r>
      <w:r>
        <w:t xml:space="preserve">is traced. This is a marker of the transition from a static role to a dynamic activity. Curatorship becomes a process of production and mediation</w:t>
      </w:r>
      <w:r>
        <w:rPr>
          <w:rStyle w:val="FootnoteReference"/>
        </w:rPr>
        <w:footnoteReference w:id="124"/>
      </w:r>
      <w:r>
        <w:t xml:space="preserve">. Smith’s concept of curatorial thinking is important for this research because it provides direct theoretical justification for combining observation data with the curator interview. If curatorial thinking is embedded in practice, then it cannot be fully reconstructed from the artefacts alone; it has to be elicited from the practitioner. The action-oriented interpretation of curatorship allows us to formulate the question about the concrete decisions that shape the mediatization of the past in the exhibition space — and Chapter 3 will explicitly trace these decisions through what the curator says about them.</w:t>
      </w:r>
    </w:p>
    <w:p>
      <w:pPr>
        <w:pStyle w:val="BodyText"/>
      </w:pPr>
      <w:r>
        <w:t xml:space="preserve">The multimedia exhibition</w:t>
      </w:r>
      <w:r>
        <w:t xml:space="preserve"> </w:t>
      </w:r>
      <w:r>
        <w:t xml:space="preserve">“</w:t>
      </w:r>
      <w:r>
        <w:t xml:space="preserve">No to Genocide!</w:t>
      </w:r>
      <w:r>
        <w:t xml:space="preserve">”</w:t>
      </w:r>
      <w:r>
        <w:t xml:space="preserve"> </w:t>
      </w:r>
      <w:r>
        <w:t xml:space="preserve">uses digital technologies that change the very nature of curatorial work. To explain this mechanism, Lev Manovich’s concept of the</w:t>
      </w:r>
      <w:r>
        <w:t xml:space="preserve"> </w:t>
      </w:r>
      <w:r>
        <w:rPr>
          <w:bCs/>
          <w:b/>
        </w:rPr>
        <w:t xml:space="preserve">cultural interface</w:t>
      </w:r>
      <w:r>
        <w:t xml:space="preserve"> </w:t>
      </w:r>
      <w:r>
        <w:t xml:space="preserve">is important. Manovich shows that any new medium is a code that imposes its own logic on the messages transmitted. He claims:</w:t>
      </w:r>
      <w:r>
        <w:t xml:space="preserve"> </w:t>
      </w:r>
      <w:r>
        <w:t xml:space="preserve">“</w:t>
      </w:r>
      <w:r>
        <w:t xml:space="preserve">the interface shapes how the computer user conceives the computer itself. It also determines how users think of any media object accessed via a computer</w:t>
      </w:r>
      <w:r>
        <w:t xml:space="preserve">”</w:t>
      </w:r>
      <w:r>
        <w:rPr>
          <w:rStyle w:val="FootnoteReference"/>
        </w:rPr>
        <w:footnoteReference w:id="125"/>
      </w:r>
      <w:r>
        <w:t xml:space="preserve">. The choice of an interactive format predetermines the way the content is perceived. A curator who decides to place exhibition material in an interactive environment simultaneously chooses the means of delivery and thereby programs the visitor’s perception. Manovich’s concept of the cultural interface is important for this research because it provides the explanation for why curatorial decisions about technology cannot be separated from decisions about content. When the curators of</w:t>
      </w:r>
      <w:r>
        <w:t xml:space="preserve"> </w:t>
      </w:r>
      <w:r>
        <w:t xml:space="preserve">“</w:t>
      </w:r>
      <w:r>
        <w:t xml:space="preserve">No to Genocide!</w:t>
      </w:r>
      <w:r>
        <w:t xml:space="preserve">”</w:t>
      </w:r>
      <w:r>
        <w:t xml:space="preserve"> </w:t>
      </w:r>
      <w:r>
        <w:t xml:space="preserve">placed text on a sensor table and image on a LED screen, they simultaneously chose what kind of cognitive activity (reading, viewing, touching) would attach to which kind of material. The MDA analysis in Chapter 3 will follow this logic and read each format choice as simultaneously a choice of perceptual mode.</w:t>
      </w:r>
    </w:p>
    <w:p>
      <w:pPr>
        <w:pStyle w:val="BodyText"/>
      </w:pPr>
      <w:r>
        <w:t xml:space="preserve">The concept of the</w:t>
      </w:r>
      <w:r>
        <w:t xml:space="preserve"> </w:t>
      </w:r>
      <w:r>
        <w:rPr>
          <w:bCs/>
          <w:b/>
        </w:rPr>
        <w:t xml:space="preserve">digital transformation of the museum</w:t>
      </w:r>
      <w:r>
        <w:t xml:space="preserve"> </w:t>
      </w:r>
      <w:r>
        <w:t xml:space="preserve">complements this analytically. Ross Parry records a transition from</w:t>
      </w:r>
      <w:r>
        <w:t xml:space="preserve"> </w:t>
      </w:r>
      <w:r>
        <w:t xml:space="preserve">“</w:t>
      </w:r>
      <w:r>
        <w:t xml:space="preserve">museum informatics</w:t>
      </w:r>
      <w:r>
        <w:t xml:space="preserve">”</w:t>
      </w:r>
      <w:r>
        <w:t xml:space="preserve"> </w:t>
      </w:r>
      <w:r>
        <w:t xml:space="preserve">to</w:t>
      </w:r>
      <w:r>
        <w:t xml:space="preserve"> </w:t>
      </w:r>
      <w:r>
        <w:t xml:space="preserve">“</w:t>
      </w:r>
      <w:r>
        <w:t xml:space="preserve">digital heritage</w:t>
      </w:r>
      <w:r>
        <w:t xml:space="preserve">”</w:t>
      </w:r>
      <w:r>
        <w:t xml:space="preserve">, which implies a more critical and theoretically conscious attitude to the use of technologies</w:t>
      </w:r>
      <w:r>
        <w:rPr>
          <w:rStyle w:val="FootnoteReference"/>
        </w:rPr>
        <w:footnoteReference w:id="126"/>
      </w:r>
      <w:r>
        <w:t xml:space="preserve">. In comparing the approaches of Manovich and Parry, a contradiction is revealed about the role of the curator in the digital environment. The concept of the cultural interface emphasises the structural power of technology over perception. The concept of digital heritage shifts the emphasis to the conscious choice of the curator, who must critically master the technology. The difference in the researchers’ positions indicates that curatorial decisions in a multimedia exhibition cannot be explained solely by the technological capabilities of the platform; nor can they be explained solely by the subjective intent of the creators. The combined Manovich–Parry frame is important for this research because it commits us to a two-level analysis: each curatorial decision will be read both as a response to the affordances of the platform and as the result of a critical reflection on those affordances. The interview data is particularly important here because it allows us to distinguish the two: when the curator says that</w:t>
      </w:r>
      <w:r>
        <w:t xml:space="preserve"> </w:t>
      </w:r>
      <w:r>
        <w:t xml:space="preserve">“</w:t>
      </w:r>
      <w:r>
        <w:t xml:space="preserve">another format was not considered, because at the historical park it is, accordingly, not suitable</w:t>
      </w:r>
      <w:r>
        <w:t xml:space="preserve">”</w:t>
      </w:r>
      <w:r>
        <w:t xml:space="preserve">, they reveal the constraint of the platform; when they explain the choice of the sensor table at the entrance as their own idea, they reveal the moment of critical authorial choice.</w:t>
      </w:r>
    </w:p>
    <w:p>
      <w:pPr>
        <w:pStyle w:val="BodyText"/>
      </w:pPr>
      <w:r>
        <w:t xml:space="preserve">For the analysis of curatorial decisions in</w:t>
      </w:r>
      <w:r>
        <w:t xml:space="preserve"> </w:t>
      </w:r>
      <w:r>
        <w:t xml:space="preserve">“</w:t>
      </w:r>
      <w:r>
        <w:t xml:space="preserve">No to Genocide!</w:t>
      </w:r>
      <w:r>
        <w:t xml:space="preserve">”</w:t>
      </w:r>
      <w:r>
        <w:t xml:space="preserve"> </w:t>
      </w:r>
      <w:r>
        <w:t xml:space="preserve">it is also important to understand how visitors physically interact with the content. Sharon Macdonald’s concept gives a tool for such an analysis. She examines three interrelated areas of the museum experience:</w:t>
      </w:r>
      <w:r>
        <w:t xml:space="preserve"> </w:t>
      </w:r>
      <w:r>
        <w:rPr>
          <w:bCs/>
          <w:b/>
        </w:rPr>
        <w:t xml:space="preserve">space, media and sociality</w:t>
      </w:r>
      <w:r>
        <w:rPr>
          <w:rStyle w:val="FootnoteReference"/>
        </w:rPr>
        <w:footnoteReference w:id="127"/>
      </w:r>
      <w:r>
        <w:t xml:space="preserve">. In the area of space, the way the visitor moves through the exhibition directly affects their interpretation:</w:t>
      </w:r>
      <w:r>
        <w:t xml:space="preserve"> </w:t>
      </w:r>
      <w:r>
        <w:t xml:space="preserve">“</w:t>
      </w:r>
      <w:r>
        <w:t xml:space="preserve">How people negotiate their way through museums and galleries can have considerable implications for how they relate to and interpret exhibition content</w:t>
      </w:r>
      <w:r>
        <w:t xml:space="preserve">”</w:t>
      </w:r>
      <w:r>
        <w:rPr>
          <w:rStyle w:val="FootnoteReference"/>
        </w:rPr>
        <w:footnoteReference w:id="128"/>
      </w:r>
      <w:r>
        <w:t xml:space="preserve">. A curatorial decision about the route (a strict sequence of halls or, on the contrary, free navigation) is not a technical choice. It is a choice about what type of perception of political memory is offered to the visitor. Different styles of movement — from following a set route to free switching between objects — depend on the design of the exhibition</w:t>
      </w:r>
      <w:r>
        <w:rPr>
          <w:rStyle w:val="FootnoteReference"/>
        </w:rPr>
        <w:footnoteReference w:id="129"/>
      </w:r>
      <w:r>
        <w:t xml:space="preserve">. Curators can program a certain style of movement, and this affects how the narrative about the past is assimilated.</w:t>
      </w:r>
    </w:p>
    <w:p>
      <w:pPr>
        <w:pStyle w:val="BodyText"/>
      </w:pPr>
      <w:r>
        <w:t xml:space="preserve">In the area of media, physical objects attract more attention from visitors than texts:</w:t>
      </w:r>
      <w:r>
        <w:t xml:space="preserve"> </w:t>
      </w:r>
      <w:r>
        <w:t xml:space="preserve">“</w:t>
      </w:r>
      <w:r>
        <w:t xml:space="preserve">visitors tend to be very attentive to objects, and only occasionally attentive to labels</w:t>
      </w:r>
      <w:r>
        <w:t xml:space="preserve">”</w:t>
      </w:r>
      <w:r>
        <w:rPr>
          <w:rStyle w:val="FootnoteReference"/>
        </w:rPr>
        <w:footnoteReference w:id="130"/>
      </w:r>
      <w:r>
        <w:t xml:space="preserve">. For an exhibition on genocide this means that photographs, recordings and documents become the main instrument of political memory production. The curatorial decision about which objects to show and how to arrange them determines what exactly the visitor will remember. Macdonald’s three-part framework is important for this research because it provides the link between technological choice and bodily experience. Manovich explains how the digital interface programmes perception at the code level. Macdonald shows how the physical space, the choice of media and social interaction do the same at the level of visitor behaviour. For the analysis of</w:t>
      </w:r>
      <w:r>
        <w:t xml:space="preserve"> </w:t>
      </w:r>
      <w:r>
        <w:t xml:space="preserve">“</w:t>
      </w:r>
      <w:r>
        <w:t xml:space="preserve">No to Genocide!</w:t>
      </w:r>
      <w:r>
        <w:t xml:space="preserve">”</w:t>
      </w:r>
      <w:r>
        <w:t xml:space="preserve"> </w:t>
      </w:r>
      <w:r>
        <w:t xml:space="preserve">this means that one has to look at the technological, spatial and social levels at the same time. The MDA protocol described in Chapter 2 is structured precisely along these three lines: it records what is shown, how visitors are addressed by the images, and how the configuration of space directs their movement.</w:t>
      </w:r>
    </w:p>
    <w:p>
      <w:pPr>
        <w:pStyle w:val="BodyText"/>
      </w:pPr>
      <w:r>
        <w:t xml:space="preserve">The exhibition</w:t>
      </w:r>
      <w:r>
        <w:t xml:space="preserve"> </w:t>
      </w:r>
      <w:r>
        <w:t xml:space="preserve">“</w:t>
      </w:r>
      <w:r>
        <w:t xml:space="preserve">No to Genocide!</w:t>
      </w:r>
      <w:r>
        <w:t xml:space="preserve">”</w:t>
      </w:r>
      <w:r>
        <w:t xml:space="preserve"> </w:t>
      </w:r>
      <w:r>
        <w:t xml:space="preserve">belongs to the genre of the</w:t>
      </w:r>
      <w:r>
        <w:t xml:space="preserve"> </w:t>
      </w:r>
      <w:r>
        <w:rPr>
          <w:bCs/>
          <w:b/>
        </w:rPr>
        <w:t xml:space="preserve">memorial museum</w:t>
      </w:r>
      <w:r>
        <w:t xml:space="preserve">. To analyse its curatorial decisions it is necessary to understand the structural characteristics of this genre. Paul Williams’s concept of the memorial museum describes these characteristics. He distinguishes three related notions: monument, museum, and memorial museum. A monument is a sculpture or physical marker created for commemoration. A museum is an institution engaged in the acquisition, storage, study and exhibition of objects. A memorial museum is a specific genre devoted to a historical event linked to mass suffering</w:t>
      </w:r>
      <w:r>
        <w:rPr>
          <w:rStyle w:val="FootnoteReference"/>
        </w:rPr>
        <w:footnoteReference w:id="131"/>
      </w:r>
      <w:r>
        <w:t xml:space="preserve">. The very term contains an internal contradiction: the memorial implies non-evaluative mourning, while the museum requires critical interpretation and contextualisation. Williams considers this contradiction constitutive of the genre; it is reproduced in every curatorial decision. Williams’s concept of the constitutive tension of the memorial museum is important for this research because it provides the theoretical formulation of the trade-off that will be empirically reconstructed in Chapter 3. Every curatorial choice on an exhibition about genocide must balance between mourning, tragedy and interpretation</w:t>
      </w:r>
      <w:r>
        <w:rPr>
          <w:rStyle w:val="FootnoteReference"/>
        </w:rPr>
        <w:footnoteReference w:id="132"/>
      </w:r>
      <w:r>
        <w:t xml:space="preserve">, and we will trace this balance in concrete decisions about images, text, sound and route.</w:t>
      </w:r>
    </w:p>
    <w:p>
      <w:pPr>
        <w:pStyle w:val="BodyText"/>
      </w:pPr>
      <w:r>
        <w:t xml:space="preserve">The mission of the memorial museum is sharply delineated. Williams formulates it as follows:</w:t>
      </w:r>
      <w:r>
        <w:t xml:space="preserve"> </w:t>
      </w:r>
      <w:r>
        <w:t xml:space="preserve">“</w:t>
      </w:r>
      <w:r>
        <w:t xml:space="preserve">to illuminate, commemorate, and educate about a particular, bounded, and vivid historic event</w:t>
      </w:r>
      <w:r>
        <w:t xml:space="preserve">”</w:t>
      </w:r>
      <w:r>
        <w:rPr>
          <w:rStyle w:val="FootnoteReference"/>
        </w:rPr>
        <w:footnoteReference w:id="133"/>
      </w:r>
      <w:r>
        <w:t xml:space="preserve">. The limited character of this mission distinguishes the memorial museum from the large historical museum. Applied to</w:t>
      </w:r>
      <w:r>
        <w:t xml:space="preserve"> </w:t>
      </w:r>
      <w:r>
        <w:t xml:space="preserve">“</w:t>
      </w:r>
      <w:r>
        <w:t xml:space="preserve">No to Genocide!</w:t>
      </w:r>
      <w:r>
        <w:t xml:space="preserve">”</w:t>
      </w:r>
      <w:r>
        <w:t xml:space="preserve"> </w:t>
      </w:r>
      <w:r>
        <w:t xml:space="preserve">this means that the entire exposition follows the task of making the 1915 Armenian genocide intelligible, visible and morally significant. Any deviation violates the genre logic and requires the curators to provide a separate justification.</w:t>
      </w:r>
    </w:p>
    <w:p>
      <w:pPr>
        <w:pStyle w:val="BodyText"/>
      </w:pPr>
      <w:r>
        <w:t xml:space="preserve">Williams also indicates that organised violence destroys the traces of its existence. Victims are stripped of property, records are burned, people are buried in unnamed graves. From this it follows that the material for memorial museums is limited. Every surviving object carries a special evidentiary weight; it exists as tangible testimony</w:t>
      </w:r>
      <w:r>
        <w:t xml:space="preserve"> </w:t>
      </w:r>
      <w:r>
        <w:t xml:space="preserve">“</w:t>
      </w:r>
      <w:r>
        <w:t xml:space="preserve">in the face of dispute and even denial of what happened</w:t>
      </w:r>
      <w:r>
        <w:t xml:space="preserve">”</w:t>
      </w:r>
      <w:r>
        <w:rPr>
          <w:rStyle w:val="FootnoteReference"/>
        </w:rPr>
        <w:footnoteReference w:id="134"/>
      </w:r>
      <w:r>
        <w:t xml:space="preserve">. Williams’s argument about the evidentiary weight of every artefact is important for this research because it is especially relevant to the case of the Armenian genocide, which is still not recognised by many countries and is denied by Turkey. Every artefact on the exhibition also functions as a documentary refutation of this denial. This explains why curatorial decisions in such exhibitions carry a different documentary load, and the analysis will read the curators’ choice of photographs (such as Armin Wegner’s documentary plates) and original documents (Tolstoy’s letter, parliamentary resolutions) as evidentiary moves, not merely as illustrative ones.</w:t>
      </w:r>
    </w:p>
    <w:p>
      <w:pPr>
        <w:pStyle w:val="BodyText"/>
      </w:pPr>
      <w:r>
        <w:t xml:space="preserve">It is also important for this study that memorial museums turn out to be</w:t>
      </w:r>
      <w:r>
        <w:t xml:space="preserve"> </w:t>
      </w:r>
      <w:r>
        <w:t xml:space="preserve">“</w:t>
      </w:r>
      <w:r>
        <w:t xml:space="preserve">immediately politicized</w:t>
      </w:r>
      <w:r>
        <w:t xml:space="preserve">”</w:t>
      </w:r>
      <w:r>
        <w:t xml:space="preserve"> </w:t>
      </w:r>
      <w:r>
        <w:t xml:space="preserve">by the very genre. Williams writes of</w:t>
      </w:r>
      <w:r>
        <w:t xml:space="preserve"> </w:t>
      </w:r>
      <w:r>
        <w:t xml:space="preserve">“</w:t>
      </w:r>
      <w:r>
        <w:t xml:space="preserve">an uneasy coexistence of reverent commemoration and critical interpretation</w:t>
      </w:r>
      <w:r>
        <w:t xml:space="preserve">”</w:t>
      </w:r>
      <w:r>
        <w:rPr>
          <w:rStyle w:val="FootnoteReference"/>
        </w:rPr>
        <w:footnoteReference w:id="135"/>
      </w:r>
      <w:r>
        <w:t xml:space="preserve">. Among the cases where this political character becomes manifest, Williams names</w:t>
      </w:r>
      <w:r>
        <w:t xml:space="preserve"> </w:t>
      </w:r>
      <w:r>
        <w:t xml:space="preserve">“</w:t>
      </w:r>
      <w:r>
        <w:t xml:space="preserve">the diplomatic cold war between the Turks and the Armenians</w:t>
      </w:r>
      <w:r>
        <w:t xml:space="preserve">”</w:t>
      </w:r>
      <w:r>
        <w:t xml:space="preserve"> </w:t>
      </w:r>
      <w:r>
        <w:t xml:space="preserve">as an example of how museum representation of mass violence becomes a field of international conflict</w:t>
      </w:r>
      <w:r>
        <w:rPr>
          <w:rStyle w:val="FootnoteReference"/>
        </w:rPr>
        <w:footnoteReference w:id="136"/>
      </w:r>
      <w:r>
        <w:t xml:space="preserve">. This observation is directly relevant for this research because the exhibition</w:t>
      </w:r>
      <w:r>
        <w:t xml:space="preserve"> </w:t>
      </w:r>
      <w:r>
        <w:t xml:space="preserve">“</w:t>
      </w:r>
      <w:r>
        <w:t xml:space="preserve">No to Genocide!</w:t>
      </w:r>
      <w:r>
        <w:t xml:space="preserve">”</w:t>
      </w:r>
      <w:r>
        <w:t xml:space="preserve"> </w:t>
      </w:r>
      <w:r>
        <w:t xml:space="preserve">exists under conditions of an unresolved recognition conflict. Curatorial decisions in it are made with awareness of the logic of that conflict, and the analysis will treat the explicit invocation of recognition in the final section of the exhibition as a direct intervention into this ongoing international dispute.</w:t>
      </w:r>
    </w:p>
    <w:p>
      <w:pPr>
        <w:pStyle w:val="BodyText"/>
      </w:pPr>
      <w:r>
        <w:t xml:space="preserve">Finally, for the analysis of the political dimension of curatorial decisions, the concept of the memorial museum as an instrument of</w:t>
      </w:r>
      <w:r>
        <w:t xml:space="preserve"> </w:t>
      </w:r>
      <w:r>
        <w:rPr>
          <w:bCs/>
          <w:b/>
        </w:rPr>
        <w:t xml:space="preserve">legitimation</w:t>
      </w:r>
      <w:r>
        <w:t xml:space="preserve">, proposed by Amy Sodaro, is important. Sodaro considers memorial museums as institutions performing three declared functions: preserving the truth about the past, memorial recognition of victims and moral education. Behind these declared aims lies a fourth, tacit function:</w:t>
      </w:r>
      <w:r>
        <w:t xml:space="preserve"> </w:t>
      </w:r>
      <w:r>
        <w:t xml:space="preserve">“</w:t>
      </w:r>
      <w:r>
        <w:t xml:space="preserve">the legitimation of the current political regime</w:t>
      </w:r>
      <w:r>
        <w:t xml:space="preserve">”</w:t>
      </w:r>
      <w:r>
        <w:rPr>
          <w:rStyle w:val="FootnoteReference"/>
        </w:rPr>
        <w:footnoteReference w:id="137"/>
      </w:r>
      <w:r>
        <w:t xml:space="preserve">. Sodaro’s argument is fundamental for this research because it shows that any choice in an exhibition about genocide (from the selection of photographs to the organisation of the route) is a political gesture. This is the case regardless of whether the curators are aware of it. Sodaro also draws attention to how memorial museums borrow expositional tropes from each other (walls of names, video testimonies), creating a global language of mourning. This observation is important for this research because it opens a question that the empirical chapter will pursue: to what extent does</w:t>
      </w:r>
      <w:r>
        <w:t xml:space="preserve"> </w:t>
      </w:r>
      <w:r>
        <w:t xml:space="preserve">“</w:t>
      </w:r>
      <w:r>
        <w:t xml:space="preserve">No to Genocide!</w:t>
      </w:r>
      <w:r>
        <w:t xml:space="preserve">”</w:t>
      </w:r>
      <w:r>
        <w:t xml:space="preserve"> </w:t>
      </w:r>
      <w:r>
        <w:t xml:space="preserve">reproduce this global language, and to what extent does it develop its own — for instance, in the symbols of the forget-me-not and the thorn crown that have a specifically Armenian provenance? The answer to this question goes beyond the first chapter and requires the empirical material.</w:t>
      </w:r>
    </w:p>
    <w:p>
      <w:pPr>
        <w:pStyle w:val="BodyText"/>
      </w:pPr>
      <w:r>
        <w:t xml:space="preserve">Curatorial decisions in a multimedia exhibition about genocide function on several levels. At the level of authorship, they construct a particular version of the past. At the level of media technologies, they programme the way this version is perceived by the visitor. At the level of space and sociality, they organise physical movement and joint interaction. At the level of memory politics, they legitimise or contest particular interpretations of historical events. This multi-level understanding of curatorship constitutes the analytical toolkit for the third chapter, where it will be applied in the analysis of</w:t>
      </w:r>
      <w:r>
        <w:t xml:space="preserve"> </w:t>
      </w:r>
      <w:r>
        <w:t xml:space="preserve">“</w:t>
      </w:r>
      <w:r>
        <w:t xml:space="preserve">No to Genocide!</w:t>
      </w:r>
      <w:r>
        <w:t xml:space="preserve">”</w:t>
      </w:r>
      <w:r>
        <w:t xml:space="preserve">.</w:t>
      </w:r>
    </w:p>
    <w:bookmarkEnd w:id="138"/>
    <w:bookmarkEnd w:id="139"/>
    <w:bookmarkStart w:id="163" w:name="X1adbf05b4baf4ef457a4379962fb0c82f86c3e9"/>
    <w:p>
      <w:pPr>
        <w:pStyle w:val="Heading1"/>
      </w:pPr>
      <w:r>
        <w:t xml:space="preserve">CHAPTER 2. RESEARCH DESIGN, CASE, AND METHODS</w:t>
      </w:r>
    </w:p>
    <w:bookmarkStart w:id="151" w:name="X7445a741afc2b5f75d8a07f86a8cafe9de3e112"/>
    <w:p>
      <w:pPr>
        <w:pStyle w:val="Heading2"/>
      </w:pPr>
      <w:r>
        <w:t xml:space="preserve">2.1 Justification of the Research Design: Case Study</w:t>
      </w:r>
    </w:p>
    <w:p>
      <w:pPr>
        <w:pStyle w:val="FirstParagraph"/>
      </w:pPr>
      <w:r>
        <w:t xml:space="preserve">The empirical investigation is built on the methodology of the case study. The choice of this method is determined by the type of the research question and by the specificity of the object under analysis. The main research question is:</w:t>
      </w:r>
      <w:r>
        <w:t xml:space="preserve"> </w:t>
      </w:r>
      <w:r>
        <w:t xml:space="preserve">“</w:t>
      </w:r>
      <w:r>
        <w:t xml:space="preserve">what curatorial decisions shape the mediatization of genocide as political memory in multimedia exhibitions?</w:t>
      </w:r>
      <w:r>
        <w:t xml:space="preserve">”</w:t>
      </w:r>
      <w:r>
        <w:t xml:space="preserve">. The case study method is most appropriate when the research question is formulated in the form of</w:t>
      </w:r>
      <w:r>
        <w:t xml:space="preserve"> </w:t>
      </w:r>
      <w:r>
        <w:t xml:space="preserve">“</w:t>
      </w:r>
      <w:r>
        <w:t xml:space="preserve">how?</w:t>
      </w:r>
      <w:r>
        <w:t xml:space="preserve">”</w:t>
      </w:r>
      <w:r>
        <w:t xml:space="preserve"> </w:t>
      </w:r>
      <w:r>
        <w:t xml:space="preserve">or</w:t>
      </w:r>
      <w:r>
        <w:t xml:space="preserve"> </w:t>
      </w:r>
      <w:r>
        <w:t xml:space="preserve">“</w:t>
      </w:r>
      <w:r>
        <w:t xml:space="preserve">why?</w:t>
      </w:r>
      <w:r>
        <w:t xml:space="preserve">”</w:t>
      </w:r>
      <w:r>
        <w:t xml:space="preserve">.</w:t>
      </w:r>
    </w:p>
    <w:p>
      <w:pPr>
        <w:pStyle w:val="BodyText"/>
      </w:pPr>
      <w:r>
        <w:t xml:space="preserve">It is precisely these forms of the question that define the area of application of the case study:</w:t>
      </w:r>
      <w:r>
        <w:t xml:space="preserve"> </w:t>
      </w:r>
      <w:r>
        <w:t xml:space="preserve">“</w:t>
      </w:r>
      <w:r>
        <w:t xml:space="preserve">a case study is an empirical inquiry that investigates a contemporary phenomenon within its real-life context, especially when the boundaries between phenomenon and context are not clearly evident</w:t>
      </w:r>
      <w:r>
        <w:t xml:space="preserve">”</w:t>
      </w:r>
      <w:r>
        <w:rPr>
          <w:rStyle w:val="FootnoteReference"/>
        </w:rPr>
        <w:footnoteReference w:id="140"/>
      </w:r>
      <w:r>
        <w:t xml:space="preserve">. The exhibition as an object of analysis does not exist apart from the space in which it is located, from the institution that hosts it, and from its audience. Curatorial decisions produce political memory in a concrete institutional and spatial environment. The researcher does not control how the exhibition is organised but observes it in the form in which it already functions. The multimedia exposition itself, as a form of production of political memory, exists in the present. All three conditions under which a case study is the preferred strategy are met here:</w:t>
      </w:r>
      <w:r>
        <w:t xml:space="preserve"> </w:t>
      </w:r>
      <w:r>
        <w:t xml:space="preserve">“</w:t>
      </w:r>
      <w:r>
        <w:t xml:space="preserve">case studies are the preferred strategy when</w:t>
      </w:r>
      <w:r>
        <w:t xml:space="preserve"> </w:t>
      </w:r>
      <w:r>
        <w:t xml:space="preserve">‘</w:t>
      </w:r>
      <w:r>
        <w:t xml:space="preserve">how</w:t>
      </w:r>
      <w:r>
        <w:t xml:space="preserve">’</w:t>
      </w:r>
      <w:r>
        <w:t xml:space="preserve"> </w:t>
      </w:r>
      <w:r>
        <w:t xml:space="preserve">or</w:t>
      </w:r>
      <w:r>
        <w:t xml:space="preserve"> </w:t>
      </w:r>
      <w:r>
        <w:t xml:space="preserve">‘</w:t>
      </w:r>
      <w:r>
        <w:t xml:space="preserve">why</w:t>
      </w:r>
      <w:r>
        <w:t xml:space="preserve">’</w:t>
      </w:r>
      <w:r>
        <w:t xml:space="preserve"> </w:t>
      </w:r>
      <w:r>
        <w:t xml:space="preserve">questions are being posed, when the investigator has little control over events, and when the focus is on a contemporary phenomenon within some real-life context</w:t>
      </w:r>
      <w:r>
        <w:t xml:space="preserve">”</w:t>
      </w:r>
      <w:r>
        <w:rPr>
          <w:rStyle w:val="FootnoteReference"/>
        </w:rPr>
        <w:footnoteReference w:id="141"/>
      </w:r>
      <w:r>
        <w:t xml:space="preserve">.</w:t>
      </w:r>
    </w:p>
    <w:p>
      <w:pPr>
        <w:pStyle w:val="BodyText"/>
      </w:pPr>
      <w:r>
        <w:t xml:space="preserve">Alongside this, it is important to distinguish for what purpose a particular case is studied. A project may be investigated because the researcher is interested in a particular case as such. However, if the researcher studies a concrete case in order to answer a more general question, this is an instrumental case study:</w:t>
      </w:r>
      <w:r>
        <w:t xml:space="preserve"> </w:t>
      </w:r>
      <w:r>
        <w:t xml:space="preserve">“</w:t>
      </w:r>
      <w:r>
        <w:t xml:space="preserve">we will have a research question, a puzzlement, a need for general understanding, and feel that we may get insight into the question by studying a particular case</w:t>
      </w:r>
      <w:r>
        <w:t xml:space="preserve">”</w:t>
      </w:r>
      <w:r>
        <w:rPr>
          <w:rStyle w:val="FootnoteReference"/>
        </w:rPr>
        <w:footnoteReference w:id="142"/>
      </w:r>
      <w:r>
        <w:t xml:space="preserve">. The case here serves to understand something beyond itself:</w:t>
      </w:r>
      <w:r>
        <w:t xml:space="preserve"> </w:t>
      </w:r>
      <w:r>
        <w:t xml:space="preserve">“</w:t>
      </w:r>
      <w:r>
        <w:t xml:space="preserve">This use of case study is to understand something else. Case study here is instrumental to accomplishing something other than understanding this particular teacher</w:t>
      </w:r>
      <w:r>
        <w:t xml:space="preserve">”</w:t>
      </w:r>
      <w:r>
        <w:rPr>
          <w:rStyle w:val="FootnoteReference"/>
        </w:rPr>
        <w:footnoteReference w:id="143"/>
      </w:r>
      <w:r>
        <w:t xml:space="preserve">.</w:t>
      </w:r>
    </w:p>
    <w:p>
      <w:pPr>
        <w:pStyle w:val="BodyText"/>
      </w:pPr>
      <w:r>
        <w:t xml:space="preserve">The present study follows precisely this principle. The exhibition</w:t>
      </w:r>
      <w:r>
        <w:t xml:space="preserve"> </w:t>
      </w:r>
      <w:r>
        <w:t xml:space="preserve">“</w:t>
      </w:r>
      <w:r>
        <w:t xml:space="preserve">No to Genocide!</w:t>
      </w:r>
      <w:r>
        <w:t xml:space="preserve">”</w:t>
      </w:r>
      <w:r>
        <w:t xml:space="preserve"> </w:t>
      </w:r>
      <w:r>
        <w:t xml:space="preserve">is studied as a case through which a broader question —</w:t>
      </w:r>
      <w:r>
        <w:t xml:space="preserve"> </w:t>
      </w:r>
      <w:r>
        <w:t xml:space="preserve">“</w:t>
      </w:r>
      <w:r>
        <w:t xml:space="preserve">how do multimedia exhibitions construct political memory?</w:t>
      </w:r>
      <w:r>
        <w:t xml:space="preserve">”</w:t>
      </w:r>
      <w:r>
        <w:t xml:space="preserve"> </w:t>
      </w:r>
      <w:r>
        <w:t xml:space="preserve">— can be answered. The exhibition functions as an instrument for understanding the mechanisms of mediatization.</w:t>
      </w:r>
    </w:p>
    <w:p>
      <w:pPr>
        <w:pStyle w:val="BodyText"/>
      </w:pPr>
      <w:r>
        <w:t xml:space="preserve">The instrumental character of the research does not mean that any case would fit. The exhibition</w:t>
      </w:r>
      <w:r>
        <w:t xml:space="preserve"> </w:t>
      </w:r>
      <w:r>
        <w:t xml:space="preserve">“</w:t>
      </w:r>
      <w:r>
        <w:t xml:space="preserve">No to Genocide!</w:t>
      </w:r>
      <w:r>
        <w:t xml:space="preserve">”</w:t>
      </w:r>
      <w:r>
        <w:t xml:space="preserve"> </w:t>
      </w:r>
      <w:r>
        <w:t xml:space="preserve">is a non-standard case. The Armenian genocide is a topic that is the subject of political disagreement, and the exhibition was created in the format of an exposition within the context of Russian–Armenian relations. It is precisely thanks to such unusual cases that one can see what is hidden in standard situations:</w:t>
      </w:r>
      <w:r>
        <w:t xml:space="preserve"> </w:t>
      </w:r>
      <w:r>
        <w:t xml:space="preserve">“</w:t>
      </w:r>
      <w:r>
        <w:t xml:space="preserve">sometimes an</w:t>
      </w:r>
      <w:r>
        <w:t xml:space="preserve"> </w:t>
      </w:r>
      <w:r>
        <w:t xml:space="preserve">‘</w:t>
      </w:r>
      <w:r>
        <w:t xml:space="preserve">unusual</w:t>
      </w:r>
      <w:r>
        <w:t xml:space="preserve">’</w:t>
      </w:r>
      <w:r>
        <w:t xml:space="preserve"> </w:t>
      </w:r>
      <w:r>
        <w:t xml:space="preserve">case helps illustrate matters we overlook in typical cases</w:t>
      </w:r>
      <w:r>
        <w:t xml:space="preserve">”</w:t>
      </w:r>
      <w:r>
        <w:rPr>
          <w:rStyle w:val="FootnoteReference"/>
        </w:rPr>
        <w:footnoteReference w:id="144"/>
      </w:r>
      <w:r>
        <w:t xml:space="preserve">. Through this exposition it is clearly visible how the mechanism of the mediatization of political memory functions: the transposition of archival materials into an exhibition format, the way media technologies participate in the production of memory, and the way spatial design directs the visitor’s interpretation. Moreover, atypical cases reveal the mechanisms under investigation better than typical ones, because more actors are involved in them:</w:t>
      </w:r>
      <w:r>
        <w:t xml:space="preserve"> </w:t>
      </w:r>
      <w:r>
        <w:t xml:space="preserve">“</w:t>
      </w:r>
      <w:r>
        <w:t xml:space="preserve">atypical or extreme cases often reveal more information because they activate more actors and more basic mechanisms in the situation studied</w:t>
      </w:r>
      <w:r>
        <w:t xml:space="preserve">”</w:t>
      </w:r>
      <w:r>
        <w:rPr>
          <w:rStyle w:val="FootnoteReference"/>
        </w:rPr>
        <w:footnoteReference w:id="145"/>
      </w:r>
      <w:r>
        <w:t xml:space="preserve">. Such a case is called a critical case: it manifests the mechanism under investigation with particular clarity and therefore possesses maximum analytical value. Its logic is built on the possibility of drawing inferences of the type</w:t>
      </w:r>
      <w:r>
        <w:t xml:space="preserve"> </w:t>
      </w:r>
      <w:r>
        <w:t xml:space="preserve">“</w:t>
      </w:r>
      <w:r>
        <w:t xml:space="preserve">if this is valid for this case, then it applies to many</w:t>
      </w:r>
      <w:r>
        <w:t xml:space="preserve">”</w:t>
      </w:r>
      <w:r>
        <w:t xml:space="preserve">:</w:t>
      </w:r>
      <w:r>
        <w:t xml:space="preserve"> </w:t>
      </w:r>
      <w:r>
        <w:t xml:space="preserve">“</w:t>
      </w:r>
      <w:r>
        <w:t xml:space="preserve">to achieve information that permits logical deductions of the type,</w:t>
      </w:r>
      <w:r>
        <w:t xml:space="preserve"> </w:t>
      </w:r>
      <w:r>
        <w:t xml:space="preserve">‘</w:t>
      </w:r>
      <w:r>
        <w:t xml:space="preserve">If this is (not) valid for this case, then it applies to all (no) cases</w:t>
      </w:r>
      <w:r>
        <w:t xml:space="preserve">’</w:t>
      </w:r>
      <w:r>
        <w:t xml:space="preserve">”</w:t>
      </w:r>
      <w:r>
        <w:rPr>
          <w:rStyle w:val="FootnoteReference"/>
        </w:rPr>
        <w:footnoteReference w:id="146"/>
      </w:r>
      <w:r>
        <w:t xml:space="preserve">. Two types of cases serve as orientation points in the search for a critical case: the most and the least likely for the propositions being tested:</w:t>
      </w:r>
      <w:r>
        <w:t xml:space="preserve"> </w:t>
      </w:r>
      <w:r>
        <w:t xml:space="preserve">“</w:t>
      </w:r>
      <w:r>
        <w:t xml:space="preserve">when looking for critical cases, it is a good idea to look for either</w:t>
      </w:r>
      <w:r>
        <w:t xml:space="preserve"> </w:t>
      </w:r>
      <w:r>
        <w:t xml:space="preserve">‘</w:t>
      </w:r>
      <w:r>
        <w:t xml:space="preserve">most likely</w:t>
      </w:r>
      <w:r>
        <w:t xml:space="preserve">’</w:t>
      </w:r>
      <w:r>
        <w:t xml:space="preserve"> </w:t>
      </w:r>
      <w:r>
        <w:t xml:space="preserve">or</w:t>
      </w:r>
      <w:r>
        <w:t xml:space="preserve"> </w:t>
      </w:r>
      <w:r>
        <w:t xml:space="preserve">‘</w:t>
      </w:r>
      <w:r>
        <w:t xml:space="preserve">least likely</w:t>
      </w:r>
      <w:r>
        <w:t xml:space="preserve">’</w:t>
      </w:r>
      <w:r>
        <w:t xml:space="preserve"> </w:t>
      </w:r>
      <w:r>
        <w:t xml:space="preserve">cases, that is, cases likely to either clearly confirm or irrefutably falsify propositions and hypotheses</w:t>
      </w:r>
      <w:r>
        <w:t xml:space="preserve">”</w:t>
      </w:r>
      <w:r>
        <w:rPr>
          <w:rStyle w:val="FootnoteReference"/>
        </w:rPr>
        <w:footnoteReference w:id="147"/>
      </w:r>
      <w:r>
        <w:t xml:space="preserve">.</w:t>
      </w:r>
    </w:p>
    <w:p>
      <w:pPr>
        <w:pStyle w:val="BodyText"/>
      </w:pPr>
      <w:r>
        <w:t xml:space="preserve">The multimedia exposition</w:t>
      </w:r>
      <w:r>
        <w:t xml:space="preserve"> </w:t>
      </w:r>
      <w:r>
        <w:t xml:space="preserve">“</w:t>
      </w:r>
      <w:r>
        <w:t xml:space="preserve">No to Genocide!</w:t>
      </w:r>
      <w:r>
        <w:t xml:space="preserve">”</w:t>
      </w:r>
      <w:r>
        <w:t xml:space="preserve"> </w:t>
      </w:r>
      <w:r>
        <w:t xml:space="preserve">satisfies this criterion. The platform on which it took place — the museum</w:t>
      </w:r>
      <w:r>
        <w:t xml:space="preserve"> </w:t>
      </w:r>
      <w:r>
        <w:t xml:space="preserve">“</w:t>
      </w:r>
      <w:r>
        <w:t xml:space="preserve">Russia — My History</w:t>
      </w:r>
      <w:r>
        <w:t xml:space="preserve">”</w:t>
      </w:r>
      <w:r>
        <w:t xml:space="preserve"> </w:t>
      </w:r>
      <w:r>
        <w:t xml:space="preserve">— is a state-funded infrastructure of historical memory with centralised content and a specific ideological function. The exhibition about the Armenian genocide, created by a diaspora organisation jointly with the Armenian Genocide Museum-Institute in Yerevan, existed inside this infrastructure while carrying its own narrative and memorial charge. It is precisely this combination of circumstances that makes the case critical: the mechanism of the mediatization of political memory is engaged here under conditions of institutional tension that force it to operate with maximum clarity. If curatorial decisions reveal their logic in this context, they will reveal themselves in any comparable case.</w:t>
      </w:r>
    </w:p>
    <w:p>
      <w:pPr>
        <w:pStyle w:val="BodyText"/>
      </w:pPr>
      <w:r>
        <w:t xml:space="preserve">The case study is built on analytical generalisation, and therefore statistical representativeness is not the goal:</w:t>
      </w:r>
      <w:r>
        <w:t xml:space="preserve"> </w:t>
      </w:r>
      <w:r>
        <w:t xml:space="preserve">“</w:t>
      </w:r>
      <w:r>
        <w:t xml:space="preserve">case studies, like experiments, are generalizable to theoretical propositions and not to populations or universes. In this sense, the case study, like the experiment, does not represent a</w:t>
      </w:r>
      <w:r>
        <w:t xml:space="preserve"> </w:t>
      </w:r>
      <w:r>
        <w:t xml:space="preserve">‘</w:t>
      </w:r>
      <w:r>
        <w:t xml:space="preserve">sample</w:t>
      </w:r>
      <w:r>
        <w:t xml:space="preserve">’</w:t>
      </w:r>
      <w:r>
        <w:t xml:space="preserve">”</w:t>
      </w:r>
      <w:r>
        <w:rPr>
          <w:rStyle w:val="FootnoteReference"/>
        </w:rPr>
        <w:footnoteReference w:id="148"/>
      </w:r>
      <w:r>
        <w:t xml:space="preserve">. Formal generalisation, moreover, is overrated as a source of scientific progress:</w:t>
      </w:r>
      <w:r>
        <w:t xml:space="preserve"> </w:t>
      </w:r>
      <w:r>
        <w:t xml:space="preserve">“</w:t>
      </w:r>
      <w:r>
        <w:t xml:space="preserve">formal generalization is overvalued as a source of scientific development, whereas</w:t>
      </w:r>
      <w:r>
        <w:t xml:space="preserve"> </w:t>
      </w:r>
      <w:r>
        <w:t xml:space="preserve">‘</w:t>
      </w:r>
      <w:r>
        <w:t xml:space="preserve">the force of example</w:t>
      </w:r>
      <w:r>
        <w:t xml:space="preserve">’</w:t>
      </w:r>
      <w:r>
        <w:t xml:space="preserve"> </w:t>
      </w:r>
      <w:r>
        <w:t xml:space="preserve">is underestimated</w:t>
      </w:r>
      <w:r>
        <w:t xml:space="preserve">”</w:t>
      </w:r>
      <w:r>
        <w:rPr>
          <w:rStyle w:val="FootnoteReference"/>
        </w:rPr>
        <w:footnoteReference w:id="149"/>
      </w:r>
      <w:r>
        <w:t xml:space="preserve">. The results of the present study concern how mediatization works in exhibitionary production of political memory. There is no task here of covering all multimedia expositions and exhibitions.</w:t>
      </w:r>
    </w:p>
    <w:p>
      <w:pPr>
        <w:pStyle w:val="BodyText"/>
      </w:pPr>
      <w:r>
        <w:t xml:space="preserve">The research is based on a single case — a single-case design. Such a choice is justified when the case represents a rare or previously inaccessible phenomenon for observation</w:t>
      </w:r>
      <w:r>
        <w:rPr>
          <w:rStyle w:val="FootnoteReference"/>
        </w:rPr>
        <w:footnoteReference w:id="150"/>
      </w:r>
      <w:r>
        <w:t xml:space="preserve">. The exposition</w:t>
      </w:r>
      <w:r>
        <w:t xml:space="preserve"> </w:t>
      </w:r>
      <w:r>
        <w:t xml:space="preserve">“</w:t>
      </w:r>
      <w:r>
        <w:t xml:space="preserve">No to Genocide!</w:t>
      </w:r>
      <w:r>
        <w:t xml:space="preserve">”</w:t>
      </w:r>
      <w:r>
        <w:t xml:space="preserve"> </w:t>
      </w:r>
      <w:r>
        <w:t xml:space="preserve">is a rare example of a multimedia memorial exhibition about the Armenian genocide in the Russian context. A single case is also justified when it is critical in the sense described above: it allows theoretically significant propositions to be tested. It is precisely this testing function that constitutes its scientific value — representativeness is secondary here. Access to the exhibition and to its curators made it possible to conduct structured observation and an interview. This made the case both analytically valuable and practically feasible.</w:t>
      </w:r>
    </w:p>
    <w:bookmarkEnd w:id="151"/>
    <w:bookmarkStart w:id="152" w:name="Xca055b9b787e820ef698902a5065c6ccfab807e"/>
    <w:p>
      <w:pPr>
        <w:pStyle w:val="Heading2"/>
      </w:pPr>
      <w:r>
        <w:t xml:space="preserve">2.2 The Exhibition</w:t>
      </w:r>
      <w:r>
        <w:t xml:space="preserve"> </w:t>
      </w:r>
      <w:r>
        <w:t xml:space="preserve">“</w:t>
      </w:r>
      <w:r>
        <w:t xml:space="preserve">No to Genocide!</w:t>
      </w:r>
      <w:r>
        <w:t xml:space="preserve">”</w:t>
      </w:r>
      <w:r>
        <w:t xml:space="preserve">: Institutional Context and Spatial-Technological Organisation</w:t>
      </w:r>
    </w:p>
    <w:p>
      <w:pPr>
        <w:pStyle w:val="FirstParagraph"/>
      </w:pPr>
      <w:r>
        <w:t xml:space="preserve">The multimedia exposition</w:t>
      </w:r>
      <w:r>
        <w:t xml:space="preserve"> </w:t>
      </w:r>
      <w:r>
        <w:t xml:space="preserve">“</w:t>
      </w:r>
      <w:r>
        <w:t xml:space="preserve">No to Genocide!</w:t>
      </w:r>
      <w:r>
        <w:t xml:space="preserve">”</w:t>
      </w:r>
      <w:r>
        <w:t xml:space="preserve"> </w:t>
      </w:r>
      <w:r>
        <w:t xml:space="preserve">opened in 2021 in Rostov-on-Don. Three organisations were involved in its creation: the Don Union of Armenian Youth (DUAY), the Nakhichevan-on-Don Armenian community, and the Armenian Genocide Museum-Institute in Yerevan; the venue was the museum</w:t>
      </w:r>
      <w:r>
        <w:t xml:space="preserve"> </w:t>
      </w:r>
      <w:r>
        <w:t xml:space="preserve">“</w:t>
      </w:r>
      <w:r>
        <w:t xml:space="preserve">Russia — My History</w:t>
      </w:r>
      <w:r>
        <w:t xml:space="preserve">”</w:t>
      </w:r>
      <w:r>
        <w:t xml:space="preserve">. It is notable that the creation of the exhibition arose from the initiative of diaspora communities, and not from state structures from above. This is an important nuance, as it determines the position of the exhibition: it openly takes the side of the Armenian people.</w:t>
      </w:r>
    </w:p>
    <w:p>
      <w:pPr>
        <w:pStyle w:val="BodyText"/>
      </w:pPr>
      <w:r>
        <w:t xml:space="preserve">The venue of the exposition — the historical park</w:t>
      </w:r>
      <w:r>
        <w:t xml:space="preserve"> </w:t>
      </w:r>
      <w:r>
        <w:t xml:space="preserve">“</w:t>
      </w:r>
      <w:r>
        <w:t xml:space="preserve">Russia — My History</w:t>
      </w:r>
      <w:r>
        <w:t xml:space="preserve">”</w:t>
      </w:r>
      <w:r>
        <w:t xml:space="preserve"> </w:t>
      </w:r>
      <w:r>
        <w:t xml:space="preserve">— is a federal network of multimedia parks that covers dozens of Russian cities. The concept of these complexes is that the main instrument of presenting the material is multimedia technologies. In this sense, such a format is technologically ideal for the creation of the exposition</w:t>
      </w:r>
      <w:r>
        <w:t xml:space="preserve"> </w:t>
      </w:r>
      <w:r>
        <w:t xml:space="preserve">“</w:t>
      </w:r>
      <w:r>
        <w:t xml:space="preserve">No to Genocide!</w:t>
      </w:r>
      <w:r>
        <w:t xml:space="preserve">”</w:t>
      </w:r>
      <w:r>
        <w:t xml:space="preserve">. Placing an exhibition about the Armenian genocide precisely in this institution is itself a curatorial decision. It situates the memory of the genocide of the Armenian people within the frame of the Russian historical narrative and sets its reading through the prism of Russian–Armenian solidarity.</w:t>
      </w:r>
    </w:p>
    <w:p>
      <w:pPr>
        <w:pStyle w:val="BodyText"/>
      </w:pPr>
      <w:r>
        <w:t xml:space="preserve">Every year, from 2021 to 2024, the exposition was held in Rostov-on-Don, in open access for all visitors, during the period of the date of remembrance of the Armenian genocide. The organisers, however, did not stop there and launched the process of scaling the project up in other cities: in Saint Petersburg, Nizhny Novgorod, and Yekaterinburg, on the basis of the museum</w:t>
      </w:r>
      <w:r>
        <w:t xml:space="preserve"> </w:t>
      </w:r>
      <w:r>
        <w:t xml:space="preserve">“</w:t>
      </w:r>
      <w:r>
        <w:t xml:space="preserve">Russia — My History</w:t>
      </w:r>
      <w:r>
        <w:t xml:space="preserve">”</w:t>
      </w:r>
      <w:r>
        <w:t xml:space="preserve">. This geography covers several major Russian cities where the activity of Armenian communities is deeply developed. It indicates the project’s orientation simultaneously towards an Armenian audience and towards the Russian audience as a whole.</w:t>
      </w:r>
    </w:p>
    <w:p>
      <w:pPr>
        <w:pStyle w:val="BodyText"/>
      </w:pPr>
      <w:r>
        <w:t xml:space="preserve">According to the organisers, the history of the Armenian people is under threat, and the reputation of Armenians continues to be undermined by the Turkish–Azerbaijani alliance. They believe it is necessary to resist hostile propaganda, to promote Armenian interests and to defend historical truth. The curators expected the following effect on the visitor:</w:t>
      </w:r>
      <w:r>
        <w:t xml:space="preserve"> </w:t>
      </w:r>
      <w:r>
        <w:t xml:space="preserve">“</w:t>
      </w:r>
      <w:r>
        <w:t xml:space="preserve">the exposition is aimed at the rising of your souls and hearts</w:t>
      </w:r>
      <w:r>
        <w:t xml:space="preserve">”</w:t>
      </w:r>
      <w:r>
        <w:t xml:space="preserve"> </w:t>
      </w:r>
      <w:r>
        <w:t xml:space="preserve">— behind this slogan lies the desire of the organisers and curators to evoke in people the will to struggle and to work for the future of the Armenian people. The exhibition has several functions at once: it fixes the past, while addressing the present and calling for action. It is also characterised as</w:t>
      </w:r>
      <w:r>
        <w:t xml:space="preserve"> </w:t>
      </w:r>
      <w:r>
        <w:t xml:space="preserve">“</w:t>
      </w:r>
      <w:r>
        <w:t xml:space="preserve">a unique opportunity to bring the Armenian question to the attention of the entire country</w:t>
      </w:r>
      <w:r>
        <w:t xml:space="preserve">”</w:t>
      </w:r>
      <w:r>
        <w:t xml:space="preserve">.</w:t>
      </w:r>
    </w:p>
    <w:p>
      <w:pPr>
        <w:pStyle w:val="BodyText"/>
      </w:pPr>
      <w:r>
        <w:t xml:space="preserve">The curators and organisers built a linear route along which the visitor moves: forward along the walls, with no provision for free movement. Along the way are four consecutive halls, with no branches or additional halls.</w:t>
      </w:r>
    </w:p>
    <w:p>
      <w:pPr>
        <w:pStyle w:val="BodyText"/>
      </w:pPr>
      <w:r>
        <w:t xml:space="preserve">Lighting in the space is minimised. The only sources of light in the room are the spotlights illuminating the banners. The contrast between the completely dark space and the bright screens creates a particular effect by which the visitor finds themselves in a space where there is nothing other than the content of the exposition. As sound accompaniment, continuous background music plays on the territory of the exposition — melodies by composers dedicated to the Armenian genocide in the Ottoman Empire.</w:t>
      </w:r>
    </w:p>
    <w:p>
      <w:pPr>
        <w:pStyle w:val="BodyText"/>
      </w:pPr>
      <w:r>
        <w:t xml:space="preserve">At the entrance to the exposition the visitor sees two LED screens that display the visual symbolism. The first screen contains the symbolism of the exhibition: on a black background two elements are depicted. The</w:t>
      </w:r>
      <w:r>
        <w:t xml:space="preserve"> </w:t>
      </w:r>
      <w:r>
        <w:t xml:space="preserve">“</w:t>
      </w:r>
      <w:r>
        <w:t xml:space="preserve">wings</w:t>
      </w:r>
      <w:r>
        <w:t xml:space="preserve">”</w:t>
      </w:r>
      <w:r>
        <w:t xml:space="preserve"> </w:t>
      </w:r>
      <w:r>
        <w:t xml:space="preserve">stand for</w:t>
      </w:r>
      <w:r>
        <w:t xml:space="preserve"> </w:t>
      </w:r>
      <w:r>
        <w:t xml:space="preserve">“</w:t>
      </w:r>
      <w:r>
        <w:t xml:space="preserve">emancipation, freedom, recognition of the genocide</w:t>
      </w:r>
      <w:r>
        <w:t xml:space="preserve">”</w:t>
      </w:r>
      <w:r>
        <w:t xml:space="preserve">, and the</w:t>
      </w:r>
      <w:r>
        <w:t xml:space="preserve"> </w:t>
      </w:r>
      <w:r>
        <w:t xml:space="preserve">“</w:t>
      </w:r>
      <w:r>
        <w:t xml:space="preserve">thorn crown</w:t>
      </w:r>
      <w:r>
        <w:t xml:space="preserve">”</w:t>
      </w:r>
      <w:r>
        <w:t xml:space="preserve"> </w:t>
      </w:r>
      <w:r>
        <w:t xml:space="preserve">for</w:t>
      </w:r>
      <w:r>
        <w:t xml:space="preserve"> </w:t>
      </w:r>
      <w:r>
        <w:t xml:space="preserve">“</w:t>
      </w:r>
      <w:r>
        <w:t xml:space="preserve">martyrdom, mass exterminations</w:t>
      </w:r>
      <w:r>
        <w:t xml:space="preserve">”</w:t>
      </w:r>
      <w:r>
        <w:t xml:space="preserve"> </w:t>
      </w:r>
      <w:r>
        <w:t xml:space="preserve">— as the curators of the exhibition themselves describe it. This screen performs the function of a semiotic instruction: the visitor is taught to read the visual language of the exhibition before they begin to view it. The next screen,</w:t>
      </w:r>
      <w:r>
        <w:t xml:space="preserve"> </w:t>
      </w:r>
      <w:r>
        <w:t xml:space="preserve">“</w:t>
      </w:r>
      <w:r>
        <w:t xml:space="preserve">Contents</w:t>
      </w:r>
      <w:r>
        <w:t xml:space="preserve">”</w:t>
      </w:r>
      <w:r>
        <w:t xml:space="preserve">, presents a numbered list of the 11 thematic blocks shown on the LED screens, from</w:t>
      </w:r>
      <w:r>
        <w:t xml:space="preserve"> </w:t>
      </w:r>
      <w:r>
        <w:t xml:space="preserve">“</w:t>
      </w:r>
      <w:r>
        <w:t xml:space="preserve">The Russo-Turkish War of 1877–1878</w:t>
      </w:r>
      <w:r>
        <w:t xml:space="preserve">”</w:t>
      </w:r>
      <w:r>
        <w:t xml:space="preserve"> </w:t>
      </w:r>
      <w:r>
        <w:t xml:space="preserve">to</w:t>
      </w:r>
      <w:r>
        <w:t xml:space="preserve"> </w:t>
      </w:r>
      <w:r>
        <w:t xml:space="preserve">“</w:t>
      </w:r>
      <w:r>
        <w:t xml:space="preserve">Russia and the World Recognise and Condemn the Armenian Genocide</w:t>
      </w:r>
      <w:r>
        <w:t xml:space="preserve">”</w:t>
      </w:r>
      <w:r>
        <w:t xml:space="preserve">. The entire structure of the exposition is presented to the visitor at the very beginning of the route.</w:t>
      </w:r>
    </w:p>
    <w:p>
      <w:pPr>
        <w:pStyle w:val="BodyText"/>
      </w:pPr>
      <w:r>
        <w:t xml:space="preserve">At the entrance, a series of six vertical banners is arranged, with black-and-white portraits of historical and contemporary figures, politicians, and their quotations about the Armenian genocide. Among them are Pope John Paul II, Vladimir Putin, Catholicos Vazgen I, Fridtjof Nansen, Pope Francis, Anatole France, and other significant figures. The choice of these persons is principled: they are religious leaders, statesmen and public authorities of different epochs and countries. The banners are placed on both sides of the passageway, and the visitor physically passes through a corridor of</w:t>
      </w:r>
      <w:r>
        <w:t xml:space="preserve"> </w:t>
      </w:r>
      <w:r>
        <w:t xml:space="preserve">“</w:t>
      </w:r>
      <w:r>
        <w:t xml:space="preserve">authoritative voices</w:t>
      </w:r>
      <w:r>
        <w:t xml:space="preserve">”</w:t>
      </w:r>
      <w:r>
        <w:t xml:space="preserve"> </w:t>
      </w:r>
      <w:r>
        <w:t xml:space="preserve">before entering the main space of the exhibition.</w:t>
      </w:r>
    </w:p>
    <w:p>
      <w:pPr>
        <w:pStyle w:val="BodyText"/>
      </w:pPr>
      <w:r>
        <w:t xml:space="preserve">In the centre of the first hall a long sensor table is installed — the only element of the exhibition where the visitor is offered active physical interaction. On the surface of the table the flags of Russia and Armenia are displayed. Upon interaction with the surface of the sensor table, the image changes: the flags disappear and the surface is filled with forget-me-nots — the official symbol of the Armenian genocide. The screen displays an instruction:</w:t>
      </w:r>
      <w:r>
        <w:t xml:space="preserve"> </w:t>
      </w:r>
      <w:r>
        <w:t xml:space="preserve">“</w:t>
      </w:r>
      <w:r>
        <w:t xml:space="preserve">wave your hand</w:t>
      </w:r>
      <w:r>
        <w:t xml:space="preserve">”</w:t>
      </w:r>
      <w:r>
        <w:t xml:space="preserve">, and the visitor thereby changes the picture.</w:t>
      </w:r>
    </w:p>
    <w:p>
      <w:pPr>
        <w:pStyle w:val="BodyText"/>
      </w:pPr>
      <w:r>
        <w:t xml:space="preserve">The basis of the exposition consists of 11 thematic LED screens located along the perimeter of the halls along the route. Some of them are combined in pairs around one theme. In front of each LED screen a duplicating sensor table with the same content is installed, allowing the visitor to study the material in more detail.</w:t>
      </w:r>
    </w:p>
    <w:p>
      <w:pPr>
        <w:pStyle w:val="BodyText"/>
      </w:pPr>
      <w:r>
        <w:t xml:space="preserve">The structure of the exhibition is built chronologically. The themes successively cover the pre-history of the genocide: starting with the Russo-Turkish War of 1877–1878 and the Armenian reforms, and then the genocide itself: the massacres of 1894–1896, the events of 1915, the deportations and the destruction of the cultural heritage. The exposition is also built around a narrative of Russian–Armenian solidarity: fraternal aid to the suffering, Russian soldiers as eyewitnesses, Russian writers and public figures as witnesses. The route closes with a section on the recognition of the genocide; on this screen contemporary colour photographs of Russian statesmen at the Tsitsernakaberd memorial in Yerevan are placed. These are the only large colour images in the entire exposition, which is built predominantly on archival black-and-white material. The contrast between colour and black-and-white sets a visual border between the historical past and the actual present.</w:t>
      </w:r>
    </w:p>
    <w:p>
      <w:pPr>
        <w:pStyle w:val="BodyText"/>
      </w:pPr>
      <w:r>
        <w:t xml:space="preserve">Transitions between thematic blocks are organised through a separate technological element: every few seconds all the LED screens switch synchronously to a dark background with a single symbol — a forget-me-not or a thorn crown — and the title of the next theme. The pause lasts 5–7 seconds and covers the entire space of the hall at the same time. The visitor cannot continue to examine one screen while the others have already switched: the synchronicity of the change of frame sets a collective rhythm of perception, in which everyone present in the space finds themselves at the same point of the narrative simultaneously.</w:t>
      </w:r>
    </w:p>
    <w:p>
      <w:pPr>
        <w:pStyle w:val="BodyText"/>
      </w:pPr>
      <w:r>
        <w:t xml:space="preserve">The exhibition</w:t>
      </w:r>
      <w:r>
        <w:t xml:space="preserve"> </w:t>
      </w:r>
      <w:r>
        <w:t xml:space="preserve">“</w:t>
      </w:r>
      <w:r>
        <w:t xml:space="preserve">No to Genocide!</w:t>
      </w:r>
      <w:r>
        <w:t xml:space="preserve">”</w:t>
      </w:r>
      <w:r>
        <w:t xml:space="preserve"> </w:t>
      </w:r>
      <w:r>
        <w:t xml:space="preserve">represents a multimedia memorial project with a pronounced political position. Everything in the exposition — how the space is organised, what technologies are applied, how the material is presented — is built on a single principle. The linear route, the darkened halls, the simultaneous rhythm of transitions, and the sequence of the narrative content: from the origins of the historical tragedy to the recognition of the genocide. The combination of all these directs the visitor: they move along the prescribed route and arrive at the conclusion set by the authors.</w:t>
      </w:r>
    </w:p>
    <w:bookmarkEnd w:id="152"/>
    <w:bookmarkStart w:id="160" w:name="X37677c4df8fb459619a1a2214b36bde2c260024"/>
    <w:p>
      <w:pPr>
        <w:pStyle w:val="Heading2"/>
      </w:pPr>
      <w:r>
        <w:t xml:space="preserve">2.3 Method of Analysis: Multimodal Discourse Analysis</w:t>
      </w:r>
    </w:p>
    <w:p>
      <w:pPr>
        <w:pStyle w:val="FirstParagraph"/>
      </w:pPr>
      <w:r>
        <w:t xml:space="preserve">The exposition under study is a space in which several semiotic systems are organised simultaneously: archival photographs, typography, colour, spatial route, sound accompaniment, gestures, lighting regime, and interaction with technology. Meaning is born from the interaction of all these elements; for that reason, multimodal discourse analysis (MDA) has been chosen for the analysis of the exposition. This method is able to work with different semiotic systems at the same time.</w:t>
      </w:r>
    </w:p>
    <w:p>
      <w:pPr>
        <w:pStyle w:val="BodyText"/>
      </w:pPr>
      <w:r>
        <w:t xml:space="preserve">The basis of this method is the concept of the mode as a semiotic resource through which meaning is produced. Language is one mode, image another; space, sound, gesture, colour — each is a separate mode. Different modes have different possibilities for producing meaning: Kress and van Leeuwen describe this through the concept of affordances — what each mode is able and unable to express in a given culture at a given moment</w:t>
      </w:r>
      <w:r>
        <w:rPr>
          <w:rStyle w:val="FootnoteReference"/>
        </w:rPr>
        <w:footnoteReference w:id="153"/>
      </w:r>
      <w:r>
        <w:t xml:space="preserve">. Meaning arises in the way these possibilities are used and the way the modes interact with one another.</w:t>
      </w:r>
    </w:p>
    <w:p>
      <w:pPr>
        <w:pStyle w:val="BodyText"/>
      </w:pPr>
      <w:r>
        <w:t xml:space="preserve">The analysis of individual modes is not equivalent to the analysis of their joint work. If one considers an archival photograph in isolation from the text below it, a caption separately from its position on the screen, and the screen without the spatial context of the hall, much is lost. Precisely because the exhibition works as a single whole — in which image, text, sound and space act together — MDA is methodologically the precise instrument here. The method makes it possible to see what is shown and how this meaning emerges from the joining of different parts of the exposition.</w:t>
      </w:r>
    </w:p>
    <w:p>
      <w:pPr>
        <w:pStyle w:val="BodyText"/>
      </w:pPr>
      <w:r>
        <w:t xml:space="preserve">The operational basis of the analysis is constituted by three functions that are realised in any visual text simultaneously: representational, interactive and compositional. Each is responsible for a separate dimension of meaning-making. The representational level answers the question: what is depicted, and how are relations between the depicted participants constructed? Here a distinction is drawn between narrative and conceptual representations. Narrative representations are those in which there is an action or event between participants: vectors of movement, interaction, reaction. Conceptual representations are those in which participants are presented in a static, classifying or symbolic quality</w:t>
      </w:r>
      <w:r>
        <w:rPr>
          <w:rStyle w:val="FootnoteReference"/>
        </w:rPr>
        <w:footnoteReference w:id="154"/>
      </w:r>
      <w:r>
        <w:t xml:space="preserve">. On the exhibition</w:t>
      </w:r>
      <w:r>
        <w:t xml:space="preserve"> </w:t>
      </w:r>
      <w:r>
        <w:t xml:space="preserve">“</w:t>
      </w:r>
      <w:r>
        <w:t xml:space="preserve">No to Genocide!</w:t>
      </w:r>
      <w:r>
        <w:t xml:space="preserve">”</w:t>
      </w:r>
      <w:r>
        <w:t xml:space="preserve"> </w:t>
      </w:r>
      <w:r>
        <w:t xml:space="preserve">both types are present: archival photographs of refugees in movement are narrative representations, while official portraits of historical figures are conceptual representations. The choice between them is a curatorial decision that determines how the participants of the exhibition relate to one another and what role they play in the narrative.</w:t>
      </w:r>
    </w:p>
    <w:p>
      <w:pPr>
        <w:pStyle w:val="BodyText"/>
      </w:pPr>
      <w:r>
        <w:t xml:space="preserve">The interactive level answers the question of what relations are constructed between the image and the viewer. There are three key categories: contact, distance, and modality. Contact is determined by the direction of the gaze. When the depicted person looks directly at the viewer, this is a</w:t>
      </w:r>
      <w:r>
        <w:t xml:space="preserve"> </w:t>
      </w:r>
      <w:r>
        <w:t xml:space="preserve">“</w:t>
      </w:r>
      <w:r>
        <w:t xml:space="preserve">demand</w:t>
      </w:r>
      <w:r>
        <w:t xml:space="preserve">”</w:t>
      </w:r>
      <w:r>
        <w:t xml:space="preserve">:</w:t>
      </w:r>
      <w:r>
        <w:t xml:space="preserve"> </w:t>
      </w:r>
      <w:r>
        <w:t xml:space="preserve">“</w:t>
      </w:r>
      <w:r>
        <w:t xml:space="preserve">the participant’s gaze (and the gesture, if present) demands something from the viewer, demands that the viewer enter into some kind of imaginary relation with him or her</w:t>
      </w:r>
      <w:r>
        <w:t xml:space="preserve">”</w:t>
      </w:r>
      <w:r>
        <w:rPr>
          <w:rStyle w:val="FootnoteReference"/>
        </w:rPr>
        <w:footnoteReference w:id="155"/>
      </w:r>
      <w:r>
        <w:t xml:space="preserve">. When the gaze is directed to the side, this is an</w:t>
      </w:r>
      <w:r>
        <w:t xml:space="preserve"> </w:t>
      </w:r>
      <w:r>
        <w:t xml:space="preserve">“</w:t>
      </w:r>
      <w:r>
        <w:t xml:space="preserve">offer</w:t>
      </w:r>
      <w:r>
        <w:t xml:space="preserve">”</w:t>
      </w:r>
      <w:r>
        <w:t xml:space="preserve">:</w:t>
      </w:r>
      <w:r>
        <w:t xml:space="preserve"> </w:t>
      </w:r>
      <w:r>
        <w:t xml:space="preserve">“</w:t>
      </w:r>
      <w:r>
        <w:t xml:space="preserve">it</w:t>
      </w:r>
      <w:r>
        <w:t xml:space="preserve"> </w:t>
      </w:r>
      <w:r>
        <w:t xml:space="preserve">‘</w:t>
      </w:r>
      <w:r>
        <w:t xml:space="preserve">offers</w:t>
      </w:r>
      <w:r>
        <w:t xml:space="preserve">’</w:t>
      </w:r>
      <w:r>
        <w:t xml:space="preserve"> </w:t>
      </w:r>
      <w:r>
        <w:t xml:space="preserve">the represented participants to the viewer as items of information, objects of contemplation, impersonally, as though they were specimens in a display case</w:t>
      </w:r>
      <w:r>
        <w:t xml:space="preserve">”</w:t>
      </w:r>
      <w:r>
        <w:rPr>
          <w:rStyle w:val="FootnoteReference"/>
        </w:rPr>
        <w:footnoteReference w:id="156"/>
      </w:r>
      <w:r>
        <w:t xml:space="preserve">. In the exposition this distinction is analytically significant: most victims are depicted in long shot without direct gaze, whereas statesmen look directly at the viewer. These are systematically organised compositional decisions. Distance — close-up, medium or long shot — determines the degree of proximity and identification. Modality describes the degree of realism: archival documentary photography has high modality, stylised graphics low modality. The shift of modality between archival photographs and the symbolic graphics of the transitional screens is a semiotic choice.</w:t>
      </w:r>
    </w:p>
    <w:p>
      <w:pPr>
        <w:pStyle w:val="BodyText"/>
      </w:pPr>
      <w:r>
        <w:t xml:space="preserve">The compositional level answers the question of how the space of the image is organised and what this organises in the perception of the viewer. There are three categories: informational value, salience, and framing. Informational value is determined by the position of the element. On the horizontal axis:</w:t>
      </w:r>
      <w:r>
        <w:t xml:space="preserve"> </w:t>
      </w:r>
      <w:r>
        <w:t xml:space="preserve">“</w:t>
      </w:r>
      <w:r>
        <w:t xml:space="preserve">the elements placed on the left are presented as Given, the elements placed on the right as New. For something to be Given means that it is presented as something the viewer already knows, as a familiar and agreed-upon point of departure for the message. For something to be New means that it is presented as something which is not yet known, or perhaps not yet agreed upon by the viewer, hence as something to which the viewer must pay special attention</w:t>
      </w:r>
      <w:r>
        <w:t xml:space="preserve">”</w:t>
      </w:r>
      <w:r>
        <w:rPr>
          <w:rStyle w:val="FootnoteReference"/>
        </w:rPr>
        <w:footnoteReference w:id="157"/>
      </w:r>
      <w:r>
        <w:t xml:space="preserve">. On the vertical axis — top as the</w:t>
      </w:r>
      <w:r>
        <w:t xml:space="preserve"> </w:t>
      </w:r>
      <w:r>
        <w:t xml:space="preserve">“</w:t>
      </w:r>
      <w:r>
        <w:t xml:space="preserve">ideal</w:t>
      </w:r>
      <w:r>
        <w:t xml:space="preserve">”</w:t>
      </w:r>
      <w:r>
        <w:t xml:space="preserve">, bottom as the</w:t>
      </w:r>
      <w:r>
        <w:t xml:space="preserve"> </w:t>
      </w:r>
      <w:r>
        <w:t xml:space="preserve">“</w:t>
      </w:r>
      <w:r>
        <w:t xml:space="preserve">real</w:t>
      </w:r>
      <w:r>
        <w:t xml:space="preserve">”</w:t>
      </w:r>
      <w:r>
        <w:t xml:space="preserve">:</w:t>
      </w:r>
      <w:r>
        <w:t xml:space="preserve"> </w:t>
      </w:r>
      <w:r>
        <w:t xml:space="preserve">“</w:t>
      </w:r>
      <w:r>
        <w:t xml:space="preserve">what has been placed on the top is presented as the Ideal… The Real is then opposed to this in that it presents more specific information (e.g. details), more</w:t>
      </w:r>
      <w:r>
        <w:t xml:space="preserve"> </w:t>
      </w:r>
      <w:r>
        <w:t xml:space="preserve">‘</w:t>
      </w:r>
      <w:r>
        <w:t xml:space="preserve">down-to-earth</w:t>
      </w:r>
      <w:r>
        <w:t xml:space="preserve">’</w:t>
      </w:r>
      <w:r>
        <w:t xml:space="preserve"> </w:t>
      </w:r>
      <w:r>
        <w:t xml:space="preserve">information (e.g. photographs as documentary evidence)</w:t>
      </w:r>
      <w:r>
        <w:t xml:space="preserve">”</w:t>
      </w:r>
      <w:r>
        <w:rPr>
          <w:rStyle w:val="FootnoteReference"/>
        </w:rPr>
        <w:footnoteReference w:id="158"/>
      </w:r>
      <w:r>
        <w:t xml:space="preserve">. On the screens of the exhibition, typographic dates are placed at the top, photographic testimony below: the chronological frame as ideal, the documentation as real. Salience describes what dominates visually through size, colour and contrast. Red typographic elements on the screens of the exhibition dominate visually and set the affective tone. Framing describes how elements are separated from one another or joined together.</w:t>
      </w:r>
    </w:p>
    <w:p>
      <w:pPr>
        <w:pStyle w:val="BodyText"/>
      </w:pPr>
      <w:r>
        <w:t xml:space="preserve">To analyse the interaction between different semiotic systems within one communicative event, the conceptual apparatus of</w:t>
      </w:r>
      <w:r>
        <w:t xml:space="preserve"> </w:t>
      </w:r>
      <w:r>
        <w:rPr>
          <w:iCs/>
          <w:i/>
        </w:rPr>
        <w:t xml:space="preserve">Multimodal Discourse</w:t>
      </w:r>
      <w:r>
        <w:t xml:space="preserve"> </w:t>
      </w:r>
      <w:r>
        <w:t xml:space="preserve">is used</w:t>
      </w:r>
      <w:r>
        <w:rPr>
          <w:rStyle w:val="FootnoteReference"/>
        </w:rPr>
        <w:footnoteReference w:id="159"/>
      </w:r>
      <w:r>
        <w:t xml:space="preserve">. The authors distinguish four strata of multimodal text production: discourse (what is depicted and what versions of reality are produced), design (how semiotic resources are organised to realise the discourse), production (material embodiment), and distribution. For the present research the first two are most relevant: discourse — what version of history and memory is constructed at the exhibition; design — how concrete semiotic decisions organise this version.</w:t>
      </w:r>
    </w:p>
    <w:p>
      <w:pPr>
        <w:pStyle w:val="BodyText"/>
      </w:pPr>
      <w:r>
        <w:t xml:space="preserve">The concept of intermodal coherence makes it possible to analyse how different modes on a single screen — text, image, colour, typography — either reinforce one another or create tension. On most screens of the exhibition the modes work coherently: text explains what the image shows. But on several screens a tension arises between them — there, where the heading promises a narrative of</w:t>
      </w:r>
      <w:r>
        <w:t xml:space="preserve"> </w:t>
      </w:r>
      <w:r>
        <w:t xml:space="preserve">“</w:t>
      </w:r>
      <w:r>
        <w:t xml:space="preserve">aid</w:t>
      </w:r>
      <w:r>
        <w:t xml:space="preserve">”</w:t>
      </w:r>
      <w:r>
        <w:t xml:space="preserve">, while the visual sequence shows predominantly death and suffering. Such points of incoherence are analytically valuable: they reveal curatorial choices that are not obvious.</w:t>
      </w:r>
    </w:p>
    <w:p>
      <w:pPr>
        <w:pStyle w:val="BodyText"/>
      </w:pPr>
      <w:r>
        <w:t xml:space="preserve">Structured observation at the exhibition was organised in accordance with the three levels of MDA. The observation protocol contains four analytical blocks for each element: representational (type of content, participants, narrative processes, linguistic register), interactive (contact, distance, modality), compositional (informational value, salience, framing), and a block of multimodal synthesis (coherence of modes, dominant mode, interactivity). Such a structure ensures systematicity: each element of the exhibition is considered through unified categories, which makes comparison between elements substantiated rather than intuitive.</w:t>
      </w:r>
    </w:p>
    <w:p>
      <w:pPr>
        <w:pStyle w:val="BodyText"/>
      </w:pPr>
      <w:r>
        <w:t xml:space="preserve">The question of curatorial decisions is the question of how meaning is produced: through which semiotic choices, in which organisation, with which effect. It cannot be answered by simply describing the content of the screens. MDA provides a systematic toolkit for the analysis of precisely the mechanisms of meaning-making — and it is this that makes it methodologically precise for the present study.</w:t>
      </w:r>
    </w:p>
    <w:bookmarkEnd w:id="160"/>
    <w:bookmarkStart w:id="162" w:name="X11621e5ea859550d44fe4552bf16dbb7d2b4722"/>
    <w:p>
      <w:pPr>
        <w:pStyle w:val="Heading2"/>
      </w:pPr>
      <w:r>
        <w:t xml:space="preserve">2.4 Data Collection Method: Semi-Structured Interview</w:t>
      </w:r>
    </w:p>
    <w:p>
      <w:pPr>
        <w:pStyle w:val="FirstParagraph"/>
      </w:pPr>
      <w:r>
        <w:t xml:space="preserve">The empirical base of the research is built on two sources of data. The first is structured observation at the exhibition, organised in accordance with the MDA protocol described in section 2.3. The second is a semi-structured interview with the curator of the exhibition. Both methods were applied sequentially: first observation, then interview. This sequence is fundamental. Observation records what is on the exhibition. The interview explains why it is precisely so. Curatorial decisions are visible in space, but the logic that stands behind them remains hidden. This is precisely why the interview is the second necessary layer of data.</w:t>
      </w:r>
    </w:p>
    <w:p>
      <w:pPr>
        <w:pStyle w:val="BodyText"/>
      </w:pPr>
      <w:r>
        <w:t xml:space="preserve">To collect data on curatorial decisions, the method of the semi-structured in-depth interview was chosen. The method presupposes a pre-prepared guide of questions, but the interview itself remains flexible: the interviewer can depart from the order of the conversation, ask follow-up questions, and build a dialogue around the answers. This is important for understanding curatorial decisions.</w:t>
      </w:r>
    </w:p>
    <w:p>
      <w:pPr>
        <w:pStyle w:val="BodyText"/>
      </w:pPr>
      <w:r>
        <w:t xml:space="preserve">The semi-structured interview makes it possible to understand how curators reflect on the decisions they have taken, what they single out as important, and what they take as self-evident. It is a conversation with a purpose:</w:t>
      </w:r>
      <w:r>
        <w:t xml:space="preserve"> </w:t>
      </w:r>
      <w:r>
        <w:t xml:space="preserve">“</w:t>
      </w:r>
      <w:r>
        <w:t xml:space="preserve">a semi-structured life world interview attempts to understand themes of the lived everyday world from the subjects’ own perspectives</w:t>
      </w:r>
      <w:r>
        <w:t xml:space="preserve">”</w:t>
      </w:r>
      <w:r>
        <w:rPr>
          <w:rStyle w:val="FootnoteReference"/>
        </w:rPr>
        <w:footnoteReference w:id="161"/>
      </w:r>
      <w:r>
        <w:t xml:space="preserve">. Other methods, for example a structured survey, would not have been appropriate in this study, since it is difficult to anticipate in advance how the interview will unfold. The method is appropriate in a case study, since the research deals with a single exposition and requires understanding it from within. Mere observation of how the exhibition looks would leave many things unclear. The interview, in turn, makes it possible to understand what cannot be seen: the intentions of the curator, the external and internal constraints, and the compromises made.</w:t>
      </w:r>
    </w:p>
    <w:p>
      <w:pPr>
        <w:pStyle w:val="BodyText"/>
      </w:pPr>
      <w:r>
        <w:t xml:space="preserve">The interview guide was developed after the creation and completion of the observation protocol within the framework of the multimodal discourse analysis. Thanks to the observation it became clear which curatorial decisions had been taken, but their essence was not clear. The linear route, the synchronous transitions between screens, the choice of specific authorities for the banners, the only active element in the form of the sensor table at the entrance — all of this was recorded in the protocol, but not explained by it. The guide was built precisely around these gaps. The algorithm consisted of seven thematic blocks and 17 questions. The blocks covered the context and concept of the exposition, the choice of the venue, the selection of material, the interaction with the Armenian Genocide Museum-Institute in Yerevan and with the historical multimedia park</w:t>
      </w:r>
      <w:r>
        <w:t xml:space="preserve"> </w:t>
      </w:r>
      <w:r>
        <w:t xml:space="preserve">“</w:t>
      </w:r>
      <w:r>
        <w:t xml:space="preserve">Russia — My History</w:t>
      </w:r>
      <w:r>
        <w:t xml:space="preserve">”</w:t>
      </w:r>
      <w:r>
        <w:t xml:space="preserve">, the narrative and the choice of the persons depicted, and technological decisions. Some of the questions had a direct orientation (</w:t>
      </w:r>
      <w:r>
        <w:t xml:space="preserve">“</w:t>
      </w:r>
      <w:r>
        <w:t xml:space="preserve">who selected the materials for the exposition and on what principle?</w:t>
      </w:r>
      <w:r>
        <w:t xml:space="preserve">”</w:t>
      </w:r>
      <w:r>
        <w:t xml:space="preserve">), others were open (</w:t>
      </w:r>
      <w:r>
        <w:t xml:space="preserve">“</w:t>
      </w:r>
      <w:r>
        <w:t xml:space="preserve">what, in your view, turned out the way it was intended, and what did not?</w:t>
      </w:r>
      <w:r>
        <w:t xml:space="preserve">”</w:t>
      </w:r>
      <w:r>
        <w:t xml:space="preserve">), and some were specifically targeted at filling the observation gaps.</w:t>
      </w:r>
    </w:p>
    <w:p>
      <w:pPr>
        <w:pStyle w:val="BodyText"/>
      </w:pPr>
      <w:r>
        <w:t xml:space="preserve">The semi-structured interview was conducted with the curator of the exhibition — the principal organiser of the exposition from the side of the Don Union of Armenian Youth. The interviewee curated the creation of the exhibition from the very beginning: from the formation of the concept to the technical implementation. He knows the entire history of the project from within and took all key decisions together with the team. The interview was conducted in person over the course of an hour and was recorded with the curator’s consent. The guide was used rather as an orientation, in order to give the curator more room to open up. The order of the questions changed depending on the course of the conversation. In some questions the interviewee went beyond the questions themselves, and it was precisely there that valuable data could be obtained. After the recording, a full transcription of the interview was made. This made it possible to work with the data as text: to find key fragments, compare them with the observations from the protocol, and relate them to the theoretical concepts of the first chapter.</w:t>
      </w:r>
    </w:p>
    <w:p>
      <w:pPr>
        <w:pStyle w:val="BodyText"/>
      </w:pPr>
      <w:r>
        <w:t xml:space="preserve">Nevertheless, there are limitations in the study, since the interview was conducted only once, with one curator, because access to the other organisers and curators is not available. This limitation is characteristic of a single-case study with limited access to the participants of the organisation.</w:t>
      </w:r>
    </w:p>
    <w:bookmarkEnd w:id="162"/>
    <w:bookmarkEnd w:id="163"/>
    <w:bookmarkStart w:id="205" w:name="X2c719da1df70f0ec28355973534cdf2dad8be4e"/>
    <w:p>
      <w:pPr>
        <w:pStyle w:val="Heading1"/>
      </w:pPr>
      <w:r>
        <w:t xml:space="preserve">CHAPTER 3. CURATORIAL DECISIONS AND THE PRODUCTION OF POLITICAL MEMORY</w:t>
      </w:r>
    </w:p>
    <w:bookmarkStart w:id="170" w:name="X58dfd2a386d720afae779e8246f8270ffea0840"/>
    <w:p>
      <w:pPr>
        <w:pStyle w:val="Heading2"/>
      </w:pPr>
      <w:r>
        <w:t xml:space="preserve">3.1 Chronology as a Narrative Frame: A Version of the Past Built by the Route</w:t>
      </w:r>
    </w:p>
    <w:p>
      <w:pPr>
        <w:pStyle w:val="FirstParagraph"/>
      </w:pPr>
      <w:r>
        <w:t xml:space="preserve">The first thing that becomes evident when one juxtaposes the observation data and the interview is that the exhibition does not present the genocide as a self-contained event. It is embedded in a longer chronological arc that unfolds from the Russo-Turkish War of 1877–1878 and the Armenian question at the Congress of Berlin, through the massacres of 1894–1896, the reforms and the First World War, the events of 1915, the deportations and the destruction of cultural heritage — and culminates in the recognition of the genocide by the Russian state and the Russian Orthodox Church in the 1990s–2010s. The eleven thematic screens are arranged in strict temporal sequence, and this sequence is not marked as one of several possible ways of telling the story: it is presented on a separate LED screen,</w:t>
      </w:r>
      <w:r>
        <w:t xml:space="preserve"> </w:t>
      </w:r>
      <w:r>
        <w:t xml:space="preserve">“</w:t>
      </w:r>
      <w:r>
        <w:t xml:space="preserve">Contents</w:t>
      </w:r>
      <w:r>
        <w:t xml:space="preserve">”</w:t>
      </w:r>
      <w:r>
        <w:t xml:space="preserve">, even before the visitor enters the main space — that is, as a natural and singular structure.</w:t>
      </w:r>
    </w:p>
    <w:p>
      <w:pPr>
        <w:pStyle w:val="BodyText"/>
      </w:pPr>
      <w:r>
        <w:t xml:space="preserve">This is the first and most fundamental curatorial decision: the genocide is placed in the regime of chronological narrative, rather than, for example, a thematic, biographical, or discussion-based one. Chronology here performs the work that Aleida Assmann describes when speaking of political memory: different versions of the past</w:t>
      </w:r>
      <w:r>
        <w:t xml:space="preserve"> </w:t>
      </w:r>
      <w:r>
        <w:t xml:space="preserve">“</w:t>
      </w:r>
      <w:r>
        <w:t xml:space="preserve">are reduced to one and fixed in material carriers… transmitted to subsequent generations</w:t>
      </w:r>
      <w:r>
        <w:t xml:space="preserve">”</w:t>
      </w:r>
      <w:r>
        <w:rPr>
          <w:rStyle w:val="FootnoteReference"/>
        </w:rPr>
        <w:footnoteReference w:id="164"/>
      </w:r>
      <w:r>
        <w:t xml:space="preserve">. The chronological axis does exactly this: it transforms a potentially contested historiographic event into a linear sequence with a source, a climax, and a finale. The finale — and this is crucial — turns out to be not the genocide itself, but its international recognition. That is, structurally the narrative ends not with the catastrophe, but with its legal and moral</w:t>
      </w:r>
      <w:r>
        <w:t xml:space="preserve"> </w:t>
      </w:r>
      <w:r>
        <w:t xml:space="preserve">“</w:t>
      </w:r>
      <w:r>
        <w:t xml:space="preserve">closure</w:t>
      </w:r>
      <w:r>
        <w:t xml:space="preserve">”</w:t>
      </w:r>
      <w:r>
        <w:t xml:space="preserve"> </w:t>
      </w:r>
      <w:r>
        <w:t xml:space="preserve">through recognition by legitimate state and ecclesiastical institutions.</w:t>
      </w:r>
    </w:p>
    <w:p>
      <w:pPr>
        <w:pStyle w:val="BodyText"/>
      </w:pPr>
      <w:r>
        <w:t xml:space="preserve">This shift becomes visible in the interview almost by accident: speaking about the choice of the photograph of Vladimir Putin at the Tsitsernakaberd memorial, the curator explains that</w:t>
      </w:r>
      <w:r>
        <w:t xml:space="preserve"> </w:t>
      </w:r>
      <w:r>
        <w:t xml:space="preserve">“</w:t>
      </w:r>
      <w:r>
        <w:t xml:space="preserve">this is an exposition not only about the genocide of the Armenians, but also about interaction, cooperation, the help of Russia and the Russian people, as well as about Russian–Armenian relations</w:t>
      </w:r>
      <w:r>
        <w:t xml:space="preserve">”</w:t>
      </w:r>
      <w:r>
        <w:t xml:space="preserve">. The final section about recognition is not an additional plot but a structural load of the entire route. When asked whether the</w:t>
      </w:r>
      <w:r>
        <w:t xml:space="preserve"> </w:t>
      </w:r>
      <w:r>
        <w:t xml:space="preserve">“</w:t>
      </w:r>
      <w:r>
        <w:t xml:space="preserve">Russian</w:t>
      </w:r>
      <w:r>
        <w:t xml:space="preserve">”</w:t>
      </w:r>
      <w:r>
        <w:t xml:space="preserve"> </w:t>
      </w:r>
      <w:r>
        <w:t xml:space="preserve">plot — Russian soldier-witnesses, Russian writers, contemporary recognition — was an initial concept or emerged in the course of work, the curator answers unequivocally:</w:t>
      </w:r>
      <w:r>
        <w:t xml:space="preserve"> </w:t>
      </w:r>
      <w:r>
        <w:t xml:space="preserve">“</w:t>
      </w:r>
      <w:r>
        <w:t xml:space="preserve">this was the original concept on which the entire exhibition was built</w:t>
      </w:r>
      <w:r>
        <w:t xml:space="preserve">”</w:t>
      </w:r>
      <w:r>
        <w:t xml:space="preserve">. Chronology here is not a neutral</w:t>
      </w:r>
      <w:r>
        <w:t xml:space="preserve"> </w:t>
      </w:r>
      <w:r>
        <w:t xml:space="preserve">“</w:t>
      </w:r>
      <w:r>
        <w:t xml:space="preserve">principle of selection</w:t>
      </w:r>
      <w:r>
        <w:t xml:space="preserve">”</w:t>
      </w:r>
      <w:r>
        <w:t xml:space="preserve">, but a way of implanting the memory of the genocide into the context of the Russian national narrative.</w:t>
      </w:r>
    </w:p>
    <w:p>
      <w:pPr>
        <w:pStyle w:val="BodyText"/>
      </w:pPr>
      <w:r>
        <w:t xml:space="preserve">In Erll’s terms, this is conveniently described as a choice of a particular</w:t>
      </w:r>
      <w:r>
        <w:t xml:space="preserve"> </w:t>
      </w:r>
      <w:r>
        <w:t xml:space="preserve">“</w:t>
      </w:r>
      <w:r>
        <w:t xml:space="preserve">mode of remembering</w:t>
      </w:r>
      <w:r>
        <w:t xml:space="preserve">”</w:t>
      </w:r>
      <w:r>
        <w:rPr>
          <w:rStyle w:val="FootnoteReference"/>
        </w:rPr>
        <w:footnoteReference w:id="165"/>
      </w:r>
      <w:r>
        <w:t xml:space="preserve">: the same fact can be told as trauma, as heroic resistance, as a crime against humanity, as religious martyrdom. The exhibition</w:t>
      </w:r>
      <w:r>
        <w:t xml:space="preserve"> </w:t>
      </w:r>
      <w:r>
        <w:t xml:space="preserve">“</w:t>
      </w:r>
      <w:r>
        <w:t xml:space="preserve">No to Genocide!</w:t>
      </w:r>
      <w:r>
        <w:t xml:space="preserve">”</w:t>
      </w:r>
      <w:r>
        <w:t xml:space="preserve"> </w:t>
      </w:r>
      <w:r>
        <w:t xml:space="preserve">combines several such modes, but joins them into a single axial construction —</w:t>
      </w:r>
      <w:r>
        <w:t xml:space="preserve"> </w:t>
      </w:r>
      <w:r>
        <w:t xml:space="preserve">“</w:t>
      </w:r>
      <w:r>
        <w:t xml:space="preserve">the solidarity of Russia and the Armenian people in the face of a historical tragedy</w:t>
      </w:r>
      <w:r>
        <w:t xml:space="preserve">”</w:t>
      </w:r>
      <w:r>
        <w:t xml:space="preserve">. This is visible already at the structural level: between the thematic blocks dedicated to the massacres proper (1894–1896, 1915), the screens</w:t>
      </w:r>
      <w:r>
        <w:t xml:space="preserve"> </w:t>
      </w:r>
      <w:r>
        <w:t xml:space="preserve">“</w:t>
      </w:r>
      <w:r>
        <w:t xml:space="preserve">Fraternal Aid to the Suffering</w:t>
      </w:r>
      <w:r>
        <w:t xml:space="preserve">”</w:t>
      </w:r>
      <w:r>
        <w:t xml:space="preserve">,</w:t>
      </w:r>
      <w:r>
        <w:t xml:space="preserve"> </w:t>
      </w:r>
      <w:r>
        <w:t xml:space="preserve">“</w:t>
      </w:r>
      <w:r>
        <w:t xml:space="preserve">The Russian Soldier — Eyewitness of the Genocide</w:t>
      </w:r>
      <w:r>
        <w:t xml:space="preserve">”</w:t>
      </w:r>
      <w:r>
        <w:t xml:space="preserve">,</w:t>
      </w:r>
      <w:r>
        <w:t xml:space="preserve"> </w:t>
      </w:r>
      <w:r>
        <w:t xml:space="preserve">“</w:t>
      </w:r>
      <w:r>
        <w:t xml:space="preserve">Refugees of the Genocide: Help of the Russian Authorities and Humanitarian Organisations</w:t>
      </w:r>
      <w:r>
        <w:t xml:space="preserve">”</w:t>
      </w:r>
      <w:r>
        <w:t xml:space="preserve">,</w:t>
      </w:r>
      <w:r>
        <w:t xml:space="preserve"> </w:t>
      </w:r>
      <w:r>
        <w:t xml:space="preserve">“</w:t>
      </w:r>
      <w:r>
        <w:t xml:space="preserve">The Armenian Genocide and Russian Literature</w:t>
      </w:r>
      <w:r>
        <w:t xml:space="preserve">”</w:t>
      </w:r>
      <w:r>
        <w:t xml:space="preserve">, and</w:t>
      </w:r>
      <w:r>
        <w:t xml:space="preserve"> </w:t>
      </w:r>
      <w:r>
        <w:t xml:space="preserve">“</w:t>
      </w:r>
      <w:r>
        <w:t xml:space="preserve">The Nakhichevan Armenian Refugee Aid Committee</w:t>
      </w:r>
      <w:r>
        <w:t xml:space="preserve">”</w:t>
      </w:r>
      <w:r>
        <w:t xml:space="preserve"> </w:t>
      </w:r>
      <w:r>
        <w:t xml:space="preserve">are placed. Seven of the eleven thematic blocks work, either centrally or peripherally, on precisely this plot.</w:t>
      </w:r>
    </w:p>
    <w:p>
      <w:pPr>
        <w:pStyle w:val="BodyText"/>
      </w:pPr>
      <w:r>
        <w:t xml:space="preserve">From the standpoint of memory studies, this composition has a precise theoretical name. The logic described by Tony Judt is applicable here: official memory was</w:t>
      </w:r>
      <w:r>
        <w:t xml:space="preserve"> </w:t>
      </w:r>
      <w:r>
        <w:t xml:space="preserve">“</w:t>
      </w:r>
      <w:r>
        <w:t xml:space="preserve">consistently built on a separation: that which was done</w:t>
      </w:r>
      <w:r>
        <w:t xml:space="preserve"> </w:t>
      </w:r>
      <w:r>
        <w:t xml:space="preserve">‘</w:t>
      </w:r>
      <w:r>
        <w:t xml:space="preserve">to us</w:t>
      </w:r>
      <w:r>
        <w:t xml:space="preserve">’</w:t>
      </w:r>
      <w:r>
        <w:t xml:space="preserve"> </w:t>
      </w:r>
      <w:r>
        <w:t xml:space="preserve">was openly recognised; that which</w:t>
      </w:r>
      <w:r>
        <w:t xml:space="preserve"> </w:t>
      </w:r>
      <w:r>
        <w:t xml:space="preserve">‘</w:t>
      </w:r>
      <w:r>
        <w:t xml:space="preserve">we did ourselves</w:t>
      </w:r>
      <w:r>
        <w:t xml:space="preserve">’</w:t>
      </w:r>
      <w:r>
        <w:t xml:space="preserve"> </w:t>
      </w:r>
      <w:r>
        <w:t xml:space="preserve">was systematically displaced</w:t>
      </w:r>
      <w:r>
        <w:t xml:space="preserve">”</w:t>
      </w:r>
      <w:r>
        <w:rPr>
          <w:rStyle w:val="FootnoteReference"/>
        </w:rPr>
        <w:footnoteReference w:id="166"/>
      </w:r>
      <w:r>
        <w:t xml:space="preserve">. The exhibition does not need to</w:t>
      </w:r>
      <w:r>
        <w:t xml:space="preserve"> </w:t>
      </w:r>
      <w:r>
        <w:t xml:space="preserve">“</w:t>
      </w:r>
      <w:r>
        <w:t xml:space="preserve">displace</w:t>
      </w:r>
      <w:r>
        <w:t xml:space="preserve">”</w:t>
      </w:r>
      <w:r>
        <w:t xml:space="preserve"> </w:t>
      </w:r>
      <w:r>
        <w:t xml:space="preserve">anything — the subject concerns another nation and another state. But compositionally it operates on a similar principle: the victim (the Armenian people) and the perpetrator (the Ottoman Empire, the Young Turk government) are entirely separated, and between them a third figure is placed — Russia — in the role of witness, defender, and ultimately of recognising subject. In Silverstone’s terms, this is an example of how the mediapolis distributes</w:t>
      </w:r>
      <w:r>
        <w:t xml:space="preserve"> </w:t>
      </w:r>
      <w:r>
        <w:t xml:space="preserve">“</w:t>
      </w:r>
      <w:r>
        <w:t xml:space="preserve">hospitality</w:t>
      </w:r>
      <w:r>
        <w:t xml:space="preserve">”</w:t>
      </w:r>
      <w:r>
        <w:t xml:space="preserve">: the voice of the Armenian catastrophe gains the right to be heard, but through mediation and within the framework of a narrative in which the platform already has its own role</w:t>
      </w:r>
      <w:r>
        <w:rPr>
          <w:rStyle w:val="FootnoteReference"/>
        </w:rPr>
        <w:footnoteReference w:id="167"/>
      </w:r>
      <w:r>
        <w:t xml:space="preserve">.</w:t>
      </w:r>
    </w:p>
    <w:p>
      <w:pPr>
        <w:pStyle w:val="BodyText"/>
      </w:pPr>
      <w:r>
        <w:t xml:space="preserve">Here, too, what A. Assmann describes as the border between functional memory and storage memory is at work:</w:t>
      </w:r>
      <w:r>
        <w:t xml:space="preserve"> </w:t>
      </w:r>
      <w:r>
        <w:t xml:space="preserve">“</w:t>
      </w:r>
      <w:r>
        <w:t xml:space="preserve">without the mobility of the borders between functional and storage memory, cultural memory would have congealed into something fixed and absolute</w:t>
      </w:r>
      <w:r>
        <w:t xml:space="preserve">”</w:t>
      </w:r>
      <w:r>
        <w:rPr>
          <w:rStyle w:val="FootnoteReference"/>
        </w:rPr>
        <w:footnoteReference w:id="168"/>
      </w:r>
      <w:r>
        <w:t xml:space="preserve">. The curators visibly shift this border. From the archive of the Armenian Genocide Museum-Institute in Yerevan they extract not only the canonical pictorial corpus (the photographs of Armin Wegner and Viktor Pichmann, the deportation documents, the images of concentration settlements) but also materials that resonate far more weakly in the international expositional tradition: the correspondence of Russian soldiers from the Caucasian front, eyewitness memoirs, the cover of the volume</w:t>
      </w:r>
      <w:r>
        <w:t xml:space="preserve"> </w:t>
      </w:r>
      <w:r>
        <w:rPr>
          <w:iCs/>
          <w:i/>
        </w:rPr>
        <w:t xml:space="preserve">Fraternal Aid</w:t>
      </w:r>
      <w:r>
        <w:t xml:space="preserve">, Tolstoy’s letter, the poems of Kulebyakin and Bryusov, and the documents of the Tatianinsky committee. These materials have long lain in the archives, but their transposition onto an LED screen in a museum complex with a five-million federal network of attendance is an act of translation from storage memory into functional: they become</w:t>
      </w:r>
      <w:r>
        <w:t xml:space="preserve"> </w:t>
      </w:r>
      <w:r>
        <w:t xml:space="preserve">“</w:t>
      </w:r>
      <w:r>
        <w:t xml:space="preserve">working</w:t>
      </w:r>
      <w:r>
        <w:t xml:space="preserve">”</w:t>
      </w:r>
      <w:r>
        <w:t xml:space="preserve"> </w:t>
      </w:r>
      <w:r>
        <w:t xml:space="preserve">elements of political memory once again, precisely in the version that it is advantageous to stabilise in the current geopolitical context.</w:t>
      </w:r>
    </w:p>
    <w:p>
      <w:pPr>
        <w:pStyle w:val="BodyText"/>
      </w:pPr>
      <w:r>
        <w:t xml:space="preserve">The chronological axis also operates at another level, visible only when observation is compared with theory. Williams writes of the memorial museum as a genre that holds</w:t>
      </w:r>
      <w:r>
        <w:t xml:space="preserve"> </w:t>
      </w:r>
      <w:r>
        <w:t xml:space="preserve">“</w:t>
      </w:r>
      <w:r>
        <w:t xml:space="preserve">an uneasy coexistence of reverent commemoration and critical interpretation</w:t>
      </w:r>
      <w:r>
        <w:t xml:space="preserve">”</w:t>
      </w:r>
      <w:r>
        <w:rPr>
          <w:rStyle w:val="FootnoteReference"/>
        </w:rPr>
        <w:footnoteReference w:id="169"/>
      </w:r>
      <w:r>
        <w:t xml:space="preserve">. Chronology is a way of dissolving this contradiction. If the event is unfolded as a process with an origin and a finale, the visitor has no need to occupy a complex position between mourning and interpretation: they are offered to follow an already marked path, at the end of which the moral becomes a political result —</w:t>
      </w:r>
      <w:r>
        <w:t xml:space="preserve"> </w:t>
      </w:r>
      <w:r>
        <w:t xml:space="preserve">“</w:t>
      </w:r>
      <w:r>
        <w:t xml:space="preserve">Russia and the world recognise and condemn</w:t>
      </w:r>
      <w:r>
        <w:t xml:space="preserve">”</w:t>
      </w:r>
      <w:r>
        <w:t xml:space="preserve">. In other words, chronology makes critical interpretation unnecessary: the visitor does not have to decide how to relate to what is shown, because the attitude is already built into the sequence of the screens itself.</w:t>
      </w:r>
    </w:p>
    <w:p>
      <w:pPr>
        <w:pStyle w:val="BodyText"/>
      </w:pPr>
      <w:r>
        <w:t xml:space="preserve">In sum, at the level of narrative the curatorial work consists of three linked decisions: (1) to set chronology as the structure, (2) to make the act of recognition the destination point, and (3) to distribute the</w:t>
      </w:r>
      <w:r>
        <w:t xml:space="preserve"> </w:t>
      </w:r>
      <w:r>
        <w:t xml:space="preserve">“</w:t>
      </w:r>
      <w:r>
        <w:t xml:space="preserve">Russian</w:t>
      </w:r>
      <w:r>
        <w:t xml:space="preserve">”</w:t>
      </w:r>
      <w:r>
        <w:t xml:space="preserve"> </w:t>
      </w:r>
      <w:r>
        <w:t xml:space="preserve">material along the entire axis in such a way that it is not a separate plot but forms the context for the central blocks on the massacres and deportations. These three decisions together construct the political memory of the genocide in its concrete version — the version of Russian–Armenian solidarity, legitimated through state recognition. All the subsequent sections examine how this narrative construction is supported by media, spatial, and affective means.</w:t>
      </w:r>
    </w:p>
    <w:bookmarkEnd w:id="170"/>
    <w:bookmarkStart w:id="176" w:name="Xb2af7d682b7a4d357c9083d8c67f1494ecb168d"/>
    <w:p>
      <w:pPr>
        <w:pStyle w:val="Heading2"/>
      </w:pPr>
      <w:r>
        <w:t xml:space="preserve">3.2 The Logic of Multimedia Formats: Affordances, Duplication, and the Limits of Interactivity</w:t>
      </w:r>
    </w:p>
    <w:p>
      <w:pPr>
        <w:pStyle w:val="FirstParagraph"/>
      </w:pPr>
      <w:r>
        <w:t xml:space="preserve">If the first section showed what is presented, this one focuses on how it is presented. Here Hjarvard’s concept of media logic is productively engaged: each medium possesses its own set of rules, formats, and affordances which</w:t>
      </w:r>
      <w:r>
        <w:t xml:space="preserve"> </w:t>
      </w:r>
      <w:r>
        <w:t xml:space="preserve">“</w:t>
      </w:r>
      <w:r>
        <w:t xml:space="preserve">other social institutions have to accommodate to</w:t>
      </w:r>
      <w:r>
        <w:t xml:space="preserve">”</w:t>
      </w:r>
      <w:r>
        <w:rPr>
          <w:rStyle w:val="FootnoteReference"/>
        </w:rPr>
        <w:footnoteReference w:id="171"/>
      </w:r>
      <w:r>
        <w:t xml:space="preserve">. The exhibition</w:t>
      </w:r>
      <w:r>
        <w:t xml:space="preserve"> </w:t>
      </w:r>
      <w:r>
        <w:t xml:space="preserve">“</w:t>
      </w:r>
      <w:r>
        <w:t xml:space="preserve">No to Genocide!</w:t>
      </w:r>
      <w:r>
        <w:t xml:space="preserve">”</w:t>
      </w:r>
      <w:r>
        <w:t xml:space="preserve"> </w:t>
      </w:r>
      <w:r>
        <w:t xml:space="preserve">uses three main formats: the LED screen, the Kinect-controlled sensor table, and the textile banner with spotlight illumination. The juxtaposition of observation and interview shows that the choice of precisely these three formats was not a free design decision but a compromise between the technological infrastructure of the venue and the curatorial intent.</w:t>
      </w:r>
    </w:p>
    <w:p>
      <w:pPr>
        <w:pStyle w:val="BodyText"/>
      </w:pPr>
      <w:r>
        <w:t xml:space="preserve">The institution itself — the multimedia historical park</w:t>
      </w:r>
      <w:r>
        <w:t xml:space="preserve"> </w:t>
      </w:r>
      <w:r>
        <w:t xml:space="preserve">“</w:t>
      </w:r>
      <w:r>
        <w:t xml:space="preserve">Russia — My History</w:t>
      </w:r>
      <w:r>
        <w:t xml:space="preserve">”</w:t>
      </w:r>
      <w:r>
        <w:t xml:space="preserve"> </w:t>
      </w:r>
      <w:r>
        <w:t xml:space="preserve">— determines what is in principle available to the curators. In the interview this moment is sounded twice. First, the curator explains that the multimedia format was chosen because</w:t>
      </w:r>
      <w:r>
        <w:t xml:space="preserve"> </w:t>
      </w:r>
      <w:r>
        <w:t xml:space="preserve">“</w:t>
      </w:r>
      <w:r>
        <w:t xml:space="preserve">it is contemporary</w:t>
      </w:r>
      <w:r>
        <w:t xml:space="preserve">”</w:t>
      </w:r>
      <w:r>
        <w:t xml:space="preserve"> </w:t>
      </w:r>
      <w:r>
        <w:t xml:space="preserve">and because</w:t>
      </w:r>
      <w:r>
        <w:t xml:space="preserve"> </w:t>
      </w:r>
      <w:r>
        <w:t xml:space="preserve">“</w:t>
      </w:r>
      <w:r>
        <w:t xml:space="preserve">there are no large exhibits here, nothing, that is, it is simply a file that can be transferred</w:t>
      </w:r>
      <w:r>
        <w:t xml:space="preserve">”</w:t>
      </w:r>
      <w:r>
        <w:t xml:space="preserve"> </w:t>
      </w:r>
      <w:r>
        <w:t xml:space="preserve">— this allowed the exposition to be held in four cities: Rostov, Saint Petersburg, Nizhny Novgorod, Yekaterinburg. Then he himself acknowledges that</w:t>
      </w:r>
      <w:r>
        <w:t xml:space="preserve"> </w:t>
      </w:r>
      <w:r>
        <w:t xml:space="preserve">“</w:t>
      </w:r>
      <w:r>
        <w:t xml:space="preserve">another format was not considered at the historical park, well, because there, accordingly, it would not have been suitable</w:t>
      </w:r>
      <w:r>
        <w:t xml:space="preserve">”</w:t>
      </w:r>
      <w:r>
        <w:t xml:space="preserve">. In Hjarvard’s terms this is an example of direct mediatization: the activity of transmitting political memory not only uses the media but is performed through them, and outside this infrastructure it does not exist. The file which</w:t>
      </w:r>
      <w:r>
        <w:t xml:space="preserve"> </w:t>
      </w:r>
      <w:r>
        <w:t xml:space="preserve">“</w:t>
      </w:r>
      <w:r>
        <w:t xml:space="preserve">can be transferred</w:t>
      </w:r>
      <w:r>
        <w:t xml:space="preserve">”</w:t>
      </w:r>
      <w:r>
        <w:t xml:space="preserve"> </w:t>
      </w:r>
      <w:r>
        <w:t xml:space="preserve">is the very form of memory in which the exhibition exists operationally.</w:t>
      </w:r>
    </w:p>
    <w:p>
      <w:pPr>
        <w:pStyle w:val="BodyText"/>
      </w:pPr>
      <w:r>
        <w:t xml:space="preserve">The affordances of the LED screen determine two things. The first is mass scale and density of material. The curator stresses:</w:t>
      </w:r>
      <w:r>
        <w:t xml:space="preserve"> </w:t>
      </w:r>
      <w:r>
        <w:t xml:space="preserve">“</w:t>
      </w:r>
      <w:r>
        <w:t xml:space="preserve">thanks to the multimedia format we were able to fit such a volume of material that a traditional exhibition would not have given us</w:t>
      </w:r>
      <w:r>
        <w:t xml:space="preserve">”</w:t>
      </w:r>
      <w:r>
        <w:t xml:space="preserve">. Indeed, eleven thematic blocks with archival photographs, engravings, maps, diplomatic documents, portraits, fragments of literary works, and chronicle frames would have required, in a showcase layout, several hundred square metres. On the LED screens this material is condensed to one surface per theme. This is a technological affordance without which the version of the past described in § 3.1 could not have been told with such density of detail. The second is dynamics and automation. The LED screen is not static: it switches images on a timer, runs through archival photographs, and synchronously dims between blocks. This shifts the visitor’s position from that of a reader of a showcase (who decides for themselves how long to look) to that of a viewer (to whom a sequence is presented).</w:t>
      </w:r>
    </w:p>
    <w:p>
      <w:pPr>
        <w:pStyle w:val="BodyText"/>
      </w:pPr>
      <w:r>
        <w:t xml:space="preserve">The sensor tables are the second format which, as the interview shows, is the costliest:</w:t>
      </w:r>
      <w:r>
        <w:t xml:space="preserve"> </w:t>
      </w:r>
      <w:r>
        <w:t xml:space="preserve">“</w:t>
      </w:r>
      <w:r>
        <w:t xml:space="preserve">technically we worked on them for a very long time… we ourselves prepared all the files, not they, and we tried for a very long time to set them up</w:t>
      </w:r>
      <w:r>
        <w:t xml:space="preserve">”</w:t>
      </w:r>
      <w:r>
        <w:t xml:space="preserve">. At the same time, most of the sensor tables in the exhibition perform a duplicating function: they repeat the content of the LED screen in front of which they stand. To the interviewer’s direct question why duplication and not additional material, the curator answers:</w:t>
      </w:r>
      <w:r>
        <w:t xml:space="preserve"> </w:t>
      </w:r>
      <w:r>
        <w:t xml:space="preserve">“</w:t>
      </w:r>
      <w:r>
        <w:t xml:space="preserve">the exposition itself contains a fairly large volume of material, so additional information would already have been excessive… on the sensor table we placed information that duplicates, so that it would be convenient for the visitor to read, to dwell longer on certain moments. Since the LED screen is not always static and at some point they switch.</w:t>
      </w:r>
      <w:r>
        <w:t xml:space="preserve">”</w:t>
      </w:r>
    </w:p>
    <w:p>
      <w:pPr>
        <w:pStyle w:val="BodyText"/>
      </w:pPr>
      <w:r>
        <w:t xml:space="preserve">This explanation is pragmatic, but it carries an important conceptual consequence. The duplication solves a problem created by the very choice of affordances: the automatic switching of frames on the LED screen makes individual reading of text impossible. For the visitor to be able to read, a second screen is needed — static, tactile, controlled by hand. Here Manovich’s thesis is clearly visible:</w:t>
      </w:r>
      <w:r>
        <w:t xml:space="preserve"> </w:t>
      </w:r>
      <w:r>
        <w:t xml:space="preserve">“</w:t>
      </w:r>
      <w:r>
        <w:t xml:space="preserve">the interface shapes how the computer user conceives the computer itself. It also determines how users think of any media object accessed via a computer</w:t>
      </w:r>
      <w:r>
        <w:t xml:space="preserve">”</w:t>
      </w:r>
      <w:r>
        <w:rPr>
          <w:rStyle w:val="FootnoteReference"/>
        </w:rPr>
        <w:footnoteReference w:id="172"/>
      </w:r>
      <w:r>
        <w:t xml:space="preserve">. The affordances of the LED screen (spectacularity, dynamics) make the affordance of sustained reading impossible; and to bring it back, the curators are forced to install a duplicating format. The result is a two-level construction: the</w:t>
      </w:r>
      <w:r>
        <w:t xml:space="preserve"> </w:t>
      </w:r>
      <w:r>
        <w:t xml:space="preserve">“</w:t>
      </w:r>
      <w:r>
        <w:t xml:space="preserve">spectacle</w:t>
      </w:r>
      <w:r>
        <w:t xml:space="preserve">”</w:t>
      </w:r>
      <w:r>
        <w:t xml:space="preserve"> </w:t>
      </w:r>
      <w:r>
        <w:t xml:space="preserve">is presented on the LED screen, while the</w:t>
      </w:r>
      <w:r>
        <w:t xml:space="preserve"> </w:t>
      </w:r>
      <w:r>
        <w:t xml:space="preserve">“</w:t>
      </w:r>
      <w:r>
        <w:t xml:space="preserve">text</w:t>
      </w:r>
      <w:r>
        <w:t xml:space="preserve">”</w:t>
      </w:r>
      <w:r>
        <w:t xml:space="preserve"> </w:t>
      </w:r>
      <w:r>
        <w:t xml:space="preserve">is presented on the sensor table. This doubling is not provided for by the concept; it is imposed by the logic of the medium itself.</w:t>
      </w:r>
    </w:p>
    <w:p>
      <w:pPr>
        <w:pStyle w:val="BodyText"/>
      </w:pPr>
      <w:r>
        <w:t xml:space="preserve">At the same time, the sensor table at the entrance — the only one — breaks the logic of duplication. Here Kinect control is used not to repeat material already shown but to produce an event: the visitor passes their hand above the surface, and the flags of Russia and Armenia turn into a field of forget-me-nots — the official symbol of the genocide. The curator describes this decision as his own:</w:t>
      </w:r>
      <w:r>
        <w:t xml:space="preserve"> </w:t>
      </w:r>
      <w:r>
        <w:t xml:space="preserve">“</w:t>
      </w:r>
      <w:r>
        <w:t xml:space="preserve">this was my idea, because there, in the original… roughly the same story, that is, you pass your hand and you get a different material, and we thought it would be great if we used that as well</w:t>
      </w:r>
      <w:r>
        <w:t xml:space="preserve">”</w:t>
      </w:r>
      <w:r>
        <w:t xml:space="preserve">. Analytically, this element works differently from all the others: it switches the visitor from a mode of observation into a mode of performative action. This is the only point in the entire route where the visitor literally</w:t>
      </w:r>
      <w:r>
        <w:t xml:space="preserve"> </w:t>
      </w:r>
      <w:r>
        <w:t xml:space="preserve">“</w:t>
      </w:r>
      <w:r>
        <w:t xml:space="preserve">produces</w:t>
      </w:r>
      <w:r>
        <w:t xml:space="preserve">”</w:t>
      </w:r>
      <w:r>
        <w:t xml:space="preserve"> </w:t>
      </w:r>
      <w:r>
        <w:t xml:space="preserve">political meaning — turning the state-political (the flags) into the memorial (the forget-me-nots) by their own gesture.</w:t>
      </w:r>
    </w:p>
    <w:p>
      <w:pPr>
        <w:pStyle w:val="BodyText"/>
      </w:pPr>
      <w:r>
        <w:t xml:space="preserve">In Kress and van Leeuwen’s terminology this element is interactively unique: the</w:t>
      </w:r>
      <w:r>
        <w:t xml:space="preserve"> </w:t>
      </w:r>
      <w:r>
        <w:t xml:space="preserve">“</w:t>
      </w:r>
      <w:r>
        <w:t xml:space="preserve">act of demand</w:t>
      </w:r>
      <w:r>
        <w:t xml:space="preserve">”</w:t>
      </w:r>
      <w:r>
        <w:t xml:space="preserve"> </w:t>
      </w:r>
      <w:r>
        <w:t xml:space="preserve">is here addressed not from the image to the viewer (as on the portraits with a direct gaze) but from the instruction to the viewer’s body —</w:t>
      </w:r>
      <w:r>
        <w:t xml:space="preserve"> </w:t>
      </w:r>
      <w:r>
        <w:t xml:space="preserve">“</w:t>
      </w:r>
      <w:r>
        <w:t xml:space="preserve">wave your hand</w:t>
      </w:r>
      <w:r>
        <w:t xml:space="preserve">”</w:t>
      </w:r>
      <w:r>
        <w:rPr>
          <w:rStyle w:val="FootnoteReference"/>
        </w:rPr>
        <w:footnoteReference w:id="173"/>
      </w:r>
      <w:r>
        <w:t xml:space="preserve">. And precisely here a curious tension arises: the only truly interactive element is located at the very beginning of the route, before the main narrative part. The rest of the exhibition is a regime of passive observation. If we describe this in Sharon Macdonald’s terms, then</w:t>
      </w:r>
      <w:r>
        <w:t xml:space="preserve"> </w:t>
      </w:r>
      <w:r>
        <w:t xml:space="preserve">“</w:t>
      </w:r>
      <w:r>
        <w:t xml:space="preserve">the activity of the visitor</w:t>
      </w:r>
      <w:r>
        <w:t xml:space="preserve">”</w:t>
      </w:r>
      <w:r>
        <w:t xml:space="preserve"> </w:t>
      </w:r>
      <w:r>
        <w:t xml:space="preserve">turns out to be localised in the zone of initiation; further on they move through the exhibition as already</w:t>
      </w:r>
      <w:r>
        <w:t xml:space="preserve"> </w:t>
      </w:r>
      <w:r>
        <w:t xml:space="preserve">“</w:t>
      </w:r>
      <w:r>
        <w:t xml:space="preserve">initiated</w:t>
      </w:r>
      <w:r>
        <w:t xml:space="preserve">”</w:t>
      </w:r>
      <w:r>
        <w:t xml:space="preserve"> </w:t>
      </w:r>
      <w:r>
        <w:t xml:space="preserve">but not active subjects</w:t>
      </w:r>
      <w:r>
        <w:rPr>
          <w:rStyle w:val="FootnoteReference"/>
        </w:rPr>
        <w:footnoteReference w:id="174"/>
      </w:r>
      <w:r>
        <w:t xml:space="preserve">.</w:t>
      </w:r>
    </w:p>
    <w:p>
      <w:pPr>
        <w:pStyle w:val="BodyText"/>
      </w:pPr>
      <w:r>
        <w:t xml:space="preserve">The third format — the textile banner with quotations from authoritative figures — at first glance is the most traditional and contradicts the general multimedia logic. But the interview shows that the banners appeared not as a curatorial idea but as a reaction to an infrastructural constraint:</w:t>
      </w:r>
      <w:r>
        <w:t xml:space="preserve"> </w:t>
      </w:r>
      <w:r>
        <w:t xml:space="preserve">“</w:t>
      </w:r>
      <w:r>
        <w:t xml:space="preserve">they have these spots… when we removed them, the hall turned out bare, and they have these special light bulbs that highlight them, and we realised we had to do something</w:t>
      </w:r>
      <w:r>
        <w:t xml:space="preserve">”</w:t>
      </w:r>
      <w:r>
        <w:t xml:space="preserve">. That is, the space had already been equipped for banners with quotations</w:t>
      </w:r>
      <w:r>
        <w:t xml:space="preserve"> </w:t>
      </w:r>
      <w:r>
        <w:t xml:space="preserve">“</w:t>
      </w:r>
      <w:r>
        <w:t xml:space="preserve">by default</w:t>
      </w:r>
      <w:r>
        <w:t xml:space="preserve">”</w:t>
      </w:r>
      <w:r>
        <w:t xml:space="preserve"> </w:t>
      </w:r>
      <w:r>
        <w:t xml:space="preserve">(probably, in the standard exposition of the park — Shoigu, Medvedev, etc.), and the curators had to fit into this infrastructure. This is an example of indirect mediatization in Hjarvard’s sense: content is formatted by the existing media conventions of the venue, even if the curators themselves did not choose this channel</w:t>
      </w:r>
      <w:r>
        <w:rPr>
          <w:rStyle w:val="FootnoteReference"/>
        </w:rPr>
        <w:footnoteReference w:id="175"/>
      </w:r>
      <w:r>
        <w:t xml:space="preserve">.</w:t>
      </w:r>
    </w:p>
    <w:p>
      <w:pPr>
        <w:pStyle w:val="BodyText"/>
      </w:pPr>
      <w:r>
        <w:t xml:space="preserve">Observation records that the final set of persons on the banners combines different registers of authority: religious (Pope John Paul II, Pope Francis, Catholicos Vazgen I), state (Putin), scientific/humanitarian (Nansen), and literary (Anatole France). In the terminology of Kress and van Leeuwen’s compositional analysis this works as a</w:t>
      </w:r>
      <w:r>
        <w:t xml:space="preserve"> </w:t>
      </w:r>
      <w:r>
        <w:t xml:space="preserve">“</w:t>
      </w:r>
      <w:r>
        <w:t xml:space="preserve">corridor of demands</w:t>
      </w:r>
      <w:r>
        <w:t xml:space="preserve">”</w:t>
      </w:r>
      <w:r>
        <w:t xml:space="preserve">: the visitor is presented with faces, most of which look either to the side of the camera (offer — as in the archival portraits), or directly (demand of solidarity — as Putin does). The curator explains the logic of the selection as follows:</w:t>
      </w:r>
      <w:r>
        <w:t xml:space="preserve"> </w:t>
      </w:r>
      <w:r>
        <w:t xml:space="preserve">“</w:t>
      </w:r>
      <w:r>
        <w:t xml:space="preserve">we tried to take more from Russia, but since few from Russia had spoken about it, from the official figures — Putin, the patriarch, someone else — we simply took the rest of the world leaders, historically important figures, who in their own words confirmed that, yes, the fact of the genocide is undeniable</w:t>
      </w:r>
      <w:r>
        <w:t xml:space="preserve">”</w:t>
      </w:r>
      <w:r>
        <w:t xml:space="preserve">.</w:t>
      </w:r>
    </w:p>
    <w:p>
      <w:pPr>
        <w:pStyle w:val="BodyText"/>
      </w:pPr>
      <w:r>
        <w:t xml:space="preserve">Here an interesting convergence of two logics is visible. On the one hand — the media logic of the banner: by its very construction it requires a short phrase and a photograph of a face, so only public figures with ready-made statements are suitable. On the other hand — the narrative logic of the exhibition:</w:t>
      </w:r>
      <w:r>
        <w:t xml:space="preserve"> </w:t>
      </w:r>
      <w:r>
        <w:t xml:space="preserve">“</w:t>
      </w:r>
      <w:r>
        <w:t xml:space="preserve">Russianness</w:t>
      </w:r>
      <w:r>
        <w:t xml:space="preserve">”</w:t>
      </w:r>
      <w:r>
        <w:t xml:space="preserve"> </w:t>
      </w:r>
      <w:r>
        <w:t xml:space="preserve">is prioritised, but the Russian political and cultural establishment has spoken little about the genocide. As a result, the format itself pushes towards a compromise: to</w:t>
      </w:r>
      <w:r>
        <w:t xml:space="preserve"> </w:t>
      </w:r>
      <w:r>
        <w:t xml:space="preserve">“</w:t>
      </w:r>
      <w:r>
        <w:t xml:space="preserve">fill in</w:t>
      </w:r>
      <w:r>
        <w:t xml:space="preserve">”</w:t>
      </w:r>
      <w:r>
        <w:t xml:space="preserve"> </w:t>
      </w:r>
      <w:r>
        <w:t xml:space="preserve">the Russian voice with international voices. The banners are therefore not simply a showcase of authoritative opinions but an infrastructural–narrative compromise, in which global factual support functions as a substitute for the missing internal voice.</w:t>
      </w:r>
    </w:p>
    <w:p>
      <w:pPr>
        <w:pStyle w:val="BodyText"/>
      </w:pPr>
      <w:r>
        <w:t xml:space="preserve">The conclusion of this section can be formulated as follows. The choice of media formats in the exhibition</w:t>
      </w:r>
      <w:r>
        <w:t xml:space="preserve"> </w:t>
      </w:r>
      <w:r>
        <w:t xml:space="preserve">“</w:t>
      </w:r>
      <w:r>
        <w:t xml:space="preserve">No to Genocide!</w:t>
      </w:r>
      <w:r>
        <w:t xml:space="preserve">”</w:t>
      </w:r>
      <w:r>
        <w:t xml:space="preserve"> </w:t>
      </w:r>
      <w:r>
        <w:t xml:space="preserve">cannot be reduced to a technological decision: each format carries its own constraints and its own semantic logic. The LED screen makes it possible to densify material and to keep rhythm, but deprives the visitor of text; the sensor table returns the text, but in the overwhelming majority of cases only duplicates what has already been shown; the banners inherit the infrastructure of the venue and therefore push towards a particular rhetoric of authority. The only fully</w:t>
      </w:r>
      <w:r>
        <w:t xml:space="preserve"> </w:t>
      </w:r>
      <w:r>
        <w:t xml:space="preserve">“</w:t>
      </w:r>
      <w:r>
        <w:t xml:space="preserve">active</w:t>
      </w:r>
      <w:r>
        <w:t xml:space="preserve">”</w:t>
      </w:r>
      <w:r>
        <w:t xml:space="preserve"> </w:t>
      </w:r>
      <w:r>
        <w:t xml:space="preserve">element — the entrance sensor table with the transformation of flags into forget-me-nots — turns out to be simultaneously the most semantically loaded: it is through this element that politics is transformed into memory by the gesture of the visitor’s own body.</w:t>
      </w:r>
    </w:p>
    <w:bookmarkEnd w:id="176"/>
    <w:bookmarkStart w:id="186" w:name="the-visitor-as-an-object-of-programming"/>
    <w:p>
      <w:pPr>
        <w:pStyle w:val="Heading2"/>
      </w:pPr>
      <w:r>
        <w:t xml:space="preserve">3.3 The Visitor as an Object of Programming</w:t>
      </w:r>
    </w:p>
    <w:p>
      <w:pPr>
        <w:pStyle w:val="FirstParagraph"/>
      </w:pPr>
      <w:r>
        <w:t xml:space="preserve">If media formats determine in what form the material reaches the visitor, then the spatial organisation determines in what state this visitor is in at the moment of perception. This level of curatorial work corresponds directly to what Sharon Macdonald calls the spatial area of the museum experience:</w:t>
      </w:r>
      <w:r>
        <w:t xml:space="preserve"> </w:t>
      </w:r>
      <w:r>
        <w:t xml:space="preserve">“</w:t>
      </w:r>
      <w:r>
        <w:t xml:space="preserve">how people negotiate their way through museums and galleries can have considerable implications for how they relate to and interpret exhibition content</w:t>
      </w:r>
      <w:r>
        <w:t xml:space="preserve">”</w:t>
      </w:r>
      <w:r>
        <w:rPr>
          <w:rStyle w:val="FootnoteReference"/>
        </w:rPr>
        <w:footnoteReference w:id="177"/>
      </w:r>
      <w:r>
        <w:t xml:space="preserve">. In the exhibition</w:t>
      </w:r>
      <w:r>
        <w:t xml:space="preserve"> </w:t>
      </w:r>
      <w:r>
        <w:t xml:space="preserve">“</w:t>
      </w:r>
      <w:r>
        <w:t xml:space="preserve">No to Genocide!</w:t>
      </w:r>
      <w:r>
        <w:t xml:space="preserve">”</w:t>
      </w:r>
      <w:r>
        <w:t xml:space="preserve"> </w:t>
      </w:r>
      <w:r>
        <w:t xml:space="preserve">this</w:t>
      </w:r>
      <w:r>
        <w:t xml:space="preserve"> </w:t>
      </w:r>
      <w:r>
        <w:t xml:space="preserve">“</w:t>
      </w:r>
      <w:r>
        <w:t xml:space="preserve">negotiation</w:t>
      </w:r>
      <w:r>
        <w:t xml:space="preserve">”</w:t>
      </w:r>
      <w:r>
        <w:t xml:space="preserve"> </w:t>
      </w:r>
      <w:r>
        <w:t xml:space="preserve">is programmed very strictly — and precisely this strictness constitutes the principal curatorial choice.</w:t>
      </w:r>
    </w:p>
    <w:p>
      <w:pPr>
        <w:pStyle w:val="BodyText"/>
      </w:pPr>
      <w:r>
        <w:t xml:space="preserve">The route is linear, with no branches. Four halls, movement</w:t>
      </w:r>
      <w:r>
        <w:t xml:space="preserve"> </w:t>
      </w:r>
      <w:r>
        <w:t xml:space="preserve">“</w:t>
      </w:r>
      <w:r>
        <w:t xml:space="preserve">forward along the walls</w:t>
      </w:r>
      <w:r>
        <w:t xml:space="preserve">”</w:t>
      </w:r>
      <w:r>
        <w:t xml:space="preserve">, and no return is foreseen by the logic of the flow. This decision is directly discussed in the interview: to the question of whether the possibility of letting the visitor choose the route had been considered, the curator answers categorically:</w:t>
      </w:r>
      <w:r>
        <w:t xml:space="preserve"> </w:t>
      </w:r>
      <w:r>
        <w:t xml:space="preserve">“</w:t>
      </w:r>
      <w:r>
        <w:t xml:space="preserve">rather not, because the policy of the museum</w:t>
      </w:r>
      <w:r>
        <w:t xml:space="preserve"> </w:t>
      </w:r>
      <w:r>
        <w:t xml:space="preserve">‘</w:t>
      </w:r>
      <w:r>
        <w:t xml:space="preserve">Russia — My History</w:t>
      </w:r>
      <w:r>
        <w:t xml:space="preserve">’</w:t>
      </w:r>
      <w:r>
        <w:t xml:space="preserve"> </w:t>
      </w:r>
      <w:r>
        <w:t xml:space="preserve">does not envisage such a format</w:t>
      </w:r>
      <w:r>
        <w:t xml:space="preserve">”</w:t>
      </w:r>
      <w:r>
        <w:t xml:space="preserve">. In other words, linearity is an institutional constraint of the venue. But precisely because it coincided with the narrative intention, neither side had any reason to contest it. The chronological sequence of the screens (§ 3.1) and the linear route of the hall form a structural isomorphism: time unfolds in the same way as space — without alternatives, without bypass, without the possibility of moving to the end without passing through the middle.</w:t>
      </w:r>
    </w:p>
    <w:p>
      <w:pPr>
        <w:pStyle w:val="BodyText"/>
      </w:pPr>
      <w:r>
        <w:t xml:space="preserve">This is, in its pure form, what Tony Bennett describes as the</w:t>
      </w:r>
      <w:r>
        <w:t xml:space="preserve"> </w:t>
      </w:r>
      <w:r>
        <w:t xml:space="preserve">“</w:t>
      </w:r>
      <w:r>
        <w:t xml:space="preserve">exhibitionary complex</w:t>
      </w:r>
      <w:r>
        <w:t xml:space="preserve">”</w:t>
      </w:r>
      <w:r>
        <w:t xml:space="preserve"> </w:t>
      </w:r>
      <w:r>
        <w:t xml:space="preserve">— a space where power operates not through coercion but through the voluntary complicity of the viewer in the established order of things</w:t>
      </w:r>
      <w:r>
        <w:rPr>
          <w:rStyle w:val="FootnoteReference"/>
        </w:rPr>
        <w:footnoteReference w:id="178"/>
      </w:r>
      <w:r>
        <w:t xml:space="preserve">. The visitor walks along the route themselves, pauses themselves, reads themselves — but the possible scenarios of this</w:t>
      </w:r>
      <w:r>
        <w:t xml:space="preserve"> </w:t>
      </w:r>
      <w:r>
        <w:t xml:space="preserve">“</w:t>
      </w:r>
      <w:r>
        <w:t xml:space="preserve">themselves</w:t>
      </w:r>
      <w:r>
        <w:t xml:space="preserve">”</w:t>
      </w:r>
      <w:r>
        <w:t xml:space="preserve"> </w:t>
      </w:r>
      <w:r>
        <w:t xml:space="preserve">are set by the architecture. Erll’s logic is also engaged here: the past has no fixed form and is each time reassembled in the act of remembrance</w:t>
      </w:r>
      <w:r>
        <w:rPr>
          <w:rStyle w:val="FootnoteReference"/>
        </w:rPr>
        <w:footnoteReference w:id="179"/>
      </w:r>
      <w:r>
        <w:t xml:space="preserve">. In the space of the exhibition this act of reassembly is set as a procedure: you enter, read the quotations of the authorities, activate the sensor table with the flags and the forget-me-nots, walk past the eleven thematic screens in chronological order, and exit through the section on recognition. You have no opportunity to</w:t>
      </w:r>
      <w:r>
        <w:t xml:space="preserve"> </w:t>
      </w:r>
      <w:r>
        <w:t xml:space="preserve">“</w:t>
      </w:r>
      <w:r>
        <w:t xml:space="preserve">reassemble</w:t>
      </w:r>
      <w:r>
        <w:t xml:space="preserve">”</w:t>
      </w:r>
      <w:r>
        <w:t xml:space="preserve"> </w:t>
      </w:r>
      <w:r>
        <w:t xml:space="preserve">the past otherwise — for example, to come first to the recognition and then roll back to the origins, or to begin with the cultural genocide and end with the Russo-Turkish War.</w:t>
      </w:r>
    </w:p>
    <w:p>
      <w:pPr>
        <w:pStyle w:val="BodyText"/>
      </w:pPr>
      <w:r>
        <w:t xml:space="preserve">The light regime is added to the spatial structure. Observation records full darkening along the entire route and only spot lighting of the screens and banners. The curator explains this as a standard practice of the venue:</w:t>
      </w:r>
      <w:r>
        <w:t xml:space="preserve"> </w:t>
      </w:r>
      <w:r>
        <w:t xml:space="preserve">“</w:t>
      </w:r>
      <w:r>
        <w:t xml:space="preserve">in general, all the exhibitions/expositions at the museum</w:t>
      </w:r>
      <w:r>
        <w:t xml:space="preserve"> </w:t>
      </w:r>
      <w:r>
        <w:t xml:space="preserve">‘</w:t>
      </w:r>
      <w:r>
        <w:t xml:space="preserve">Russia — My History</w:t>
      </w:r>
      <w:r>
        <w:t xml:space="preserve">’</w:t>
      </w:r>
      <w:r>
        <w:t xml:space="preserve"> </w:t>
      </w:r>
      <w:r>
        <w:t xml:space="preserve">are conducted with such lighting and musical accompaniment</w:t>
      </w:r>
      <w:r>
        <w:t xml:space="preserve">”</w:t>
      </w:r>
      <w:r>
        <w:t xml:space="preserve">. Here again the infrastructure and the intention work together. The darkening does two things. First, it physically cuts the visitor off from the</w:t>
      </w:r>
      <w:r>
        <w:t xml:space="preserve"> </w:t>
      </w:r>
      <w:r>
        <w:t xml:space="preserve">“</w:t>
      </w:r>
      <w:r>
        <w:t xml:space="preserve">ordinary world</w:t>
      </w:r>
      <w:r>
        <w:t xml:space="preserve">”</w:t>
      </w:r>
      <w:r>
        <w:t xml:space="preserve">: there are no windows in the hall, no daylight, no orientation points unrelated to the content of the exhibition. Second, it turns each illuminated screen into the sole source of attention: the contrast between the darkness of the hall and the bright LED surfaces makes it technically impossible to</w:t>
      </w:r>
      <w:r>
        <w:t xml:space="preserve"> </w:t>
      </w:r>
      <w:r>
        <w:t xml:space="preserve">“</w:t>
      </w:r>
      <w:r>
        <w:t xml:space="preserve">overcome</w:t>
      </w:r>
      <w:r>
        <w:t xml:space="preserve">”</w:t>
      </w:r>
      <w:r>
        <w:t xml:space="preserve"> </w:t>
      </w:r>
      <w:r>
        <w:t xml:space="preserve">them and look away. In Kress and van Leeuwen’s terminology this works as the maximisation of salience at the level of the entire space rather than of a single image</w:t>
      </w:r>
      <w:r>
        <w:rPr>
          <w:rStyle w:val="FootnoteReference"/>
        </w:rPr>
        <w:footnoteReference w:id="180"/>
      </w:r>
      <w:r>
        <w:t xml:space="preserve">: the dominant element becomes the one that shines, and the entire hall shines only with the thematic screens.</w:t>
      </w:r>
    </w:p>
    <w:p>
      <w:pPr>
        <w:pStyle w:val="BodyText"/>
      </w:pPr>
      <w:r>
        <w:t xml:space="preserve">To light is added sound. As background, a single Armenian melody dedicated to the genocide is played in a continuous loop. The curator describes its effect as follows:</w:t>
      </w:r>
      <w:r>
        <w:t xml:space="preserve"> </w:t>
      </w:r>
      <w:r>
        <w:t xml:space="preserve">“</w:t>
      </w:r>
      <w:r>
        <w:t xml:space="preserve">you know, it is just one song that is constantly played. But it fit very well and does not create a feeling of tediousness</w:t>
      </w:r>
      <w:r>
        <w:t xml:space="preserve">”</w:t>
      </w:r>
      <w:r>
        <w:t xml:space="preserve">. From the theoretical point of view this is an interesting characterisation. What in an ordinary listening situation would become</w:t>
      </w:r>
      <w:r>
        <w:t xml:space="preserve"> </w:t>
      </w:r>
      <w:r>
        <w:t xml:space="preserve">“</w:t>
      </w:r>
      <w:r>
        <w:t xml:space="preserve">tediousness</w:t>
      </w:r>
      <w:r>
        <w:t xml:space="preserve">”</w:t>
      </w:r>
      <w:r>
        <w:t xml:space="preserve"> </w:t>
      </w:r>
      <w:r>
        <w:t xml:space="preserve">is, in the conditions of the exhibition, transformed into an even affective floor. Hoskins describes the memorial media environment as one where</w:t>
      </w:r>
      <w:r>
        <w:t xml:space="preserve"> </w:t>
      </w:r>
      <w:r>
        <w:t xml:space="preserve">“</w:t>
      </w:r>
      <w:r>
        <w:t xml:space="preserve">successfully staging historical authenticity for today’s audiences requires digital technology… exhibits teem with digital media as they surround their visitors with re-mastered photos, sound recordings, and film footage</w:t>
      </w:r>
      <w:r>
        <w:t xml:space="preserve">”</w:t>
      </w:r>
      <w:r>
        <w:rPr>
          <w:rStyle w:val="FootnoteReference"/>
        </w:rPr>
        <w:footnoteReference w:id="181"/>
      </w:r>
      <w:r>
        <w:t xml:space="preserve">. The looped music plays the same role here: it creates an even emotional floor on which each individual image works with greater force than it would in a neutral sound environment.</w:t>
      </w:r>
    </w:p>
    <w:p>
      <w:pPr>
        <w:pStyle w:val="BodyText"/>
      </w:pPr>
      <w:r>
        <w:t xml:space="preserve">Finally, the third element of spatial programming is the synchronous transitional screens. Every few seconds, all eleven LED screens switch simultaneously to a dark background with a single symbol (a forget-me-not or a thorn crown) and the title of the next theme. This pause lasts 5–7 seconds and covers the entire space at the same time. Analytically, this is the most unusual spatial device of the exhibition, and in the interview it is hardly commented upon — the curator explains the logic of the symbols (</w:t>
      </w:r>
      <w:r>
        <w:t xml:space="preserve">“</w:t>
      </w:r>
      <w:r>
        <w:t xml:space="preserve">the forget-me-not — the striving for life; the barbed wire, the thorn crown — blood</w:t>
      </w:r>
      <w:r>
        <w:t xml:space="preserve">”</w:t>
      </w:r>
      <w:r>
        <w:t xml:space="preserve">), but does not describe synchronicity as a separate decision. However, observation records that precisely the synchronicity produces a collective effect: the visitor cannot</w:t>
      </w:r>
      <w:r>
        <w:t xml:space="preserve"> </w:t>
      </w:r>
      <w:r>
        <w:t xml:space="preserve">“</w:t>
      </w:r>
      <w:r>
        <w:t xml:space="preserve">linger</w:t>
      </w:r>
      <w:r>
        <w:t xml:space="preserve">”</w:t>
      </w:r>
      <w:r>
        <w:t xml:space="preserve"> </w:t>
      </w:r>
      <w:r>
        <w:t xml:space="preserve">on one screen while the others have already switched, and all who are in the hall at the same time find themselves at the same point of the narrative at the same moment.</w:t>
      </w:r>
    </w:p>
    <w:p>
      <w:pPr>
        <w:pStyle w:val="BodyText"/>
      </w:pPr>
      <w:r>
        <w:t xml:space="preserve">In Sharon Macdonald’s terms, this is a sample of</w:t>
      </w:r>
      <w:r>
        <w:t xml:space="preserve"> </w:t>
      </w:r>
      <w:r>
        <w:t xml:space="preserve">“</w:t>
      </w:r>
      <w:r>
        <w:t xml:space="preserve">sociality</w:t>
      </w:r>
      <w:r>
        <w:t xml:space="preserve">”</w:t>
      </w:r>
      <w:r>
        <w:t xml:space="preserve"> </w:t>
      </w:r>
      <w:r>
        <w:t xml:space="preserve">of the museum experience in its strong form</w:t>
      </w:r>
      <w:r>
        <w:rPr>
          <w:rStyle w:val="FootnoteReference"/>
        </w:rPr>
        <w:footnoteReference w:id="182"/>
      </w:r>
      <w:r>
        <w:t xml:space="preserve">: the synchronous transitions transform individual reading into a collective ritual. Visitors share the rhythm imposed by the space, and in this sense the exhibition operates by a logic closest to that described by Pierre Nora as a</w:t>
      </w:r>
      <w:r>
        <w:t xml:space="preserve"> </w:t>
      </w:r>
      <w:r>
        <w:t xml:space="preserve">“</w:t>
      </w:r>
      <w:r>
        <w:t xml:space="preserve">site of memory</w:t>
      </w:r>
      <w:r>
        <w:t xml:space="preserve">”</w:t>
      </w:r>
      <w:r>
        <w:t xml:space="preserve"> </w:t>
      </w:r>
      <w:r>
        <w:t xml:space="preserve">— an artificial compensating mechanism in which the lost</w:t>
      </w:r>
      <w:r>
        <w:t xml:space="preserve"> </w:t>
      </w:r>
      <w:r>
        <w:t xml:space="preserve">“</w:t>
      </w:r>
      <w:r>
        <w:t xml:space="preserve">milieu of memory</w:t>
      </w:r>
      <w:r>
        <w:t xml:space="preserve">”</w:t>
      </w:r>
      <w:r>
        <w:t xml:space="preserve"> </w:t>
      </w:r>
      <w:r>
        <w:t xml:space="preserve">is recreated through ritualised procedures</w:t>
      </w:r>
      <w:r>
        <w:rPr>
          <w:rStyle w:val="FootnoteReference"/>
        </w:rPr>
        <w:footnoteReference w:id="183"/>
      </w:r>
      <w:r>
        <w:t xml:space="preserve">. When all the screens simultaneously dim to the lone image of the thorn crown, what occurs is something that otherwise happens only in formal rituals: the space imposes a single affective state on all those present.</w:t>
      </w:r>
    </w:p>
    <w:p>
      <w:pPr>
        <w:pStyle w:val="BodyText"/>
      </w:pPr>
      <w:r>
        <w:t xml:space="preserve">Here one of the deep effects of mediatization becomes clearly visible. If the exhibition had used the traditional format of showcase and individual captions, such a synchronous rhythm would have been technically unattainable: each visitor would have moved at their own pace, and a shared ritual frame would not have arisen at all. It is precisely the digital infrastructure — a system of synchronised LED panels under unified control — that makes possible the collective rhythm which a traditional memorial exposition cannot produce. This is exactly the</w:t>
      </w:r>
      <w:r>
        <w:t xml:space="preserve"> </w:t>
      </w:r>
      <w:r>
        <w:t xml:space="preserve">“</w:t>
      </w:r>
      <w:r>
        <w:t xml:space="preserve">media logic</w:t>
      </w:r>
      <w:r>
        <w:t xml:space="preserve">”</w:t>
      </w:r>
      <w:r>
        <w:t xml:space="preserve"> </w:t>
      </w:r>
      <w:r>
        <w:t xml:space="preserve">that Hjarvard speaks of as the medium’s own form: technology not only transmits the content but also produces the social form in which this content is perceived</w:t>
      </w:r>
      <w:r>
        <w:rPr>
          <w:rStyle w:val="FootnoteReference"/>
        </w:rPr>
        <w:footnoteReference w:id="184"/>
      </w:r>
      <w:r>
        <w:t xml:space="preserve">.</w:t>
      </w:r>
    </w:p>
    <w:p>
      <w:pPr>
        <w:pStyle w:val="BodyText"/>
      </w:pPr>
      <w:r>
        <w:t xml:space="preserve">Here a question important for the research arises: in what way exactly does this spatial and medial construction shape the political effect? Briefly: it eliminates distance. The linear route, the darkening, the continuous music, the synchronous pauses — each of these elements on its own might be a neutral design choice. Together they create a regime in which the visitor has neither the physical nor the temporal nor the affective opportunity to assume a critical position towards what is shown. Williams describes this as the principled tension of the memorial genre —</w:t>
      </w:r>
      <w:r>
        <w:t xml:space="preserve"> </w:t>
      </w:r>
      <w:r>
        <w:t xml:space="preserve">“</w:t>
      </w:r>
      <w:r>
        <w:t xml:space="preserve">non-evaluative mourning and critical interpretation</w:t>
      </w:r>
      <w:r>
        <w:t xml:space="preserve">”</w:t>
      </w:r>
      <w:r>
        <w:rPr>
          <w:rStyle w:val="FootnoteReference"/>
        </w:rPr>
        <w:footnoteReference w:id="185"/>
      </w:r>
      <w:r>
        <w:t xml:space="preserve">; in the case of</w:t>
      </w:r>
      <w:r>
        <w:t xml:space="preserve"> </w:t>
      </w:r>
      <w:r>
        <w:t xml:space="preserve">“</w:t>
      </w:r>
      <w:r>
        <w:t xml:space="preserve">No to Genocide!</w:t>
      </w:r>
      <w:r>
        <w:t xml:space="preserve">”</w:t>
      </w:r>
      <w:r>
        <w:t xml:space="preserve"> </w:t>
      </w:r>
      <w:r>
        <w:t xml:space="preserve">this tension is resolved in favour of the former: critical interpretation is constructively impossible, because the space leaves neither physical nor cognitive room for it.</w:t>
      </w:r>
    </w:p>
    <w:bookmarkEnd w:id="186"/>
    <w:bookmarkStart w:id="191" w:name="X25f7c062f137b9566dac8345a8599a5fdef7489"/>
    <w:p>
      <w:pPr>
        <w:pStyle w:val="Heading2"/>
      </w:pPr>
      <w:r>
        <w:t xml:space="preserve">3.4 Voices of Testimony: Hierarchy of Authorities and Distribution of Visibility</w:t>
      </w:r>
    </w:p>
    <w:p>
      <w:pPr>
        <w:pStyle w:val="FirstParagraph"/>
      </w:pPr>
      <w:r>
        <w:t xml:space="preserve">The next level of analysis concerns who at the exhibition is endowed with the right to a voice, and who is not. This problematic was introduced in Chapter 1 through Silverstone’s concept of the mediapolis: a mediatized space is</w:t>
      </w:r>
      <w:r>
        <w:t xml:space="preserve"> </w:t>
      </w:r>
      <w:r>
        <w:t xml:space="preserve">“</w:t>
      </w:r>
      <w:r>
        <w:t xml:space="preserve">a place where some subjects acquire visibility and the right to speak, while others remain invisible and unheard</w:t>
      </w:r>
      <w:r>
        <w:t xml:space="preserve">”</w:t>
      </w:r>
      <w:r>
        <w:rPr>
          <w:rStyle w:val="FootnoteReference"/>
        </w:rPr>
        <w:footnoteReference w:id="187"/>
      </w:r>
      <w:r>
        <w:t xml:space="preserve">. On the exhibition</w:t>
      </w:r>
      <w:r>
        <w:t xml:space="preserve"> </w:t>
      </w:r>
      <w:r>
        <w:t xml:space="preserve">“</w:t>
      </w:r>
      <w:r>
        <w:t xml:space="preserve">No to Genocide!</w:t>
      </w:r>
      <w:r>
        <w:t xml:space="preserve">”</w:t>
      </w:r>
      <w:r>
        <w:t xml:space="preserve"> </w:t>
      </w:r>
      <w:r>
        <w:t xml:space="preserve">this hierarchy can be read on several levels, and it is organised in a more complex way than may at first appear.</w:t>
      </w:r>
    </w:p>
    <w:p>
      <w:pPr>
        <w:pStyle w:val="BodyText"/>
      </w:pPr>
      <w:r>
        <w:t xml:space="preserve">The most visible level is that of the authoritative speakers on the banners of the entrance zone. Here the voice belongs to public figures: the Pope, the President, the Catholicos, Nansen, a writer, a public figure. Their words are not information about the genocide but the legitimation of the very possibility of speaking about it. In Kress and van Leeuwen’s analytics this is an example of conceptual representation: the figures are presented as symbolic bearers of authority, static, in medium shot, in most cases without a direct gaze — an</w:t>
      </w:r>
      <w:r>
        <w:t xml:space="preserve"> </w:t>
      </w:r>
      <w:r>
        <w:t xml:space="preserve">“</w:t>
      </w:r>
      <w:r>
        <w:t xml:space="preserve">offer</w:t>
      </w:r>
      <w:r>
        <w:t xml:space="preserve">”</w:t>
      </w:r>
      <w:r>
        <w:t xml:space="preserve"> </w:t>
      </w:r>
      <w:r>
        <w:t xml:space="preserve">to the viewer as</w:t>
      </w:r>
      <w:r>
        <w:t xml:space="preserve"> </w:t>
      </w:r>
      <w:r>
        <w:t xml:space="preserve">“</w:t>
      </w:r>
      <w:r>
        <w:t xml:space="preserve">objects of contemplation</w:t>
      </w:r>
      <w:r>
        <w:t xml:space="preserve">”</w:t>
      </w:r>
      <w:r>
        <w:rPr>
          <w:rStyle w:val="FootnoteReference"/>
        </w:rPr>
        <w:footnoteReference w:id="188"/>
      </w:r>
      <w:r>
        <w:t xml:space="preserve">. The exception is Putin: his portrait on the banner and the very same Putin — the only large colour photograph of the entire exhibition in the final section — is no longer an</w:t>
      </w:r>
      <w:r>
        <w:t xml:space="preserve"> </w:t>
      </w:r>
      <w:r>
        <w:t xml:space="preserve">“</w:t>
      </w:r>
      <w:r>
        <w:t xml:space="preserve">offer</w:t>
      </w:r>
      <w:r>
        <w:t xml:space="preserve">”</w:t>
      </w:r>
      <w:r>
        <w:t xml:space="preserve"> </w:t>
      </w:r>
      <w:r>
        <w:t xml:space="preserve">but a</w:t>
      </w:r>
      <w:r>
        <w:t xml:space="preserve"> </w:t>
      </w:r>
      <w:r>
        <w:t xml:space="preserve">“</w:t>
      </w:r>
      <w:r>
        <w:t xml:space="preserve">demand</w:t>
      </w:r>
      <w:r>
        <w:t xml:space="preserve">”</w:t>
      </w:r>
      <w:r>
        <w:t xml:space="preserve">: a direct gaze, addressed to the contemporary, obliging the viewer to accept the proposed position.</w:t>
      </w:r>
    </w:p>
    <w:p>
      <w:pPr>
        <w:pStyle w:val="BodyText"/>
      </w:pPr>
      <w:r>
        <w:t xml:space="preserve">The second level is the Russian voice within the thematic screens themselves. Here speak not only statesmen but also figures of cultural and military authority: Tolstoy (the letter to the editor of</w:t>
      </w:r>
      <w:r>
        <w:t xml:space="preserve"> </w:t>
      </w:r>
      <w:r>
        <w:rPr>
          <w:iCs/>
          <w:i/>
        </w:rPr>
        <w:t xml:space="preserve">Fraternal Aid</w:t>
      </w:r>
      <w:r>
        <w:t xml:space="preserve">), Bryusov (the compiler of</w:t>
      </w:r>
      <w:r>
        <w:t xml:space="preserve"> </w:t>
      </w:r>
      <w:r>
        <w:rPr>
          <w:iCs/>
          <w:i/>
        </w:rPr>
        <w:t xml:space="preserve">The Poetry of Armenia</w:t>
      </w:r>
      <w:r>
        <w:t xml:space="preserve">), Gorodetsky, the military poet Kulebyakin, the rank-and-file Russian soldiers of the Caucasian front. This is a structurally important voice: it closes the testimonial position. The archival photographs of the victims (Armin Wegner, Viktor Pichmann) themselves document the event, but they are visual, silent, and have no author in the frame. The voice that certifies what is seen is always external to the victim — and in the exhibition this voice is systematically distributed among Russian witnesses.</w:t>
      </w:r>
    </w:p>
    <w:p>
      <w:pPr>
        <w:pStyle w:val="BodyText"/>
      </w:pPr>
      <w:r>
        <w:t xml:space="preserve">This decision is deliberate. The curator confirms that</w:t>
      </w:r>
      <w:r>
        <w:t xml:space="preserve"> </w:t>
      </w:r>
      <w:r>
        <w:t xml:space="preserve">“</w:t>
      </w:r>
      <w:r>
        <w:t xml:space="preserve">the Russian–Armenian theme — Russian soldier-witnesses, Russian writers, contemporary recognition — was the original concept on which everything in the exhibition was built</w:t>
      </w:r>
      <w:r>
        <w:t xml:space="preserve">”</w:t>
      </w:r>
      <w:r>
        <w:t xml:space="preserve">. Moreover, in the interview he explains why precisely from this angle the project on the platform</w:t>
      </w:r>
      <w:r>
        <w:t xml:space="preserve"> </w:t>
      </w:r>
      <w:r>
        <w:t xml:space="preserve">“</w:t>
      </w:r>
      <w:r>
        <w:t xml:space="preserve">Russia — My History</w:t>
      </w:r>
      <w:r>
        <w:t xml:space="preserve">”</w:t>
      </w:r>
      <w:r>
        <w:t xml:space="preserve"> </w:t>
      </w:r>
      <w:r>
        <w:t xml:space="preserve">was possible at all:</w:t>
      </w:r>
      <w:r>
        <w:t xml:space="preserve"> </w:t>
      </w:r>
      <w:r>
        <w:t xml:space="preserve">“</w:t>
      </w:r>
      <w:r>
        <w:t xml:space="preserve">the historical park</w:t>
      </w:r>
      <w:r>
        <w:t xml:space="preserve"> </w:t>
      </w:r>
      <w:r>
        <w:t xml:space="preserve">‘</w:t>
      </w:r>
      <w:r>
        <w:t xml:space="preserve">Russia — My History</w:t>
      </w:r>
      <w:r>
        <w:t xml:space="preserve">’</w:t>
      </w:r>
      <w:r>
        <w:t xml:space="preserve"> </w:t>
      </w:r>
      <w:r>
        <w:t xml:space="preserve">is, after all, about the history of Russia, so we thought it would be great to tell about the participation of Russia, and about the participation of Russia precisely in the elimination of the consequences of the genocide</w:t>
      </w:r>
      <w:r>
        <w:t xml:space="preserve">”</w:t>
      </w:r>
      <w:r>
        <w:t xml:space="preserve">. In other words,</w:t>
      </w:r>
      <w:r>
        <w:t xml:space="preserve"> </w:t>
      </w:r>
      <w:r>
        <w:t xml:space="preserve">“</w:t>
      </w:r>
      <w:r>
        <w:t xml:space="preserve">Russianness</w:t>
      </w:r>
      <w:r>
        <w:t xml:space="preserve">”</w:t>
      </w:r>
      <w:r>
        <w:t xml:space="preserve"> </w:t>
      </w:r>
      <w:r>
        <w:t xml:space="preserve">is not an ideological load added to the content, but the condition on which the content received the right to be shown at all.</w:t>
      </w:r>
    </w:p>
    <w:p>
      <w:pPr>
        <w:pStyle w:val="BodyText"/>
      </w:pPr>
      <w:r>
        <w:t xml:space="preserve">Here a mechanism that A. Assmann describes as the asymmetry between institutions and the content of memory is exposed:</w:t>
      </w:r>
      <w:r>
        <w:t xml:space="preserve"> </w:t>
      </w:r>
      <w:r>
        <w:t xml:space="preserve">“</w:t>
      </w:r>
      <w:r>
        <w:t xml:space="preserve">institutions stand above, and the content of memory below, so memory has to rise up in order to enter the field of attention of the institutions, which in turn prepare cultural memory for subsequent assimilation</w:t>
      </w:r>
      <w:r>
        <w:t xml:space="preserve">”</w:t>
      </w:r>
      <w:r>
        <w:rPr>
          <w:rStyle w:val="FootnoteReference"/>
        </w:rPr>
        <w:footnoteReference w:id="189"/>
      </w:r>
      <w:r>
        <w:t xml:space="preserve">. In our case this is literally visible: the memory of the Armenian genocide existed as material in the archive of the Yerevan museum-institute, and in order to enter the institutional field of the Russian multimedia park it had to be</w:t>
      </w:r>
      <w:r>
        <w:t xml:space="preserve"> </w:t>
      </w:r>
      <w:r>
        <w:t xml:space="preserve">“</w:t>
      </w:r>
      <w:r>
        <w:t xml:space="preserve">prepared</w:t>
      </w:r>
      <w:r>
        <w:t xml:space="preserve">”</w:t>
      </w:r>
      <w:r>
        <w:t xml:space="preserve"> </w:t>
      </w:r>
      <w:r>
        <w:t xml:space="preserve">through the inclusion of a Russian testimonial voice. This is the curatorial</w:t>
      </w:r>
      <w:r>
        <w:t xml:space="preserve"> </w:t>
      </w:r>
      <w:r>
        <w:t xml:space="preserve">“</w:t>
      </w:r>
      <w:r>
        <w:t xml:space="preserve">translation</w:t>
      </w:r>
      <w:r>
        <w:t xml:space="preserve">”</w:t>
      </w:r>
      <w:r>
        <w:t xml:space="preserve"> </w:t>
      </w:r>
      <w:r>
        <w:t xml:space="preserve">of cultural memory into political memory: the addition of a voice which, for the present institutional frame, is legitimating.</w:t>
      </w:r>
    </w:p>
    <w:p>
      <w:pPr>
        <w:pStyle w:val="BodyText"/>
      </w:pPr>
      <w:r>
        <w:t xml:space="preserve">The third level is the voice of the victims. And here the distribution of visibility is organised most subtly. The victims at the exhibition are present almost exclusively as images and not as speaking subjects. The archival photographs of Wegner and Pichmann — group shots of the dead, exhausted children, deportees — are silent testimonies of bodies. The MDA protocol systematically records the same interactive pattern: the victims are depicted in long or medium shot, without direct gaze (offer), without individualisation. The only exception is the frames with children, where a direct look into the camera is encountered; the observation protocol marks this as</w:t>
      </w:r>
      <w:r>
        <w:t xml:space="preserve"> </w:t>
      </w:r>
      <w:r>
        <w:t xml:space="preserve">“</w:t>
      </w:r>
      <w:r>
        <w:t xml:space="preserve">the most affectively charged moment of the entire exhibition: a child looks directly at the viewer through 100 years</w:t>
      </w:r>
      <w:r>
        <w:t xml:space="preserve">”</w:t>
      </w:r>
      <w:r>
        <w:t xml:space="preserve">.</w:t>
      </w:r>
    </w:p>
    <w:p>
      <w:pPr>
        <w:pStyle w:val="BodyText"/>
      </w:pPr>
      <w:r>
        <w:t xml:space="preserve">This asymmetry is not a defect of the exhibition but its structural characteristic. Silverstone warns that mediatization can</w:t>
      </w:r>
      <w:r>
        <w:t xml:space="preserve"> </w:t>
      </w:r>
      <w:r>
        <w:t xml:space="preserve">“</w:t>
      </w:r>
      <w:r>
        <w:t xml:space="preserve">both strengthen presence and reduce the subject to an image of a victim without voice</w:t>
      </w:r>
      <w:r>
        <w:t xml:space="preserve">”</w:t>
      </w:r>
      <w:r>
        <w:t xml:space="preserve"> </w:t>
      </w:r>
      <w:r>
        <w:t xml:space="preserve">(see § 1.4). In our case both variants are realised at once: the victims receive the highest visual density of presence (the emotional peak of the exposition — the screen</w:t>
      </w:r>
      <w:r>
        <w:t xml:space="preserve"> </w:t>
      </w:r>
      <w:r>
        <w:t xml:space="preserve">“</w:t>
      </w:r>
      <w:r>
        <w:t xml:space="preserve">Crime against Humanity and Civilisation</w:t>
      </w:r>
      <w:r>
        <w:t xml:space="preserve">”</w:t>
      </w:r>
      <w:r>
        <w:t xml:space="preserve"> </w:t>
      </w:r>
      <w:r>
        <w:t xml:space="preserve">— is dedicated to them alone), but they receive it precisely as bodies, and not as voices. Their</w:t>
      </w:r>
      <w:r>
        <w:t xml:space="preserve"> </w:t>
      </w:r>
      <w:r>
        <w:t xml:space="preserve">“</w:t>
      </w:r>
      <w:r>
        <w:t xml:space="preserve">voice</w:t>
      </w:r>
      <w:r>
        <w:t xml:space="preserve">”</w:t>
      </w:r>
      <w:r>
        <w:t xml:space="preserve"> </w:t>
      </w:r>
      <w:r>
        <w:t xml:space="preserve">is delegated — to Russian soldiers, Tolstoy, Bryusov, Lemkin. To use Erll’s distinction, this is an example of how the cultural memory of the victim is transmitted through</w:t>
      </w:r>
      <w:r>
        <w:t xml:space="preserve"> </w:t>
      </w:r>
      <w:r>
        <w:t xml:space="preserve">“</w:t>
      </w:r>
      <w:r>
        <w:t xml:space="preserve">medial externalisation</w:t>
      </w:r>
      <w:r>
        <w:t xml:space="preserve">”</w:t>
      </w:r>
      <w:r>
        <w:t xml:space="preserve"> </w:t>
      </w:r>
      <w:r>
        <w:t xml:space="preserve">in a form chosen not by the victim themselves but by mediators</w:t>
      </w:r>
      <w:r>
        <w:rPr>
          <w:rStyle w:val="FootnoteReference"/>
        </w:rPr>
        <w:footnoteReference w:id="190"/>
      </w:r>
      <w:r>
        <w:t xml:space="preserve">.</w:t>
      </w:r>
    </w:p>
    <w:p>
      <w:pPr>
        <w:pStyle w:val="BodyText"/>
      </w:pPr>
      <w:r>
        <w:t xml:space="preserve">The fourth — separate — voice belongs exclusively to Armenian subjects of action: the heroes of the Van self-defence (Aram Manukian), the Nakhichevan Armenian community, the figures of the diaspora. Their function in the narrative is fundamentally different from that of the victims: they show Armenians not as objects of tragedy but as active participants in their own history. The thematic block</w:t>
      </w:r>
      <w:r>
        <w:t xml:space="preserve"> </w:t>
      </w:r>
      <w:r>
        <w:t xml:space="preserve">“</w:t>
      </w:r>
      <w:r>
        <w:t xml:space="preserve">The Self-Defence of the Armenians of the City of Van in 1915</w:t>
      </w:r>
      <w:r>
        <w:t xml:space="preserve">”</w:t>
      </w:r>
      <w:r>
        <w:t xml:space="preserve"> </w:t>
      </w:r>
      <w:r>
        <w:t xml:space="preserve">is the</w:t>
      </w:r>
      <w:r>
        <w:t xml:space="preserve"> </w:t>
      </w:r>
      <w:r>
        <w:t xml:space="preserve">“</w:t>
      </w:r>
      <w:r>
        <w:t xml:space="preserve">loudest</w:t>
      </w:r>
      <w:r>
        <w:t xml:space="preserve">”</w:t>
      </w:r>
      <w:r>
        <w:t xml:space="preserve"> </w:t>
      </w:r>
      <w:r>
        <w:t xml:space="preserve">screen of the entire exhibition in terms of typography: a gigantic inscription in red against white across half of the surface. The MDA protocol records that</w:t>
      </w:r>
      <w:r>
        <w:t xml:space="preserve"> </w:t>
      </w:r>
      <w:r>
        <w:t xml:space="preserve">“</w:t>
      </w:r>
      <w:r>
        <w:t xml:space="preserve">the resistance literally</w:t>
      </w:r>
      <w:r>
        <w:t xml:space="preserve"> </w:t>
      </w:r>
      <w:r>
        <w:t xml:space="preserve">‘</w:t>
      </w:r>
      <w:r>
        <w:t xml:space="preserve">shouts</w:t>
      </w:r>
      <w:r>
        <w:t xml:space="preserve">’</w:t>
      </w:r>
      <w:r>
        <w:t xml:space="preserve">”</w:t>
      </w:r>
      <w:r>
        <w:t xml:space="preserve">. Here an important compensation is visible: against the general logic in which the Armenian voice is delegated to a Russian witness, there is one block where Armenian subjecthood is presented in its maximally active, heroic form. This does not contradict the overall composition — it complements it, because the block on self-defence is placed between the photographs of the victims and the section on recognition, and thereby inscribes the</w:t>
      </w:r>
      <w:r>
        <w:t xml:space="preserve"> </w:t>
      </w:r>
      <w:r>
        <w:t xml:space="preserve">“</w:t>
      </w:r>
      <w:r>
        <w:t xml:space="preserve">acting Armenian</w:t>
      </w:r>
      <w:r>
        <w:t xml:space="preserve">”</w:t>
      </w:r>
      <w:r>
        <w:t xml:space="preserve"> </w:t>
      </w:r>
      <w:r>
        <w:t xml:space="preserve">into the trajectory from tragedy to legal victory.</w:t>
      </w:r>
    </w:p>
    <w:p>
      <w:pPr>
        <w:pStyle w:val="BodyText"/>
      </w:pPr>
      <w:r>
        <w:t xml:space="preserve">Finally, there are voices that are absent from the exhibition. Among them is the voice of the Turkish and Azerbaijani narratives (which is explicable, given the character of the case), but also the voice of the Armenian diaspora in other countries, the voice of contemporary Armenian historians and writers beyond the already mentioned figures of the late 19th and early 20th centuries, the voice of international human rights organisations, the voice of current memory studies. This is not a criticism — the exhibition is not obliged to be an encyclopaedia — but in the logic of the mediapolis it is important to record that absent voices are not</w:t>
      </w:r>
      <w:r>
        <w:t xml:space="preserve"> </w:t>
      </w:r>
      <w:r>
        <w:t xml:space="preserve">“</w:t>
      </w:r>
      <w:r>
        <w:t xml:space="preserve">background</w:t>
      </w:r>
      <w:r>
        <w:t xml:space="preserve">”</w:t>
      </w:r>
      <w:r>
        <w:t xml:space="preserve"> </w:t>
      </w:r>
      <w:r>
        <w:t xml:space="preserve">but part of the construction of memory. Those who speak and those who were not invited to speak together form a single structure.</w:t>
      </w:r>
    </w:p>
    <w:p>
      <w:pPr>
        <w:pStyle w:val="BodyText"/>
      </w:pPr>
      <w:r>
        <w:t xml:space="preserve">In sum, the system of voices at the exhibition is organised as a four-level hierarchy: (1) legitimating international authorities (the banners), (2) Russian witnesses as the certifying instance (Tolstoy, Bryusov, the soldiers, the diplomats), (3) silent Armenian victims (photographic documentation), (4) active Armenian subjects in localised episodes (the Van self-defence, the Nakhichevan community). This structure does not distribute visibility by chance: it positions the speakers in such a way that the resulting version of memory receives simultaneously international, Russian, humanitarian, and properly Armenian support. Each level covers a particular weakness of the previous one, and together they create a construction that is difficult to contest from any single position.</w:t>
      </w:r>
    </w:p>
    <w:bookmarkEnd w:id="191"/>
    <w:bookmarkStart w:id="199" w:name="X9b09c8627d624f631e670a9101f1af0edea888a"/>
    <w:p>
      <w:pPr>
        <w:pStyle w:val="Heading2"/>
      </w:pPr>
      <w:r>
        <w:t xml:space="preserve">3.5 Affect and Symbol: Emotional Strategies of the Politics of Recognition</w:t>
      </w:r>
    </w:p>
    <w:p>
      <w:pPr>
        <w:pStyle w:val="FirstParagraph"/>
      </w:pPr>
      <w:r>
        <w:t xml:space="preserve">In parallel with the distribution of voices, another, more subtle layer of curatorial work operates at the exhibition — the affective layer. It includes the choice of colour, symbolism, typography, and the fragments on which attention is held. In Erll’s terminology this is the level at which</w:t>
      </w:r>
      <w:r>
        <w:t xml:space="preserve"> </w:t>
      </w:r>
      <w:r>
        <w:t xml:space="preserve">“</w:t>
      </w:r>
      <w:r>
        <w:t xml:space="preserve">the past acquires a particular quality and a particular meaning in the present</w:t>
      </w:r>
      <w:r>
        <w:t xml:space="preserve">”</w:t>
      </w:r>
      <w:r>
        <w:rPr>
          <w:rStyle w:val="FootnoteReference"/>
        </w:rPr>
        <w:footnoteReference w:id="192"/>
      </w:r>
      <w:r>
        <w:t xml:space="preserve">: not what exactly happens in the image, but with what emotional intonation it is placed there.</w:t>
      </w:r>
    </w:p>
    <w:p>
      <w:pPr>
        <w:pStyle w:val="BodyText"/>
      </w:pPr>
      <w:r>
        <w:t xml:space="preserve">The most systematic affective technique is the work with colour. The exhibition is built predominantly on black-and-white archival material. Against this background three colour accents stand out, each performing its own function. The first is red, which is overlaid on the black-and-white engravings in the block</w:t>
      </w:r>
      <w:r>
        <w:t xml:space="preserve"> </w:t>
      </w:r>
      <w:r>
        <w:t xml:space="preserve">“</w:t>
      </w:r>
      <w:r>
        <w:t xml:space="preserve">The Massacre of the Armenians in the Ottoman Empire 1894–1896</w:t>
      </w:r>
      <w:r>
        <w:t xml:space="preserve">”</w:t>
      </w:r>
      <w:r>
        <w:t xml:space="preserve">. The observation protocol records this as follows:</w:t>
      </w:r>
      <w:r>
        <w:t xml:space="preserve"> </w:t>
      </w:r>
      <w:r>
        <w:t xml:space="preserve">“</w:t>
      </w:r>
      <w:r>
        <w:t xml:space="preserve">the red overlay on the engravings is the strongest visual dominant. The red literally</w:t>
      </w:r>
      <w:r>
        <w:t xml:space="preserve"> </w:t>
      </w:r>
      <w:r>
        <w:t xml:space="preserve">‘</w:t>
      </w:r>
      <w:r>
        <w:t xml:space="preserve">colours</w:t>
      </w:r>
      <w:r>
        <w:t xml:space="preserve">’</w:t>
      </w:r>
      <w:r>
        <w:t xml:space="preserve"> </w:t>
      </w:r>
      <w:r>
        <w:t xml:space="preserve">the black-and-white history in the colour of blood</w:t>
      </w:r>
      <w:r>
        <w:t xml:space="preserve">”</w:t>
      </w:r>
      <w:r>
        <w:t xml:space="preserve">. Here Kress and van Leeuwen’s distinction between low and high modality is clearly visible</w:t>
      </w:r>
      <w:r>
        <w:rPr>
          <w:rStyle w:val="FootnoteReference"/>
        </w:rPr>
        <w:footnoteReference w:id="193"/>
      </w:r>
      <w:r>
        <w:t xml:space="preserve">: a 19th-century engraving has medium modality — it is an</w:t>
      </w:r>
      <w:r>
        <w:t xml:space="preserve"> </w:t>
      </w:r>
      <w:r>
        <w:t xml:space="preserve">“</w:t>
      </w:r>
      <w:r>
        <w:t xml:space="preserve">illustration</w:t>
      </w:r>
      <w:r>
        <w:t xml:space="preserve">”</w:t>
      </w:r>
      <w:r>
        <w:t xml:space="preserve">, not</w:t>
      </w:r>
      <w:r>
        <w:t xml:space="preserve"> </w:t>
      </w:r>
      <w:r>
        <w:t xml:space="preserve">“</w:t>
      </w:r>
      <w:r>
        <w:t xml:space="preserve">evidence</w:t>
      </w:r>
      <w:r>
        <w:t xml:space="preserve">”</w:t>
      </w:r>
      <w:r>
        <w:t xml:space="preserve">; the red overlay adds to it a third semiotic layer, which does not clarify the factual side but marks affect. This is not documentation, it is an interpretive gesture: the curator does not simply show the engraving, they colour it, setting the viewer’s attitude in advance.</w:t>
      </w:r>
    </w:p>
    <w:p>
      <w:pPr>
        <w:pStyle w:val="BodyText"/>
      </w:pPr>
      <w:r>
        <w:t xml:space="preserve">The second colour accent is red in the typography of dates and headings. On most screens the large year markers —</w:t>
      </w:r>
      <w:r>
        <w:t xml:space="preserve"> </w:t>
      </w:r>
      <w:r>
        <w:t xml:space="preserve">“</w:t>
      </w:r>
      <w:r>
        <w:t xml:space="preserve">1877–1878</w:t>
      </w:r>
      <w:r>
        <w:t xml:space="preserve">”</w:t>
      </w:r>
      <w:r>
        <w:t xml:space="preserve">,</w:t>
      </w:r>
      <w:r>
        <w:t xml:space="preserve"> </w:t>
      </w:r>
      <w:r>
        <w:t xml:space="preserve">“</w:t>
      </w:r>
      <w:r>
        <w:t xml:space="preserve">1894–1896</w:t>
      </w:r>
      <w:r>
        <w:t xml:space="preserve">”</w:t>
      </w:r>
      <w:r>
        <w:t xml:space="preserve">,</w:t>
      </w:r>
      <w:r>
        <w:t xml:space="preserve"> </w:t>
      </w:r>
      <w:r>
        <w:t xml:space="preserve">“</w:t>
      </w:r>
      <w:r>
        <w:t xml:space="preserve">1914–1916</w:t>
      </w:r>
      <w:r>
        <w:t xml:space="preserve">”</w:t>
      </w:r>
      <w:r>
        <w:t xml:space="preserve">,</w:t>
      </w:r>
      <w:r>
        <w:t xml:space="preserve"> </w:t>
      </w:r>
      <w:r>
        <w:t xml:space="preserve">“</w:t>
      </w:r>
      <w:r>
        <w:t xml:space="preserve">1915</w:t>
      </w:r>
      <w:r>
        <w:t xml:space="preserve">”</w:t>
      </w:r>
      <w:r>
        <w:t xml:space="preserve">,</w:t>
      </w:r>
      <w:r>
        <w:t xml:space="preserve"> </w:t>
      </w:r>
      <w:r>
        <w:t xml:space="preserve">“</w:t>
      </w:r>
      <w:r>
        <w:t xml:space="preserve">1897</w:t>
      </w:r>
      <w:r>
        <w:t xml:space="preserve">”</w:t>
      </w:r>
      <w:r>
        <w:t xml:space="preserve">,</w:t>
      </w:r>
      <w:r>
        <w:t xml:space="preserve"> </w:t>
      </w:r>
      <w:r>
        <w:t xml:space="preserve">“</w:t>
      </w:r>
      <w:r>
        <w:t xml:space="preserve">1912/2008</w:t>
      </w:r>
      <w:r>
        <w:t xml:space="preserve">”</w:t>
      </w:r>
      <w:r>
        <w:t xml:space="preserve"> </w:t>
      </w:r>
      <w:r>
        <w:t xml:space="preserve">— are given in red, usually in the maximally large typeface. Chronology in this sense is not a neutral navigational grid but affective marking, emphasising every nodal event. This is an example of what Erll calls</w:t>
      </w:r>
      <w:r>
        <w:t xml:space="preserve"> </w:t>
      </w:r>
      <w:r>
        <w:t xml:space="preserve">“</w:t>
      </w:r>
      <w:r>
        <w:t xml:space="preserve">mnemonic symbols</w:t>
      </w:r>
      <w:r>
        <w:t xml:space="preserve">”</w:t>
      </w:r>
      <w:r>
        <w:t xml:space="preserve">: the date in itself does not refer to content; it marks the very fact of the existence of remembrance of that content</w:t>
      </w:r>
      <w:r>
        <w:rPr>
          <w:rStyle w:val="FootnoteReference"/>
        </w:rPr>
        <w:footnoteReference w:id="194"/>
      </w:r>
      <w:r>
        <w:t xml:space="preserve">.</w:t>
      </w:r>
    </w:p>
    <w:p>
      <w:pPr>
        <w:pStyle w:val="BodyText"/>
      </w:pPr>
      <w:r>
        <w:t xml:space="preserve">The third colour accent operates differently and pertains to the very end of the route. The large colour photograph of Putin at the Tsitsernakaberd memorial in Yerevan is the only large-format colour image in the entire exposition. The MDA protocol records:</w:t>
      </w:r>
      <w:r>
        <w:t xml:space="preserve"> </w:t>
      </w:r>
      <w:r>
        <w:t xml:space="preserve">“</w:t>
      </w:r>
      <w:r>
        <w:t xml:space="preserve">the contrast with the black-and-white archive is the maximum salience of contemporary recognition</w:t>
      </w:r>
      <w:r>
        <w:t xml:space="preserve">”</w:t>
      </w:r>
      <w:r>
        <w:t xml:space="preserve">. The curator in the interview explains this decision as deliberate:</w:t>
      </w:r>
      <w:r>
        <w:t xml:space="preserve"> </w:t>
      </w:r>
      <w:r>
        <w:t xml:space="preserve">“</w:t>
      </w:r>
      <w:r>
        <w:t xml:space="preserve">the photograph of Vladimir Putin was used on the slide about the recognition of the Armenian genocide by Russia</w:t>
      </w:r>
      <w:r>
        <w:t xml:space="preserve">”</w:t>
      </w:r>
      <w:r>
        <w:t xml:space="preserve">. Analytically, what works here is not the fact of colour as such, but its placement in the finale. Black-and-white is the</w:t>
      </w:r>
      <w:r>
        <w:t xml:space="preserve"> </w:t>
      </w:r>
      <w:r>
        <w:t xml:space="preserve">“</w:t>
      </w:r>
      <w:r>
        <w:t xml:space="preserve">past</w:t>
      </w:r>
      <w:r>
        <w:t xml:space="preserve">”</w:t>
      </w:r>
      <w:r>
        <w:t xml:space="preserve">, colour is the</w:t>
      </w:r>
      <w:r>
        <w:t xml:space="preserve"> </w:t>
      </w:r>
      <w:r>
        <w:t xml:space="preserve">“</w:t>
      </w:r>
      <w:r>
        <w:t xml:space="preserve">present</w:t>
      </w:r>
      <w:r>
        <w:t xml:space="preserve">”</w:t>
      </w:r>
      <w:r>
        <w:t xml:space="preserve">. The transition from black-and-white documentation to a colour photograph of the head of state at the memorial visually closes the narrative arc: the story is closed not by the catastrophe but by its current political recognition. This is, in pure form, what Sodaro describes as the fourth, undeclared function of the memorial museum —</w:t>
      </w:r>
      <w:r>
        <w:t xml:space="preserve"> </w:t>
      </w:r>
      <w:r>
        <w:t xml:space="preserve">“</w:t>
      </w:r>
      <w:r>
        <w:t xml:space="preserve">the legitimation of the current political regime</w:t>
      </w:r>
      <w:r>
        <w:t xml:space="preserve">”</w:t>
      </w:r>
      <w:r>
        <w:rPr>
          <w:rStyle w:val="FootnoteReference"/>
        </w:rPr>
        <w:footnoteReference w:id="195"/>
      </w:r>
      <w:r>
        <w:t xml:space="preserve">. The colour photograph of the head of state in the finale is not only a memorial gesture, it is a political act of building</w:t>
      </w:r>
      <w:r>
        <w:t xml:space="preserve"> </w:t>
      </w:r>
      <w:r>
        <w:t xml:space="preserve">“</w:t>
      </w:r>
      <w:r>
        <w:t xml:space="preserve">the recognising Russia</w:t>
      </w:r>
      <w:r>
        <w:t xml:space="preserve">”</w:t>
      </w:r>
      <w:r>
        <w:t xml:space="preserve"> </w:t>
      </w:r>
      <w:r>
        <w:t xml:space="preserve">into the narrative of memory.</w:t>
      </w:r>
    </w:p>
    <w:p>
      <w:pPr>
        <w:pStyle w:val="BodyText"/>
      </w:pPr>
      <w:r>
        <w:t xml:space="preserve">The second systematic technique is the symbolism. The curator describes this as the decision of</w:t>
      </w:r>
      <w:r>
        <w:t xml:space="preserve"> </w:t>
      </w:r>
      <w:r>
        <w:t xml:space="preserve">“</w:t>
      </w:r>
      <w:r>
        <w:t xml:space="preserve">our team</w:t>
      </w:r>
      <w:r>
        <w:t xml:space="preserve">”</w:t>
      </w:r>
      <w:r>
        <w:t xml:space="preserve">:</w:t>
      </w:r>
      <w:r>
        <w:t xml:space="preserve"> </w:t>
      </w:r>
      <w:r>
        <w:t xml:space="preserve">“</w:t>
      </w:r>
      <w:r>
        <w:t xml:space="preserve">on some slides there is a forget-me-not, where the striving for life is, where the blood is, this barbed wire — the thorn crown</w:t>
      </w:r>
      <w:r>
        <w:t xml:space="preserve">”</w:t>
      </w:r>
      <w:r>
        <w:t xml:space="preserve">. The observation protocol records a separate element — the transitional screen between themes, on which one of the two symbols and the title of the next section is shown. These transitional screens have a double function. Technically they set the rhythm (see § 3.3). Semantically they work as a</w:t>
      </w:r>
      <w:r>
        <w:t xml:space="preserve"> </w:t>
      </w:r>
      <w:r>
        <w:t xml:space="preserve">“</w:t>
      </w:r>
      <w:r>
        <w:t xml:space="preserve">zero point</w:t>
      </w:r>
      <w:r>
        <w:t xml:space="preserve">”</w:t>
      </w:r>
      <w:r>
        <w:t xml:space="preserve"> </w:t>
      </w:r>
      <w:r>
        <w:t xml:space="preserve">between narrative blocks: a dark background, an isolated symbol, a minimum of text. The forget-me-not is the official international symbol of the Armenian genocide (placed in the logo of the centennial anniversary in 2015); the thorn crown is a symbol that appeals to Christian martyrdom.</w:t>
      </w:r>
    </w:p>
    <w:p>
      <w:pPr>
        <w:pStyle w:val="BodyText"/>
      </w:pPr>
      <w:r>
        <w:t xml:space="preserve">Here an interesting coupling of affective and narrative registers is visible. The forget-me-not works within the secular memorial tradition and is linked to the contemporary act of recognition. The thorn crown works within the religious tradition and links the Armenian genocide to Christian suffering. The choice of both symbols is not an aesthetic decision but a way of addressing two different audiences: those who read the exhibition in a secular memorial key and those who perceive it as a story of martyrdom. The curator notes that among the guests of the exhibition were</w:t>
      </w:r>
      <w:r>
        <w:t xml:space="preserve"> </w:t>
      </w:r>
      <w:r>
        <w:t xml:space="preserve">“</w:t>
      </w:r>
      <w:r>
        <w:t xml:space="preserve">a delegation from the Krasnodar region… the guys from Anapa… the mayor of Yerevan</w:t>
      </w:r>
      <w:r>
        <w:t xml:space="preserve">”</w:t>
      </w:r>
      <w:r>
        <w:t xml:space="preserve"> </w:t>
      </w:r>
      <w:r>
        <w:t xml:space="preserve">— in other words, a heterogeneous audience. The double symbolism ensures resonance with its different segments.</w:t>
      </w:r>
    </w:p>
    <w:p>
      <w:pPr>
        <w:pStyle w:val="BodyText"/>
      </w:pPr>
      <w:r>
        <w:t xml:space="preserve">The third technique is the</w:t>
      </w:r>
      <w:r>
        <w:t xml:space="preserve"> </w:t>
      </w:r>
      <w:r>
        <w:t xml:space="preserve">“</w:t>
      </w:r>
      <w:r>
        <w:t xml:space="preserve">before/after</w:t>
      </w:r>
      <w:r>
        <w:t xml:space="preserve">”</w:t>
      </w:r>
      <w:r>
        <w:t xml:space="preserve"> </w:t>
      </w:r>
      <w:r>
        <w:t xml:space="preserve">structure. The thematic block</w:t>
      </w:r>
      <w:r>
        <w:t xml:space="preserve"> </w:t>
      </w:r>
      <w:r>
        <w:t xml:space="preserve">“</w:t>
      </w:r>
      <w:r>
        <w:t xml:space="preserve">The Destruction of the Cultural Heritage of the Western Armenians</w:t>
      </w:r>
      <w:r>
        <w:t xml:space="preserve">”</w:t>
      </w:r>
      <w:r>
        <w:t xml:space="preserve"> </w:t>
      </w:r>
      <w:r>
        <w:t xml:space="preserve">is built on the juxtaposition of photographs of Armenian churches and monasteries at two points in time:</w:t>
      </w:r>
      <w:r>
        <w:t xml:space="preserve"> </w:t>
      </w:r>
      <w:r>
        <w:t xml:space="preserve">“</w:t>
      </w:r>
      <w:r>
        <w:t xml:space="preserve">before</w:t>
      </w:r>
      <w:r>
        <w:t xml:space="preserve">”</w:t>
      </w:r>
      <w:r>
        <w:t xml:space="preserve"> </w:t>
      </w:r>
      <w:r>
        <w:t xml:space="preserve">(1912–1915, the buildings intact) and</w:t>
      </w:r>
      <w:r>
        <w:t xml:space="preserve"> </w:t>
      </w:r>
      <w:r>
        <w:t xml:space="preserve">“</w:t>
      </w:r>
      <w:r>
        <w:t xml:space="preserve">after</w:t>
      </w:r>
      <w:r>
        <w:t xml:space="preserve">”</w:t>
      </w:r>
      <w:r>
        <w:t xml:space="preserve"> </w:t>
      </w:r>
      <w:r>
        <w:t xml:space="preserve">(1972–2008, ruins). Here there is neither a direct depiction of violence nor scenes of deportation; the viewer sees only the rupture. Analytically this is a rare example of how</w:t>
      </w:r>
      <w:r>
        <w:t xml:space="preserve"> </w:t>
      </w:r>
      <w:r>
        <w:t xml:space="preserve">“</w:t>
      </w:r>
      <w:r>
        <w:t xml:space="preserve">cultural genocide</w:t>
      </w:r>
      <w:r>
        <w:t xml:space="preserve">”</w:t>
      </w:r>
      <w:r>
        <w:t xml:space="preserve"> </w:t>
      </w:r>
      <w:r>
        <w:t xml:space="preserve">(in Lemkin’s definition, cited on the screen itself) can be shown without scenes of killing. In Kress and van Leeuwen’s terminology this works as a</w:t>
      </w:r>
      <w:r>
        <w:t xml:space="preserve"> </w:t>
      </w:r>
      <w:r>
        <w:t xml:space="preserve">“</w:t>
      </w:r>
      <w:r>
        <w:t xml:space="preserve">narrative produced through montage</w:t>
      </w:r>
      <w:r>
        <w:t xml:space="preserve">”</w:t>
      </w:r>
      <w:r>
        <w:t xml:space="preserve"> </w:t>
      </w:r>
      <w:r>
        <w:t xml:space="preserve">— different frames in a compositional pair produce a meaning that neither of them carries alone</w:t>
      </w:r>
      <w:r>
        <w:rPr>
          <w:rStyle w:val="FootnoteReference"/>
        </w:rPr>
        <w:footnoteReference w:id="196"/>
      </w:r>
      <w:r>
        <w:t xml:space="preserve">. This is perhaps the most</w:t>
      </w:r>
      <w:r>
        <w:t xml:space="preserve"> </w:t>
      </w:r>
      <w:r>
        <w:t xml:space="preserve">“</w:t>
      </w:r>
      <w:r>
        <w:t xml:space="preserve">subtle</w:t>
      </w:r>
      <w:r>
        <w:t xml:space="preserve">”</w:t>
      </w:r>
      <w:r>
        <w:t xml:space="preserve"> </w:t>
      </w:r>
      <w:r>
        <w:t xml:space="preserve">affective strategy of the exhibition: destruction is presented here not as an event but as a result stopped in time, and the effect is achieved through the viewer’s effort of reconstructing the</w:t>
      </w:r>
      <w:r>
        <w:t xml:space="preserve"> </w:t>
      </w:r>
      <w:r>
        <w:t xml:space="preserve">“</w:t>
      </w:r>
      <w:r>
        <w:t xml:space="preserve">interval</w:t>
      </w:r>
      <w:r>
        <w:t xml:space="preserve">”</w:t>
      </w:r>
      <w:r>
        <w:t xml:space="preserve">.</w:t>
      </w:r>
    </w:p>
    <w:p>
      <w:pPr>
        <w:pStyle w:val="BodyText"/>
      </w:pPr>
      <w:r>
        <w:t xml:space="preserve">Finally, a special affective technique is the focus on children. From the general archival corpus the curator and the team select particular types of frame: group portraits of orphans in the block</w:t>
      </w:r>
      <w:r>
        <w:t xml:space="preserve"> </w:t>
      </w:r>
      <w:r>
        <w:t xml:space="preserve">“</w:t>
      </w:r>
      <w:r>
        <w:t xml:space="preserve">Fraternal Aid</w:t>
      </w:r>
      <w:r>
        <w:t xml:space="preserve">”</w:t>
      </w:r>
      <w:r>
        <w:t xml:space="preserve"> </w:t>
      </w:r>
      <w:r>
        <w:t xml:space="preserve">(1897), photographs of children in the concentration settlements of Ras al-Ayn and Deir ez-Zor (Wegner, 1915), child portraits of refugees at Mount Ararat (1915). The observation protocol notes that in several of these frames the child’s direct gaze into the camera is encountered — that very</w:t>
      </w:r>
      <w:r>
        <w:t xml:space="preserve"> </w:t>
      </w:r>
      <w:r>
        <w:t xml:space="preserve">“</w:t>
      </w:r>
      <w:r>
        <w:t xml:space="preserve">demand</w:t>
      </w:r>
      <w:r>
        <w:t xml:space="preserve">”</w:t>
      </w:r>
      <w:r>
        <w:t xml:space="preserve"> </w:t>
      </w:r>
      <w:r>
        <w:t xml:space="preserve">in Kress and van Leeuwen’s sense. This is a deliberate choice: the curator mentions in the interview that</w:t>
      </w:r>
      <w:r>
        <w:t xml:space="preserve"> </w:t>
      </w:r>
      <w:r>
        <w:t xml:space="preserve">“</w:t>
      </w:r>
      <w:r>
        <w:t xml:space="preserve">the restrictions were only on certain frames where the bestial killings of Armenians were depicted, since the exhibition envisages visits not only by adults but also by children/teenagers</w:t>
      </w:r>
      <w:r>
        <w:t xml:space="preserve">”</w:t>
      </w:r>
      <w:r>
        <w:t xml:space="preserve">. In other words, the direct frame of violence is removed from the exposition, and its place is taken by frames with child victims — a format that retains the maximum possible affective load while preserving ethical acceptability.</w:t>
      </w:r>
    </w:p>
    <w:p>
      <w:pPr>
        <w:pStyle w:val="BodyText"/>
      </w:pPr>
      <w:r>
        <w:t xml:space="preserve">This decision is well described through Williams’s concept of the limited</w:t>
      </w:r>
      <w:r>
        <w:t xml:space="preserve"> </w:t>
      </w:r>
      <w:r>
        <w:t xml:space="preserve">“</w:t>
      </w:r>
      <w:r>
        <w:t xml:space="preserve">evidentiary corpus</w:t>
      </w:r>
      <w:r>
        <w:t xml:space="preserve">”</w:t>
      </w:r>
      <w:r>
        <w:t xml:space="preserve"> </w:t>
      </w:r>
      <w:r>
        <w:t xml:space="preserve">of memorial museums:</w:t>
      </w:r>
      <w:r>
        <w:t xml:space="preserve"> </w:t>
      </w:r>
      <w:r>
        <w:t xml:space="preserve">“</w:t>
      </w:r>
      <w:r>
        <w:t xml:space="preserve">organised violence destroys the traces of its existence… every surviving object carries a special evidentiary weight</w:t>
      </w:r>
      <w:r>
        <w:t xml:space="preserve">”</w:t>
      </w:r>
      <w:r>
        <w:rPr>
          <w:rStyle w:val="FootnoteReference"/>
        </w:rPr>
        <w:footnoteReference w:id="197"/>
      </w:r>
      <w:r>
        <w:t xml:space="preserve">. The curators work with the material that has survived and at the same time with the constraints of what can be shown to the public, including schoolchildren. The choice of child images is a compromise between these two requirements, and this compromise itself carries meaning: the memory of the genocide on the exhibition is presented not through a shocking visualisation of killings, but through the faces of those who could not be saved in time.</w:t>
      </w:r>
    </w:p>
    <w:p>
      <w:pPr>
        <w:pStyle w:val="BodyText"/>
      </w:pPr>
      <w:r>
        <w:t xml:space="preserve">In sum, the affective strategies work towards the same task as the narrative architecture and the distribution of voices: to make the history of the genocide</w:t>
      </w:r>
      <w:r>
        <w:t xml:space="preserve"> </w:t>
      </w:r>
      <w:r>
        <w:t xml:space="preserve">“</w:t>
      </w:r>
      <w:r>
        <w:t xml:space="preserve">readable</w:t>
      </w:r>
      <w:r>
        <w:t xml:space="preserve">”</w:t>
      </w:r>
      <w:r>
        <w:t xml:space="preserve"> </w:t>
      </w:r>
      <w:r>
        <w:t xml:space="preserve">within the current political frame. The red colours the past, the colour photograph in the finale closes the present, the symbolism links secular and religious registers, the</w:t>
      </w:r>
      <w:r>
        <w:t xml:space="preserve"> </w:t>
      </w:r>
      <w:r>
        <w:t xml:space="preserve">“</w:t>
      </w:r>
      <w:r>
        <w:t xml:space="preserve">before/after</w:t>
      </w:r>
      <w:r>
        <w:t xml:space="preserve">”</w:t>
      </w:r>
      <w:r>
        <w:t xml:space="preserve"> </w:t>
      </w:r>
      <w:r>
        <w:t xml:space="preserve">montage proves destruction without showing the scene of destruction, and the faces of children hold affect at the edge of ethical acceptability. All these techniques together constitute what Sodaro calls the work of the memorial museum at several levels at once:</w:t>
      </w:r>
      <w:r>
        <w:t xml:space="preserve"> </w:t>
      </w:r>
      <w:r>
        <w:t xml:space="preserve">“</w:t>
      </w:r>
      <w:r>
        <w:t xml:space="preserve">the preservation of the truth about the past, the memorial recognition of the victims, moral education</w:t>
      </w:r>
      <w:r>
        <w:t xml:space="preserve">”</w:t>
      </w:r>
      <w:r>
        <w:t xml:space="preserve"> </w:t>
      </w:r>
      <w:r>
        <w:t xml:space="preserve">— and, tacitly,</w:t>
      </w:r>
      <w:r>
        <w:t xml:space="preserve"> </w:t>
      </w:r>
      <w:r>
        <w:t xml:space="preserve">“</w:t>
      </w:r>
      <w:r>
        <w:t xml:space="preserve">the legitimation of the current political regime</w:t>
      </w:r>
      <w:r>
        <w:t xml:space="preserve">”</w:t>
      </w:r>
      <w:r>
        <w:rPr>
          <w:rStyle w:val="FootnoteReference"/>
        </w:rPr>
        <w:footnoteReference w:id="198"/>
      </w:r>
      <w:r>
        <w:t xml:space="preserve">.</w:t>
      </w:r>
    </w:p>
    <w:bookmarkEnd w:id="199"/>
    <w:bookmarkStart w:id="204" w:name="Xd814f418d07be3af7d85e553be14359a39f6367"/>
    <w:p>
      <w:pPr>
        <w:pStyle w:val="Heading2"/>
      </w:pPr>
      <w:r>
        <w:t xml:space="preserve">3.6 Curatorial Compromises: The Constraints of the Venue and the Limits of Visitor Participation</w:t>
      </w:r>
    </w:p>
    <w:p>
      <w:pPr>
        <w:pStyle w:val="FirstParagraph"/>
      </w:pPr>
      <w:r>
        <w:t xml:space="preserve">Any curatorial project is a series of compromises between intention, available material, technology, and institutional context. The third item of the research framework —</w:t>
      </w:r>
      <w:r>
        <w:t xml:space="preserve"> </w:t>
      </w:r>
      <w:r>
        <w:t xml:space="preserve">“</w:t>
      </w:r>
      <w:r>
        <w:t xml:space="preserve">what tensions and trade-offs the curators navigated</w:t>
      </w:r>
      <w:r>
        <w:t xml:space="preserve">”</w:t>
      </w:r>
      <w:r>
        <w:t xml:space="preserve"> </w:t>
      </w:r>
      <w:r>
        <w:t xml:space="preserve">— is examined separately, because the compromises do not reduce to particular decisions but run through the entire exposition. On the basis of a juxtaposition of observation and interview, four main tensions can be identified.</w:t>
      </w:r>
    </w:p>
    <w:p>
      <w:pPr>
        <w:pStyle w:val="BodyText"/>
      </w:pPr>
      <w:r>
        <w:t xml:space="preserve">The first tension is between the</w:t>
      </w:r>
      <w:r>
        <w:t xml:space="preserve"> </w:t>
      </w:r>
      <w:r>
        <w:t xml:space="preserve">“</w:t>
      </w:r>
      <w:r>
        <w:t xml:space="preserve">Russian</w:t>
      </w:r>
      <w:r>
        <w:t xml:space="preserve">”</w:t>
      </w:r>
      <w:r>
        <w:t xml:space="preserve"> </w:t>
      </w:r>
      <w:r>
        <w:t xml:space="preserve">concept and the density of the Armenian material. Originally, as the curator explains, the exhibition was conceived as a story</w:t>
      </w:r>
      <w:r>
        <w:t xml:space="preserve"> </w:t>
      </w:r>
      <w:r>
        <w:t xml:space="preserve">“</w:t>
      </w:r>
      <w:r>
        <w:t xml:space="preserve">around Russia’s participation</w:t>
      </w:r>
      <w:r>
        <w:t xml:space="preserve">”</w:t>
      </w:r>
      <w:r>
        <w:t xml:space="preserve">, primarily through the plot of the Tatianinsky committee and the aid to orphans. But</w:t>
      </w:r>
      <w:r>
        <w:t xml:space="preserve"> </w:t>
      </w:r>
      <w:r>
        <w:t xml:space="preserve">“</w:t>
      </w:r>
      <w:r>
        <w:t xml:space="preserve">when we began to unfold the theme, we realised that it did not work around Russia… we tried to stay around Russia’s participation, in order not to deviate conceptually from what the historical park does</w:t>
      </w:r>
      <w:r>
        <w:t xml:space="preserve">”</w:t>
      </w:r>
      <w:r>
        <w:t xml:space="preserve">. As a result — a compromise:</w:t>
      </w:r>
      <w:r>
        <w:t xml:space="preserve"> </w:t>
      </w:r>
      <w:r>
        <w:t xml:space="preserve">“</w:t>
      </w:r>
      <w:r>
        <w:t xml:space="preserve">we realised that not everything could be done that way, and we decided that we would tell it chronologically</w:t>
      </w:r>
      <w:r>
        <w:t xml:space="preserve">”</w:t>
      </w:r>
      <w:r>
        <w:t xml:space="preserve">. This episode is analytically very valuable. It shows that the chronological principle, which we described in § 3.1 as the structural support of the entire exhibition, was adopted not as the original design but as a way out of an impasse: the</w:t>
      </w:r>
      <w:r>
        <w:t xml:space="preserve"> </w:t>
      </w:r>
      <w:r>
        <w:t xml:space="preserve">“</w:t>
      </w:r>
      <w:r>
        <w:t xml:space="preserve">Russian</w:t>
      </w:r>
      <w:r>
        <w:t xml:space="preserve">”</w:t>
      </w:r>
      <w:r>
        <w:t xml:space="preserve"> </w:t>
      </w:r>
      <w:r>
        <w:t xml:space="preserve">concept could not hold the entire story, and chronology became the solution that allowed everything to be shown while keeping the</w:t>
      </w:r>
      <w:r>
        <w:t xml:space="preserve"> </w:t>
      </w:r>
      <w:r>
        <w:t xml:space="preserve">“</w:t>
      </w:r>
      <w:r>
        <w:t xml:space="preserve">Russian</w:t>
      </w:r>
      <w:r>
        <w:t xml:space="preserve">”</w:t>
      </w:r>
      <w:r>
        <w:t xml:space="preserve"> </w:t>
      </w:r>
      <w:r>
        <w:t xml:space="preserve">plot at the centre of attention. This is an example of what Terry Smith calls</w:t>
      </w:r>
      <w:r>
        <w:t xml:space="preserve"> </w:t>
      </w:r>
      <w:r>
        <w:t xml:space="preserve">“</w:t>
      </w:r>
      <w:r>
        <w:t xml:space="preserve">curatorial thinking… deeply embedded in the practice of actually mounting the exhibition</w:t>
      </w:r>
      <w:r>
        <w:t xml:space="preserve">”</w:t>
      </w:r>
      <w:r>
        <w:rPr>
          <w:rStyle w:val="FootnoteReference"/>
        </w:rPr>
        <w:footnoteReference w:id="200"/>
      </w:r>
      <w:r>
        <w:t xml:space="preserve">: the concept was formed not before the work but in the course of it.</w:t>
      </w:r>
    </w:p>
    <w:p>
      <w:pPr>
        <w:pStyle w:val="BodyText"/>
      </w:pPr>
      <w:r>
        <w:t xml:space="preserve">The second tension is between the authorship of the diaspora curators and the control of the museum</w:t>
      </w:r>
      <w:r>
        <w:t xml:space="preserve"> </w:t>
      </w:r>
      <w:r>
        <w:t xml:space="preserve">“</w:t>
      </w:r>
      <w:r>
        <w:t xml:space="preserve">Russia — My History</w:t>
      </w:r>
      <w:r>
        <w:t xml:space="preserve">”</w:t>
      </w:r>
      <w:r>
        <w:t xml:space="preserve">. In the interview this plot sounds softly but distinctly:</w:t>
      </w:r>
      <w:r>
        <w:t xml:space="preserve"> </w:t>
      </w:r>
      <w:r>
        <w:t xml:space="preserve">“</w:t>
      </w:r>
      <w:r>
        <w:t xml:space="preserve">they reviewed it, they participated in the process very actively, there were no really difficult problems, in general they were very loyal and helpful</w:t>
      </w:r>
      <w:r>
        <w:t xml:space="preserve">”</w:t>
      </w:r>
      <w:r>
        <w:t xml:space="preserve">; and at the same time:</w:t>
      </w:r>
      <w:r>
        <w:t xml:space="preserve"> </w:t>
      </w:r>
      <w:r>
        <w:t xml:space="preserve">“</w:t>
      </w:r>
      <w:r>
        <w:t xml:space="preserve">the restrictions were only on certain frames where the bestial killings of Armenians were depicted, since the exhibition envisages visits not only by adults but also by children/teenagers</w:t>
      </w:r>
      <w:r>
        <w:t xml:space="preserve">”</w:t>
      </w:r>
      <w:r>
        <w:t xml:space="preserve">. Here what Aleida Assmann describes as the institutional work with memory is at play:</w:t>
      </w:r>
      <w:r>
        <w:t xml:space="preserve"> </w:t>
      </w:r>
      <w:r>
        <w:t xml:space="preserve">“</w:t>
      </w:r>
      <w:r>
        <w:t xml:space="preserve">institutions are above, and the content of memory is below</w:t>
      </w:r>
      <w:r>
        <w:t xml:space="preserve">”</w:t>
      </w:r>
      <w:r>
        <w:rPr>
          <w:rStyle w:val="FootnoteReference"/>
        </w:rPr>
        <w:footnoteReference w:id="201"/>
      </w:r>
      <w:r>
        <w:t xml:space="preserve">. The museum did not edit the concept but filtered the material. This filtering is not censorship in the strong sense, but a compromise characteristic of the genre between documentary character and the ethics of public display. Williams describes this compromise as the structural contradiction of the memorial genre between</w:t>
      </w:r>
      <w:r>
        <w:t xml:space="preserve"> </w:t>
      </w:r>
      <w:r>
        <w:t xml:space="preserve">“</w:t>
      </w:r>
      <w:r>
        <w:t xml:space="preserve">reverent commemoration and critical interpretation</w:t>
      </w:r>
      <w:r>
        <w:t xml:space="preserve">”</w:t>
      </w:r>
      <w:r>
        <w:rPr>
          <w:rStyle w:val="FootnoteReference"/>
        </w:rPr>
        <w:footnoteReference w:id="202"/>
      </w:r>
      <w:r>
        <w:t xml:space="preserve">; the frames of</w:t>
      </w:r>
      <w:r>
        <w:t xml:space="preserve"> </w:t>
      </w:r>
      <w:r>
        <w:t xml:space="preserve">“</w:t>
      </w:r>
      <w:r>
        <w:t xml:space="preserve">the bestial killings</w:t>
      </w:r>
      <w:r>
        <w:t xml:space="preserve">”</w:t>
      </w:r>
      <w:r>
        <w:t xml:space="preserve"> </w:t>
      </w:r>
      <w:r>
        <w:t xml:space="preserve">are the point where documentary certification runs into the norm of public spectacle, and the curators had to look for a way around it — through child portraits, through engravings with red overlays, through the</w:t>
      </w:r>
      <w:r>
        <w:t xml:space="preserve"> </w:t>
      </w:r>
      <w:r>
        <w:t xml:space="preserve">“</w:t>
      </w:r>
      <w:r>
        <w:t xml:space="preserve">before/after</w:t>
      </w:r>
      <w:r>
        <w:t xml:space="preserve">”</w:t>
      </w:r>
      <w:r>
        <w:t xml:space="preserve"> </w:t>
      </w:r>
      <w:r>
        <w:t xml:space="preserve">of the cultural genocide.</w:t>
      </w:r>
    </w:p>
    <w:p>
      <w:pPr>
        <w:pStyle w:val="BodyText"/>
      </w:pPr>
      <w:r>
        <w:t xml:space="preserve">The third tension is between the declared interactivity of the multimedia format and the factually passive role of the visitor. This was discussed in § 3.2: the only fully active element is located at the entrance zone; the remaining sensor tables duplicate the LED screens. The curator explains this pragmatically —</w:t>
      </w:r>
      <w:r>
        <w:t xml:space="preserve"> </w:t>
      </w:r>
      <w:r>
        <w:t xml:space="preserve">“</w:t>
      </w:r>
      <w:r>
        <w:t xml:space="preserve">additional information would already have been excessive</w:t>
      </w:r>
      <w:r>
        <w:t xml:space="preserve">”</w:t>
      </w:r>
      <w:r>
        <w:t xml:space="preserve"> </w:t>
      </w:r>
      <w:r>
        <w:t xml:space="preserve">— but at the same time acknowledges:</w:t>
      </w:r>
      <w:r>
        <w:t xml:space="preserve"> </w:t>
      </w:r>
      <w:r>
        <w:t xml:space="preserve">“</w:t>
      </w:r>
      <w:r>
        <w:t xml:space="preserve">was the possibility of giving the visitor a more active role, for instance, choosing the route, discussed? — Rather not, because the policy of the museum</w:t>
      </w:r>
      <w:r>
        <w:t xml:space="preserve"> </w:t>
      </w:r>
      <w:r>
        <w:t xml:space="preserve">‘</w:t>
      </w:r>
      <w:r>
        <w:t xml:space="preserve">Russia — My History</w:t>
      </w:r>
      <w:r>
        <w:t xml:space="preserve">’</w:t>
      </w:r>
      <w:r>
        <w:t xml:space="preserve"> </w:t>
      </w:r>
      <w:r>
        <w:t xml:space="preserve">does not envisage such a format</w:t>
      </w:r>
      <w:r>
        <w:t xml:space="preserve">”</w:t>
      </w:r>
      <w:r>
        <w:t xml:space="preserve">. Here the contradiction that Kansteiner described is exposed: the digitisation of memorial space does not mean the transfer of power over the narrative,</w:t>
      </w:r>
      <w:r>
        <w:t xml:space="preserve"> </w:t>
      </w:r>
      <w:r>
        <w:t xml:space="preserve">“</w:t>
      </w:r>
      <w:r>
        <w:t xml:space="preserve">visitors are cast in relatively passive roles</w:t>
      </w:r>
      <w:r>
        <w:t xml:space="preserve">”</w:t>
      </w:r>
      <w:r>
        <w:rPr>
          <w:rStyle w:val="FootnoteReference"/>
        </w:rPr>
        <w:footnoteReference w:id="203"/>
      </w:r>
      <w:r>
        <w:t xml:space="preserve">. In the exhibition</w:t>
      </w:r>
      <w:r>
        <w:t xml:space="preserve"> </w:t>
      </w:r>
      <w:r>
        <w:t xml:space="preserve">“</w:t>
      </w:r>
      <w:r>
        <w:t xml:space="preserve">No to Genocide!</w:t>
      </w:r>
      <w:r>
        <w:t xml:space="preserve">”</w:t>
      </w:r>
      <w:r>
        <w:t xml:space="preserve"> </w:t>
      </w:r>
      <w:r>
        <w:t xml:space="preserve">this contradiction has a concrete explanation: interactivity is limited by the policy of the venue and, in a certain sense, by the character of the topic. The genocide does not lend itself to a choice of route (</w:t>
      </w:r>
      <w:r>
        <w:t xml:space="preserve">“</w:t>
      </w:r>
      <w:r>
        <w:t xml:space="preserve">tell it differently</w:t>
      </w:r>
      <w:r>
        <w:t xml:space="preserve">”</w:t>
      </w:r>
      <w:r>
        <w:t xml:space="preserve">) or to branching versions (</w:t>
      </w:r>
      <w:r>
        <w:t xml:space="preserve">“</w:t>
      </w:r>
      <w:r>
        <w:t xml:space="preserve">what if…</w:t>
      </w:r>
      <w:r>
        <w:t xml:space="preserve">”</w:t>
      </w:r>
      <w:r>
        <w:t xml:space="preserve">). This explains why even a technologically powerful multimedia environment is here reduced to a form close to a controlled presentation.</w:t>
      </w:r>
    </w:p>
    <w:p>
      <w:pPr>
        <w:pStyle w:val="BodyText"/>
      </w:pPr>
      <w:r>
        <w:t xml:space="preserve">The fourth tension is between the political function of recognition and the universalist humanitarian register. The curator formulates the original motive of the project as twofold:</w:t>
      </w:r>
      <w:r>
        <w:t xml:space="preserve"> </w:t>
      </w:r>
      <w:r>
        <w:t xml:space="preserve">“</w:t>
      </w:r>
      <w:r>
        <w:t xml:space="preserve">the history of the Armenian people is under threat… the reputation of the Armenians continues to be undermined by the Turkish–Azerbaijani alliance</w:t>
      </w:r>
      <w:r>
        <w:t xml:space="preserve">”</w:t>
      </w:r>
      <w:r>
        <w:t xml:space="preserve"> </w:t>
      </w:r>
      <w:r>
        <w:t xml:space="preserve">(the declaration cited in § 2.2), and at the same time —</w:t>
      </w:r>
      <w:r>
        <w:t xml:space="preserve"> </w:t>
      </w:r>
      <w:r>
        <w:t xml:space="preserve">“</w:t>
      </w:r>
      <w:r>
        <w:t xml:space="preserve">the fact of the genocide is undeniable</w:t>
      </w:r>
      <w:r>
        <w:t xml:space="preserve">”</w:t>
      </w:r>
      <w:r>
        <w:t xml:space="preserve"> </w:t>
      </w:r>
      <w:r>
        <w:t xml:space="preserve">(interview). In other words, the exhibition has both a narrow political address (the defence of the Armenian position in the current geopolitical conflict) and a universalist one — the presentation of the genocide as a</w:t>
      </w:r>
      <w:r>
        <w:t xml:space="preserve"> </w:t>
      </w:r>
      <w:r>
        <w:t xml:space="preserve">“</w:t>
      </w:r>
      <w:r>
        <w:t xml:space="preserve">crime against humanity</w:t>
      </w:r>
      <w:r>
        <w:t xml:space="preserve">”</w:t>
      </w:r>
      <w:r>
        <w:t xml:space="preserve"> </w:t>
      </w:r>
      <w:r>
        <w:t xml:space="preserve">in Lemkin’s terms. At the level of the exposition, these two registers are combined but not entirely fused: the thematic block</w:t>
      </w:r>
      <w:r>
        <w:t xml:space="preserve"> </w:t>
      </w:r>
      <w:r>
        <w:t xml:space="preserve">“</w:t>
      </w:r>
      <w:r>
        <w:t xml:space="preserve">Russia and the World Recognise and Condemn the Armenian Genocide</w:t>
      </w:r>
      <w:r>
        <w:t xml:space="preserve">”</w:t>
      </w:r>
      <w:r>
        <w:t xml:space="preserve"> </w:t>
      </w:r>
      <w:r>
        <w:t xml:space="preserve">works rather in the political register (the 1995 resolution of the State Duma, the portrait of Putin at the memorial), while the block</w:t>
      </w:r>
      <w:r>
        <w:t xml:space="preserve"> </w:t>
      </w:r>
      <w:r>
        <w:t xml:space="preserve">“</w:t>
      </w:r>
      <w:r>
        <w:t xml:space="preserve">Crime against Humanity and Civilisation</w:t>
      </w:r>
      <w:r>
        <w:t xml:space="preserve">”</w:t>
      </w:r>
      <w:r>
        <w:t xml:space="preserve"> </w:t>
      </w:r>
      <w:r>
        <w:t xml:space="preserve">works in the universalist register (the photographs of Wegner and Pichmann, the citation of Lemkin, the juridical register). The curators do not try to convert one into the other; they leave both layers side by side, and thus different visitors gain the possibility of</w:t>
      </w:r>
      <w:r>
        <w:t xml:space="preserve"> </w:t>
      </w:r>
      <w:r>
        <w:t xml:space="preserve">“</w:t>
      </w:r>
      <w:r>
        <w:t xml:space="preserve">reading</w:t>
      </w:r>
      <w:r>
        <w:t xml:space="preserve">”</w:t>
      </w:r>
      <w:r>
        <w:t xml:space="preserve"> </w:t>
      </w:r>
      <w:r>
        <w:t xml:space="preserve">the exhibition from different positions.</w:t>
      </w:r>
    </w:p>
    <w:p>
      <w:pPr>
        <w:pStyle w:val="BodyText"/>
      </w:pPr>
      <w:r>
        <w:t xml:space="preserve">To these four tensions another, hidden one is added — between authorship and cooperation. The curator repeatedly emphasises in the interview that conceptual help was provided by the Armenian Genocide Museum-Institute in Yerevan:</w:t>
      </w:r>
      <w:r>
        <w:t xml:space="preserve"> </w:t>
      </w:r>
      <w:r>
        <w:t xml:space="preserve">“</w:t>
      </w:r>
      <w:r>
        <w:t xml:space="preserve">they are experienced in this respect; they gave us the actual concept, that is, they said:</w:t>
      </w:r>
      <w:r>
        <w:t xml:space="preserve"> </w:t>
      </w:r>
      <w:r>
        <w:t xml:space="preserve">‘</w:t>
      </w:r>
      <w:r>
        <w:t xml:space="preserve">Guys, let us tell about this, and this, and this</w:t>
      </w:r>
      <w:r>
        <w:t xml:space="preserve">’</w:t>
      </w:r>
      <w:r>
        <w:t xml:space="preserve">”</w:t>
      </w:r>
      <w:r>
        <w:t xml:space="preserve">. At the same time —</w:t>
      </w:r>
      <w:r>
        <w:t xml:space="preserve"> </w:t>
      </w:r>
      <w:r>
        <w:t xml:space="preserve">“</w:t>
      </w:r>
      <w:r>
        <w:t xml:space="preserve">they simply gave us raw material, and some chapters were in Armenian… we processed it ourselves, and our guys processed it, not some specialists</w:t>
      </w:r>
      <w:r>
        <w:t xml:space="preserve">”</w:t>
      </w:r>
      <w:r>
        <w:t xml:space="preserve">. That is, the content is partially imported, while the form is fully developed by the local team of DUAY. This is a rare but important case: the canonical Yerevan narrative of the genocide met the media infrastructure of the Russian multimedia park, and the curators found themselves in the position of translators between two institutional logics. In this sense every decision described in the previous sections — from chronology to the choice of Putin in the finale — is not a</w:t>
      </w:r>
      <w:r>
        <w:t xml:space="preserve"> </w:t>
      </w:r>
      <w:r>
        <w:t xml:space="preserve">“</w:t>
      </w:r>
      <w:r>
        <w:t xml:space="preserve">choice from equal alternatives</w:t>
      </w:r>
      <w:r>
        <w:t xml:space="preserve">”</w:t>
      </w:r>
      <w:r>
        <w:t xml:space="preserve"> </w:t>
      </w:r>
      <w:r>
        <w:t xml:space="preserve">but a decision under conditions where the alternatives are already constrained by the material, by the venue, and by the topic.</w:t>
      </w:r>
    </w:p>
    <w:bookmarkEnd w:id="204"/>
    <w:bookmarkEnd w:id="205"/>
    <w:bookmarkStart w:id="206" w:name="references"/>
    <w:p>
      <w:pPr>
        <w:pStyle w:val="Heading1"/>
      </w:pPr>
      <w:r>
        <w:t xml:space="preserve">REFERENCES</w:t>
      </w:r>
    </w:p>
    <w:p>
      <w:pPr>
        <w:numPr>
          <w:ilvl w:val="0"/>
          <w:numId w:val="1006"/>
        </w:numPr>
        <w:pStyle w:val="Compact"/>
      </w:pPr>
      <w:r>
        <w:t xml:space="preserve">Assmann A. Re-framing memory: Between individual and collective forms of constructing the past // Performing the past: Memory, history, and identity in modern Europe / K. Tilmans, F. van Vree, J. Winter (eds.). Amsterdam: Amsterdam University Press, 2010. P. 35–50.</w:t>
      </w:r>
    </w:p>
    <w:p>
      <w:pPr>
        <w:numPr>
          <w:ilvl w:val="0"/>
          <w:numId w:val="1006"/>
        </w:numPr>
        <w:pStyle w:val="Compact"/>
      </w:pPr>
      <w:r>
        <w:t xml:space="preserve">Assmann A. Cultural memory and Western civilization: Functions, media, archives. Cambridge: Cambridge University Press, 2011.</w:t>
      </w:r>
    </w:p>
    <w:p>
      <w:pPr>
        <w:numPr>
          <w:ilvl w:val="0"/>
          <w:numId w:val="1006"/>
        </w:numPr>
        <w:pStyle w:val="Compact"/>
      </w:pPr>
      <w:r>
        <w:t xml:space="preserve">Assmann J. Communicative and cultural memory // Cultural memory studies: An international and interdisciplinary handbook / A. Erll, A. Nünning (eds.). Berlin: Walter de Gruyter, 2008. P. 109–118.</w:t>
      </w:r>
    </w:p>
    <w:p>
      <w:pPr>
        <w:numPr>
          <w:ilvl w:val="0"/>
          <w:numId w:val="1006"/>
        </w:numPr>
        <w:pStyle w:val="Compact"/>
      </w:pPr>
      <w:r>
        <w:t xml:space="preserve">Bennett T. The exhibitionary complex // New Formations. 1988. No. 4. P. 73–102.</w:t>
      </w:r>
    </w:p>
    <w:p>
      <w:pPr>
        <w:numPr>
          <w:ilvl w:val="0"/>
          <w:numId w:val="1006"/>
        </w:numPr>
        <w:pStyle w:val="Compact"/>
      </w:pPr>
      <w:r>
        <w:t xml:space="preserve">Berger P. L., Luckmann T. The social construction of reality: A treatise in the sociology of knowledge. New York: Anchor Books, 1966.</w:t>
      </w:r>
    </w:p>
    <w:p>
      <w:pPr>
        <w:numPr>
          <w:ilvl w:val="0"/>
          <w:numId w:val="1006"/>
        </w:numPr>
        <w:pStyle w:val="Compact"/>
      </w:pPr>
      <w:r>
        <w:t xml:space="preserve">Connerton P. How societies remember. Cambridge: Cambridge University Press, 1989.</w:t>
      </w:r>
    </w:p>
    <w:p>
      <w:pPr>
        <w:numPr>
          <w:ilvl w:val="0"/>
          <w:numId w:val="1006"/>
        </w:numPr>
        <w:pStyle w:val="Compact"/>
      </w:pPr>
      <w:r>
        <w:t xml:space="preserve">Couldry N., Hepp A. The mediated construction of reality. Cambridge: Polity, 2017.</w:t>
      </w:r>
    </w:p>
    <w:p>
      <w:pPr>
        <w:numPr>
          <w:ilvl w:val="0"/>
          <w:numId w:val="1006"/>
        </w:numPr>
        <w:pStyle w:val="Compact"/>
      </w:pPr>
      <w:r>
        <w:t xml:space="preserve">Erll A. Cultural memory studies: An introduction // Cultural memory studies: An international and interdisciplinary handbook / A. Erll, A. Nünning (eds.). Berlin: Walter de Gruyter, 2008. P. 1–15.</w:t>
      </w:r>
    </w:p>
    <w:p>
      <w:pPr>
        <w:numPr>
          <w:ilvl w:val="0"/>
          <w:numId w:val="1006"/>
        </w:numPr>
        <w:pStyle w:val="Compact"/>
      </w:pPr>
      <w:r>
        <w:t xml:space="preserve">Ernst W. Digital memory and the archive. Minneapolis: University of Minnesota Press, 2013.</w:t>
      </w:r>
    </w:p>
    <w:p>
      <w:pPr>
        <w:numPr>
          <w:ilvl w:val="0"/>
          <w:numId w:val="1006"/>
        </w:numPr>
        <w:pStyle w:val="Compact"/>
      </w:pPr>
      <w:r>
        <w:t xml:space="preserve">Flyvbjerg B. Five misunderstandings about case-study research // Qualitative Inquiry. 2006. Vol. 12, No. 2. P. 219–245. DOI: 10.1177/1077800405284363.</w:t>
      </w:r>
    </w:p>
    <w:p>
      <w:pPr>
        <w:numPr>
          <w:ilvl w:val="0"/>
          <w:numId w:val="1006"/>
        </w:numPr>
        <w:pStyle w:val="Compact"/>
      </w:pPr>
      <w:r>
        <w:t xml:space="preserve">Gantner E., Dovbysh O. Digitization of memory and politics in Eastern Europe // EuropeNow. 2019. September 10. URL: https://www.europenowjournal.org/2019/09/09/on-digitalization-of-memory-and-politics-of-e-heritage-in-eastern-europe/ (accessed: 15.05.2026).</w:t>
      </w:r>
    </w:p>
    <w:p>
      <w:pPr>
        <w:numPr>
          <w:ilvl w:val="0"/>
          <w:numId w:val="1006"/>
        </w:numPr>
        <w:pStyle w:val="Compact"/>
      </w:pPr>
      <w:r>
        <w:t xml:space="preserve">Halbwachs M. On collective memory / L. A. Coser (ed., trans.). Chicago: University of Chicago Press, 1992.</w:t>
      </w:r>
    </w:p>
    <w:p>
      <w:pPr>
        <w:numPr>
          <w:ilvl w:val="0"/>
          <w:numId w:val="1006"/>
        </w:numPr>
        <w:pStyle w:val="Compact"/>
      </w:pPr>
      <w:r>
        <w:t xml:space="preserve">Hepp A. Cultures of mediatization. Cambridge: Polity, 2013.</w:t>
      </w:r>
    </w:p>
    <w:p>
      <w:pPr>
        <w:numPr>
          <w:ilvl w:val="0"/>
          <w:numId w:val="1006"/>
        </w:numPr>
        <w:pStyle w:val="Compact"/>
      </w:pPr>
      <w:r>
        <w:t xml:space="preserve">Hepp A. Deep mediatization. London: Routledge, 2020.</w:t>
      </w:r>
    </w:p>
    <w:p>
      <w:pPr>
        <w:numPr>
          <w:ilvl w:val="0"/>
          <w:numId w:val="1006"/>
        </w:numPr>
        <w:pStyle w:val="Compact"/>
      </w:pPr>
      <w:r>
        <w:t xml:space="preserve">Hjarvard S. The mediatization of society: A theory of the media as agents of social and cultural change // Nordicom Review. 2008. Vol. 29, No. 2. P. 105–134. DOI: 10.1515/nor-2017-0181.</w:t>
      </w:r>
    </w:p>
    <w:p>
      <w:pPr>
        <w:numPr>
          <w:ilvl w:val="0"/>
          <w:numId w:val="1006"/>
        </w:numPr>
        <w:pStyle w:val="Compact"/>
      </w:pPr>
      <w:r>
        <w:t xml:space="preserve">Hooper-Greenhill E. Museums and the interpretation of visual culture. London: Routledge, 2000.</w:t>
      </w:r>
    </w:p>
    <w:p>
      <w:pPr>
        <w:numPr>
          <w:ilvl w:val="0"/>
          <w:numId w:val="1006"/>
        </w:numPr>
        <w:pStyle w:val="Compact"/>
      </w:pPr>
      <w:r>
        <w:t xml:space="preserve">Hoskins A. Media, memory, metaphor: Remembering and the connective turn // Parallax. 2011. Vol. 17, No. 4. P. 19–31. DOI: 10.1080/13534645.2011.605573.</w:t>
      </w:r>
    </w:p>
    <w:p>
      <w:pPr>
        <w:numPr>
          <w:ilvl w:val="0"/>
          <w:numId w:val="1006"/>
        </w:numPr>
        <w:pStyle w:val="Compact"/>
      </w:pPr>
      <w:r>
        <w:t xml:space="preserve">Huyssen A. Present pasts: Urban palimpsests and the politics of memory. Stanford: Stanford University Press, 2003.</w:t>
      </w:r>
    </w:p>
    <w:p>
      <w:pPr>
        <w:numPr>
          <w:ilvl w:val="0"/>
          <w:numId w:val="1006"/>
        </w:numPr>
        <w:pStyle w:val="Compact"/>
      </w:pPr>
      <w:r>
        <w:t xml:space="preserve">Judt T. The past is another country: Myth and memory in postwar Europe // Daedalus. 1992. Vol. 121, No. 4. P. 83–118.</w:t>
      </w:r>
    </w:p>
    <w:p>
      <w:pPr>
        <w:numPr>
          <w:ilvl w:val="0"/>
          <w:numId w:val="1006"/>
        </w:numPr>
        <w:pStyle w:val="Compact"/>
      </w:pPr>
      <w:r>
        <w:t xml:space="preserve">Kansteiner W. The Holocaust in the 21st century: Digital anxiety, transnational cosmopolitanism, and never again genocide without memory // Digital memory studies: Media pasts in transition / A. Hoskins (ed.). London: Routledge, 2018. P. 110–140.</w:t>
      </w:r>
    </w:p>
    <w:p>
      <w:pPr>
        <w:numPr>
          <w:ilvl w:val="0"/>
          <w:numId w:val="1006"/>
        </w:numPr>
        <w:pStyle w:val="Compact"/>
      </w:pPr>
      <w:r>
        <w:t xml:space="preserve">Kress G., van Leeuwen T. Multimodal discourse: The modes and media of contemporary communication. London: Arnold, 2001.</w:t>
      </w:r>
    </w:p>
    <w:p>
      <w:pPr>
        <w:numPr>
          <w:ilvl w:val="0"/>
          <w:numId w:val="1006"/>
        </w:numPr>
        <w:pStyle w:val="Compact"/>
      </w:pPr>
      <w:r>
        <w:t xml:space="preserve">Kress G., van Leeuwen T. Reading images: The grammar of visual design. 2nd ed. London; New York: Routledge, 2006.</w:t>
      </w:r>
    </w:p>
    <w:p>
      <w:pPr>
        <w:numPr>
          <w:ilvl w:val="0"/>
          <w:numId w:val="1006"/>
        </w:numPr>
        <w:pStyle w:val="Compact"/>
      </w:pPr>
      <w:r>
        <w:t xml:space="preserve">Kvale S., Brinkmann S. InterViews: Learning the craft of qualitative research interviewing. 2nd ed. Thousand Oaks: SAGE Publications, 2009.</w:t>
      </w:r>
    </w:p>
    <w:p>
      <w:pPr>
        <w:numPr>
          <w:ilvl w:val="0"/>
          <w:numId w:val="1006"/>
        </w:numPr>
        <w:pStyle w:val="Compact"/>
      </w:pPr>
      <w:r>
        <w:t xml:space="preserve">Macdonald S. Interconnecting: Museum visiting and exhibition design // CoDesign. 2007. Vol. 3, sup1. P. 149–162. DOI: 10.1080/15710880701311502.</w:t>
      </w:r>
    </w:p>
    <w:p>
      <w:pPr>
        <w:numPr>
          <w:ilvl w:val="0"/>
          <w:numId w:val="1006"/>
        </w:numPr>
        <w:pStyle w:val="Compact"/>
      </w:pPr>
      <w:r>
        <w:t xml:space="preserve">Manovich L. The language of new media. Cambridge, MA: MIT Press, 2001.</w:t>
      </w:r>
    </w:p>
    <w:p>
      <w:pPr>
        <w:numPr>
          <w:ilvl w:val="0"/>
          <w:numId w:val="1006"/>
        </w:numPr>
        <w:pStyle w:val="Compact"/>
      </w:pPr>
      <w:r>
        <w:t xml:space="preserve">Nora P. Between memory and history: Les lieux de mémoire // Representations. 1989. No. 26. P. 7–24.</w:t>
      </w:r>
    </w:p>
    <w:p>
      <w:pPr>
        <w:numPr>
          <w:ilvl w:val="0"/>
          <w:numId w:val="1006"/>
        </w:numPr>
        <w:pStyle w:val="Compact"/>
      </w:pPr>
      <w:r>
        <w:t xml:space="preserve">Olick J. K. Collective memory: The two cultures // Sociological Theory. 1999. Vol. 17, No. 3. P. 333–348. DOI: 10.1111/0735-2751.00083.</w:t>
      </w:r>
    </w:p>
    <w:p>
      <w:pPr>
        <w:numPr>
          <w:ilvl w:val="0"/>
          <w:numId w:val="1006"/>
        </w:numPr>
        <w:pStyle w:val="Compact"/>
      </w:pPr>
      <w:r>
        <w:t xml:space="preserve">O’Neill P. The culture of curating and the curating of culture(s). Cambridge, MA: MIT Press, 2012.</w:t>
      </w:r>
    </w:p>
    <w:p>
      <w:pPr>
        <w:numPr>
          <w:ilvl w:val="0"/>
          <w:numId w:val="1006"/>
        </w:numPr>
        <w:pStyle w:val="Compact"/>
      </w:pPr>
      <w:r>
        <w:t xml:space="preserve">Parry R. (ed.). Museums in a digital age. London: Routledge, 2010.</w:t>
      </w:r>
    </w:p>
    <w:p>
      <w:pPr>
        <w:numPr>
          <w:ilvl w:val="0"/>
          <w:numId w:val="1006"/>
        </w:numPr>
        <w:pStyle w:val="Compact"/>
      </w:pPr>
      <w:r>
        <w:t xml:space="preserve">Rigney A. Portable monuments: Literature, cultural memory, and the case of Jeanie Deans // Poetics Today. 2004. Vol. 25, No. 2. P. 361–396. DOI: 10.1215/03335372-25-2-361.</w:t>
      </w:r>
    </w:p>
    <w:p>
      <w:pPr>
        <w:numPr>
          <w:ilvl w:val="0"/>
          <w:numId w:val="1006"/>
        </w:numPr>
        <w:pStyle w:val="Compact"/>
      </w:pPr>
      <w:r>
        <w:t xml:space="preserve">Silverstone R. Media and morality: On the rise of the mediapolis. Cambridge: Polity, 2007.</w:t>
      </w:r>
    </w:p>
    <w:p>
      <w:pPr>
        <w:numPr>
          <w:ilvl w:val="0"/>
          <w:numId w:val="1006"/>
        </w:numPr>
        <w:pStyle w:val="Compact"/>
      </w:pPr>
      <w:r>
        <w:t xml:space="preserve">Smith T. Thinking contemporary curating. New York: Independent Curators International, 2012.</w:t>
      </w:r>
    </w:p>
    <w:p>
      <w:pPr>
        <w:numPr>
          <w:ilvl w:val="0"/>
          <w:numId w:val="1006"/>
        </w:numPr>
        <w:pStyle w:val="Compact"/>
      </w:pPr>
      <w:r>
        <w:t xml:space="preserve">Sodaro A. Exhibiting atrocity: Memorial museums and the politics of past violence. New Brunswick: Rutgers University Press, 2018.</w:t>
      </w:r>
    </w:p>
    <w:p>
      <w:pPr>
        <w:numPr>
          <w:ilvl w:val="0"/>
          <w:numId w:val="1006"/>
        </w:numPr>
        <w:pStyle w:val="Compact"/>
      </w:pPr>
      <w:r>
        <w:t xml:space="preserve">Stake R. E. The art of case study research. Thousand Oaks: SAGE Publications, 1995.</w:t>
      </w:r>
    </w:p>
    <w:p>
      <w:pPr>
        <w:numPr>
          <w:ilvl w:val="0"/>
          <w:numId w:val="1006"/>
        </w:numPr>
        <w:pStyle w:val="Compact"/>
      </w:pPr>
      <w:r>
        <w:t xml:space="preserve">Traverso E. Le passé: Modes d’emploi. Histoire, mémoire, politique. Paris: La Fabrique Éditions, 2005.</w:t>
      </w:r>
    </w:p>
    <w:p>
      <w:pPr>
        <w:numPr>
          <w:ilvl w:val="0"/>
          <w:numId w:val="1006"/>
        </w:numPr>
        <w:pStyle w:val="Compact"/>
      </w:pPr>
      <w:r>
        <w:t xml:space="preserve">Williams P. Memorial museums: The global rush to commemorate atrocities. Oxford; New York: Berg, 2007.</w:t>
      </w:r>
    </w:p>
    <w:p>
      <w:pPr>
        <w:numPr>
          <w:ilvl w:val="0"/>
          <w:numId w:val="1006"/>
        </w:numPr>
        <w:pStyle w:val="Compact"/>
      </w:pPr>
      <w:r>
        <w:t xml:space="preserve">Yin R. K. Case study research: Design and methods. 3rd ed. Thousand Oaks: SAGE Publications, 2003.</w:t>
      </w:r>
    </w:p>
    <w:bookmarkEnd w:id="2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Gantner E., Dovbysh O. Digitization of Memory and Politics in Eastern Europe // EuropeNow. 2019. September 10. URL: https://www.europenowjournal.org/2019/09/09/on-digitalization-of-memory-and-politics-of-e-heritage-in-eastern-europe/ (accessed: 15.05.2026).</w:t>
      </w:r>
    </w:p>
  </w:footnote>
  <w:footnote w:id="22">
    <w:p>
      <w:pPr>
        <w:pStyle w:val="FootnoteText"/>
      </w:pPr>
      <w:r>
        <w:rPr>
          <w:rStyle w:val="FootnoteReference"/>
        </w:rPr>
        <w:footnoteRef/>
      </w:r>
      <w:r>
        <w:t xml:space="preserve"> </w:t>
      </w:r>
      <w:r>
        <w:t xml:space="preserve">Hjarvard S. The Mediatization of Society: A Theory of the Media as Agents of Social and Cultural Change // Nordicom Review. 2008. Vol. 29, No. 2. P. 105–134.</w:t>
      </w:r>
    </w:p>
  </w:footnote>
  <w:footnote w:id="23">
    <w:p>
      <w:pPr>
        <w:pStyle w:val="FootnoteText"/>
      </w:pPr>
      <w:r>
        <w:rPr>
          <w:rStyle w:val="FootnoteReference"/>
        </w:rPr>
        <w:footnoteRef/>
      </w:r>
      <w:r>
        <w:t xml:space="preserve"> </w:t>
      </w:r>
      <w:r>
        <w:t xml:space="preserve">Hepp A. Deep Mediatization. London: Routledge, 2020.</w:t>
      </w:r>
    </w:p>
  </w:footnote>
  <w:footnote w:id="24">
    <w:p>
      <w:pPr>
        <w:pStyle w:val="FootnoteText"/>
      </w:pPr>
      <w:r>
        <w:rPr>
          <w:rStyle w:val="FootnoteReference"/>
        </w:rPr>
        <w:footnoteRef/>
      </w:r>
      <w:r>
        <w:t xml:space="preserve"> </w:t>
      </w:r>
      <w:r>
        <w:t xml:space="preserve">Couldry N., Hepp A. The Mediated Construction of Reality. Cambridge: Polity, 2017.</w:t>
      </w:r>
    </w:p>
  </w:footnote>
  <w:footnote w:id="25">
    <w:p>
      <w:pPr>
        <w:pStyle w:val="FootnoteText"/>
      </w:pPr>
      <w:r>
        <w:rPr>
          <w:rStyle w:val="FootnoteReference"/>
        </w:rPr>
        <w:footnoteRef/>
      </w:r>
      <w:r>
        <w:t xml:space="preserve"> </w:t>
      </w:r>
      <w:r>
        <w:t xml:space="preserve">Halbwachs M. On Collective Memory / L. A. Coser (ed., trans.). Chicago: University of Chicago Press, 1992.</w:t>
      </w:r>
    </w:p>
  </w:footnote>
  <w:footnote w:id="26">
    <w:p>
      <w:pPr>
        <w:pStyle w:val="FootnoteText"/>
      </w:pPr>
      <w:r>
        <w:rPr>
          <w:rStyle w:val="FootnoteReference"/>
        </w:rPr>
        <w:footnoteRef/>
      </w:r>
      <w:r>
        <w:t xml:space="preserve"> </w:t>
      </w:r>
      <w:r>
        <w:t xml:space="preserve">Assmann J. Communicative and Cultural Memory // Cultural Memory Studies: An International and Interdisciplinary Handbook / A. Erll, A. Nünning (eds.). Berlin: Walter de Gruyter, 2008. P. 109–118.</w:t>
      </w:r>
    </w:p>
  </w:footnote>
  <w:footnote w:id="27">
    <w:p>
      <w:pPr>
        <w:pStyle w:val="FootnoteText"/>
      </w:pPr>
      <w:r>
        <w:rPr>
          <w:rStyle w:val="FootnoteReference"/>
        </w:rPr>
        <w:footnoteRef/>
      </w:r>
      <w:r>
        <w:t xml:space="preserve"> </w:t>
      </w:r>
      <w:r>
        <w:t xml:space="preserve">Assmann A. Cultural Memory and Western Civilization: Functions, Media, Archives. Cambridge: Cambridge University Press, 2011.</w:t>
      </w:r>
    </w:p>
  </w:footnote>
  <w:footnote w:id="28">
    <w:p>
      <w:pPr>
        <w:pStyle w:val="FootnoteText"/>
      </w:pPr>
      <w:r>
        <w:rPr>
          <w:rStyle w:val="FootnoteReference"/>
        </w:rPr>
        <w:footnoteRef/>
      </w:r>
      <w:r>
        <w:t xml:space="preserve"> </w:t>
      </w:r>
      <w:r>
        <w:t xml:space="preserve">Erll A. Cultural Memory Studies: An Introduction // Cultural Memory Studies: An International and Interdisciplinary Handbook / A. Erll, A. Nünning (eds.). Berlin: Walter de Gruyter, 2008. P. 1–15.</w:t>
      </w:r>
    </w:p>
  </w:footnote>
  <w:footnote w:id="29">
    <w:p>
      <w:pPr>
        <w:pStyle w:val="FootnoteText"/>
      </w:pPr>
      <w:r>
        <w:rPr>
          <w:rStyle w:val="FootnoteReference"/>
        </w:rPr>
        <w:footnoteRef/>
      </w:r>
      <w:r>
        <w:t xml:space="preserve"> </w:t>
      </w:r>
      <w:r>
        <w:t xml:space="preserve">Rigney A. Portable Monuments: Literature, Cultural Memory, and the Case of Jeanie Deans // Poetics Today. 2004. Vol. 25, No. 2. P. 361–396.</w:t>
      </w:r>
    </w:p>
  </w:footnote>
  <w:footnote w:id="30">
    <w:p>
      <w:pPr>
        <w:pStyle w:val="FootnoteText"/>
      </w:pPr>
      <w:r>
        <w:rPr>
          <w:rStyle w:val="FootnoteReference"/>
        </w:rPr>
        <w:footnoteRef/>
      </w:r>
      <w:r>
        <w:t xml:space="preserve"> </w:t>
      </w:r>
      <w:r>
        <w:t xml:space="preserve">Connerton P. How Societies Remember. Cambridge: Cambridge University Press, 1989.</w:t>
      </w:r>
    </w:p>
  </w:footnote>
  <w:footnote w:id="31">
    <w:p>
      <w:pPr>
        <w:pStyle w:val="FootnoteText"/>
      </w:pPr>
      <w:r>
        <w:rPr>
          <w:rStyle w:val="FootnoteReference"/>
        </w:rPr>
        <w:footnoteRef/>
      </w:r>
      <w:r>
        <w:t xml:space="preserve"> </w:t>
      </w:r>
      <w:r>
        <w:t xml:space="preserve">Olick J. K. Collective Memory: The Two Cultures // Sociological Theory. 1999. Vol. 17, No. 3. P. 333–348.</w:t>
      </w:r>
    </w:p>
  </w:footnote>
  <w:footnote w:id="32">
    <w:p>
      <w:pPr>
        <w:pStyle w:val="FootnoteText"/>
      </w:pPr>
      <w:r>
        <w:rPr>
          <w:rStyle w:val="FootnoteReference"/>
        </w:rPr>
        <w:footnoteRef/>
      </w:r>
      <w:r>
        <w:t xml:space="preserve"> </w:t>
      </w:r>
      <w:r>
        <w:t xml:space="preserve">Nora P. Between Memory and History: Les lieux de mémoire // Representations. 1989. No. 26. P. 7–24.</w:t>
      </w:r>
    </w:p>
  </w:footnote>
  <w:footnote w:id="33">
    <w:p>
      <w:pPr>
        <w:pStyle w:val="FootnoteText"/>
      </w:pPr>
      <w:r>
        <w:rPr>
          <w:rStyle w:val="FootnoteReference"/>
        </w:rPr>
        <w:footnoteRef/>
      </w:r>
      <w:r>
        <w:t xml:space="preserve"> </w:t>
      </w:r>
      <w:r>
        <w:t xml:space="preserve">Assmann A. Re-framing Memory: Between Individual and Collective Forms of Constructing the Past // Performing the Past: Memory, History, and Identity in Modern Europe / K. Tilmans, F. van Vree, J. Winter (eds.). Amsterdam: Amsterdam University Press, 2010. P. 35–50.</w:t>
      </w:r>
    </w:p>
  </w:footnote>
  <w:footnote w:id="34">
    <w:p>
      <w:pPr>
        <w:pStyle w:val="FootnoteText"/>
      </w:pPr>
      <w:r>
        <w:rPr>
          <w:rStyle w:val="FootnoteReference"/>
        </w:rPr>
        <w:footnoteRef/>
      </w:r>
      <w:r>
        <w:t xml:space="preserve"> </w:t>
      </w:r>
      <w:r>
        <w:t xml:space="preserve">Judt T. The Past Is Another Country: Myth and Memory in Postwar Europe // Daedalus. 1992. Vol. 121, No. 4. P. 83–118.</w:t>
      </w:r>
    </w:p>
  </w:footnote>
  <w:footnote w:id="35">
    <w:p>
      <w:pPr>
        <w:pStyle w:val="FootnoteText"/>
      </w:pPr>
      <w:r>
        <w:rPr>
          <w:rStyle w:val="FootnoteReference"/>
        </w:rPr>
        <w:footnoteRef/>
      </w:r>
      <w:r>
        <w:t xml:space="preserve"> </w:t>
      </w:r>
      <w:r>
        <w:t xml:space="preserve">Traverso E. Le passé: Modes d’emploi. Histoire, mémoire, politique. Paris: La Fabrique Éditions, 2005.</w:t>
      </w:r>
    </w:p>
  </w:footnote>
  <w:footnote w:id="36">
    <w:p>
      <w:pPr>
        <w:pStyle w:val="FootnoteText"/>
      </w:pPr>
      <w:r>
        <w:rPr>
          <w:rStyle w:val="FootnoteReference"/>
        </w:rPr>
        <w:footnoteRef/>
      </w:r>
      <w:r>
        <w:t xml:space="preserve"> </w:t>
      </w:r>
      <w:r>
        <w:t xml:space="preserve">Hoskins A. Media, Memory, Metaphor: Remembering and the Connective Turn // Parallax. 2011. Vol. 17, No. 4. P. 19–31.</w:t>
      </w:r>
    </w:p>
  </w:footnote>
  <w:footnote w:id="37">
    <w:p>
      <w:pPr>
        <w:pStyle w:val="FootnoteText"/>
      </w:pPr>
      <w:r>
        <w:rPr>
          <w:rStyle w:val="FootnoteReference"/>
        </w:rPr>
        <w:footnoteRef/>
      </w:r>
      <w:r>
        <w:t xml:space="preserve"> </w:t>
      </w:r>
      <w:r>
        <w:t xml:space="preserve">Kansteiner W. The Holocaust in the 21st Century: Digital Anxiety, Transnational Cosmopolitanism, and Never Again Genocide Without Memory // Digital Memory Studies: Media Pasts in Transition / A. Hoskins (ed.). London: Routledge, 2018. P. 110–140.</w:t>
      </w:r>
    </w:p>
  </w:footnote>
  <w:footnote w:id="38">
    <w:p>
      <w:pPr>
        <w:pStyle w:val="FootnoteText"/>
      </w:pPr>
      <w:r>
        <w:rPr>
          <w:rStyle w:val="FootnoteReference"/>
        </w:rPr>
        <w:footnoteRef/>
      </w:r>
      <w:r>
        <w:t xml:space="preserve"> </w:t>
      </w:r>
      <w:r>
        <w:t xml:space="preserve">Ernst W. Digital Memory and the Archive. Minneapolis: University of Minnesota Press, 2013.</w:t>
      </w:r>
    </w:p>
  </w:footnote>
  <w:footnote w:id="39">
    <w:p>
      <w:pPr>
        <w:pStyle w:val="FootnoteText"/>
      </w:pPr>
      <w:r>
        <w:rPr>
          <w:rStyle w:val="FootnoteReference"/>
        </w:rPr>
        <w:footnoteRef/>
      </w:r>
      <w:r>
        <w:t xml:space="preserve"> </w:t>
      </w:r>
      <w:r>
        <w:t xml:space="preserve">Silverstone R. Media and Morality: On the Rise of the Mediapolis. Cambridge: Polity, 2007.</w:t>
      </w:r>
    </w:p>
  </w:footnote>
  <w:footnote w:id="40">
    <w:p>
      <w:pPr>
        <w:pStyle w:val="FootnoteText"/>
      </w:pPr>
      <w:r>
        <w:rPr>
          <w:rStyle w:val="FootnoteReference"/>
        </w:rPr>
        <w:footnoteRef/>
      </w:r>
      <w:r>
        <w:t xml:space="preserve"> </w:t>
      </w:r>
      <w:r>
        <w:t xml:space="preserve">Bennett T. The Exhibitionary Complex // New Formations. 1988. No. 4. P. 73–102.</w:t>
      </w:r>
    </w:p>
  </w:footnote>
  <w:footnote w:id="41">
    <w:p>
      <w:pPr>
        <w:pStyle w:val="FootnoteText"/>
      </w:pPr>
      <w:r>
        <w:rPr>
          <w:rStyle w:val="FootnoteReference"/>
        </w:rPr>
        <w:footnoteRef/>
      </w:r>
      <w:r>
        <w:t xml:space="preserve"> </w:t>
      </w:r>
      <w:r>
        <w:t xml:space="preserve">Hooper-Greenhill E. Museums and the Interpretation of Visual Culture. London: Routledge, 2000.</w:t>
      </w:r>
    </w:p>
  </w:footnote>
  <w:footnote w:id="42">
    <w:p>
      <w:pPr>
        <w:pStyle w:val="FootnoteText"/>
      </w:pPr>
      <w:r>
        <w:rPr>
          <w:rStyle w:val="FootnoteReference"/>
        </w:rPr>
        <w:footnoteRef/>
      </w:r>
      <w:r>
        <w:t xml:space="preserve"> </w:t>
      </w:r>
      <w:r>
        <w:t xml:space="preserve">Huyssen A. Present Pasts: Urban Palimpsests and the Politics of Memory. Stanford: Stanford University Press, 2003.</w:t>
      </w:r>
    </w:p>
  </w:footnote>
  <w:footnote w:id="43">
    <w:p>
      <w:pPr>
        <w:pStyle w:val="FootnoteText"/>
      </w:pPr>
      <w:r>
        <w:rPr>
          <w:rStyle w:val="FootnoteReference"/>
        </w:rPr>
        <w:footnoteRef/>
      </w:r>
      <w:r>
        <w:t xml:space="preserve"> </w:t>
      </w:r>
      <w:r>
        <w:t xml:space="preserve">O’Neill P. The Culture of Curating and the Curating of Culture(s). Cambridge, MA: MIT Press, 2012.</w:t>
      </w:r>
    </w:p>
  </w:footnote>
  <w:footnote w:id="44">
    <w:p>
      <w:pPr>
        <w:pStyle w:val="FootnoteText"/>
      </w:pPr>
      <w:r>
        <w:rPr>
          <w:rStyle w:val="FootnoteReference"/>
        </w:rPr>
        <w:footnoteRef/>
      </w:r>
      <w:r>
        <w:t xml:space="preserve"> </w:t>
      </w:r>
      <w:r>
        <w:t xml:space="preserve">Smith T. Thinking Contemporary Curating. New York: Independent Curators International, 2012.</w:t>
      </w:r>
    </w:p>
  </w:footnote>
  <w:footnote w:id="45">
    <w:p>
      <w:pPr>
        <w:pStyle w:val="FootnoteText"/>
      </w:pPr>
      <w:r>
        <w:rPr>
          <w:rStyle w:val="FootnoteReference"/>
        </w:rPr>
        <w:footnoteRef/>
      </w:r>
      <w:r>
        <w:t xml:space="preserve"> </w:t>
      </w:r>
      <w:r>
        <w:t xml:space="preserve">Manovich L. The Language of New Media. Cambridge, MA: MIT Press, 2001.</w:t>
      </w:r>
    </w:p>
  </w:footnote>
  <w:footnote w:id="46">
    <w:p>
      <w:pPr>
        <w:pStyle w:val="FootnoteText"/>
      </w:pPr>
      <w:r>
        <w:rPr>
          <w:rStyle w:val="FootnoteReference"/>
        </w:rPr>
        <w:footnoteRef/>
      </w:r>
      <w:r>
        <w:t xml:space="preserve"> </w:t>
      </w:r>
      <w:r>
        <w:t xml:space="preserve">Parry R. (ed.). Museums in a Digital Age. London: Routledge, 2010.</w:t>
      </w:r>
    </w:p>
  </w:footnote>
  <w:footnote w:id="47">
    <w:p>
      <w:pPr>
        <w:pStyle w:val="FootnoteText"/>
      </w:pPr>
      <w:r>
        <w:rPr>
          <w:rStyle w:val="FootnoteReference"/>
        </w:rPr>
        <w:footnoteRef/>
      </w:r>
      <w:r>
        <w:t xml:space="preserve"> </w:t>
      </w:r>
      <w:r>
        <w:t xml:space="preserve">Macdonald S. Interconnecting: Museum Visiting and Exhibition Design // CoDesign. 2007. Vol. 3, sup1. P. 149–162.</w:t>
      </w:r>
    </w:p>
  </w:footnote>
  <w:footnote w:id="48">
    <w:p>
      <w:pPr>
        <w:pStyle w:val="FootnoteText"/>
      </w:pPr>
      <w:r>
        <w:rPr>
          <w:rStyle w:val="FootnoteReference"/>
        </w:rPr>
        <w:footnoteRef/>
      </w:r>
      <w:r>
        <w:t xml:space="preserve"> </w:t>
      </w:r>
      <w:r>
        <w:t xml:space="preserve">Williams P. Memorial Museums: The Global Rush to Commemorate Atrocities. Oxford; New York: Berg, 2007.</w:t>
      </w:r>
    </w:p>
  </w:footnote>
  <w:footnote w:id="49">
    <w:p>
      <w:pPr>
        <w:pStyle w:val="FootnoteText"/>
      </w:pPr>
      <w:r>
        <w:rPr>
          <w:rStyle w:val="FootnoteReference"/>
        </w:rPr>
        <w:footnoteRef/>
      </w:r>
      <w:r>
        <w:t xml:space="preserve"> </w:t>
      </w:r>
      <w:r>
        <w:t xml:space="preserve">Sodaro A. Exhibiting Atrocity: Memorial Museums and the Politics of Past Violence. New Brunswick: Rutgers University Press, 2018.</w:t>
      </w:r>
    </w:p>
  </w:footnote>
  <w:footnote w:id="57">
    <w:p>
      <w:pPr>
        <w:pStyle w:val="FootnoteText"/>
      </w:pPr>
      <w:r>
        <w:rPr>
          <w:rStyle w:val="FootnoteReference"/>
        </w:rPr>
        <w:footnoteRef/>
      </w:r>
      <w:r>
        <w:t xml:space="preserve"> </w:t>
      </w:r>
      <w:r>
        <w:t xml:space="preserve">Stake R. E. The Art of Case Study Research. Thousand Oaks: SAGE Publications, 1995.</w:t>
      </w:r>
    </w:p>
  </w:footnote>
  <w:footnote w:id="58">
    <w:p>
      <w:pPr>
        <w:pStyle w:val="FootnoteText"/>
      </w:pPr>
      <w:r>
        <w:rPr>
          <w:rStyle w:val="FootnoteReference"/>
        </w:rPr>
        <w:footnoteRef/>
      </w:r>
      <w:r>
        <w:t xml:space="preserve"> </w:t>
      </w:r>
      <w:r>
        <w:t xml:space="preserve">Flyvbjerg B. Five Misunderstandings about Case-Study Research // Qualitative Inquiry. 2006. Vol. 12, No. 2. P. 219–245.</w:t>
      </w:r>
    </w:p>
  </w:footnote>
  <w:footnote w:id="59">
    <w:p>
      <w:pPr>
        <w:pStyle w:val="FootnoteText"/>
      </w:pPr>
      <w:r>
        <w:rPr>
          <w:rStyle w:val="FootnoteReference"/>
        </w:rPr>
        <w:footnoteRef/>
      </w:r>
      <w:r>
        <w:t xml:space="preserve"> </w:t>
      </w:r>
      <w:r>
        <w:t xml:space="preserve">Yin R. K. Case Study Research: Design and Methods. 3rd ed. Thousand Oaks: SAGE Publications, 2003.</w:t>
      </w:r>
    </w:p>
  </w:footnote>
  <w:footnote w:id="60">
    <w:p>
      <w:pPr>
        <w:pStyle w:val="FootnoteText"/>
      </w:pPr>
      <w:r>
        <w:rPr>
          <w:rStyle w:val="FootnoteReference"/>
        </w:rPr>
        <w:footnoteRef/>
      </w:r>
      <w:r>
        <w:t xml:space="preserve"> </w:t>
      </w:r>
      <w:r>
        <w:t xml:space="preserve">Kress G., van Leeuwen T. Multimodal Discourse: The Modes and Media of Contemporary Communication. London: Arnold, 2001; Kress G., van Leeuwen T. Reading Images: The Grammar of Visual Design. 2nd ed. London; New York: Routledge, 2006.</w:t>
      </w:r>
    </w:p>
  </w:footnote>
  <w:footnote w:id="61">
    <w:p>
      <w:pPr>
        <w:pStyle w:val="FootnoteText"/>
      </w:pPr>
      <w:r>
        <w:rPr>
          <w:rStyle w:val="FootnoteReference"/>
        </w:rPr>
        <w:footnoteRef/>
      </w:r>
      <w:r>
        <w:t xml:space="preserve"> </w:t>
      </w:r>
      <w:r>
        <w:t xml:space="preserve">Kvale S., Brinkmann S. InterViews: Learning the Craft of Qualitative Research Interviewing. 2nd ed. Thousand Oaks: SAGE Publications, 2009.</w:t>
      </w:r>
    </w:p>
  </w:footnote>
  <w:footnote w:id="66">
    <w:p>
      <w:pPr>
        <w:pStyle w:val="FootnoteText"/>
      </w:pPr>
      <w:r>
        <w:rPr>
          <w:rStyle w:val="FootnoteReference"/>
        </w:rPr>
        <w:footnoteRef/>
      </w:r>
      <w:r>
        <w:t xml:space="preserve"> </w:t>
      </w:r>
      <w:r>
        <w:t xml:space="preserve">Hjarvard S. The Mediatization of Society: A Theory of the Media as Agents of Social and Cultural Change // Nordicom Review. 2008. Vol. 29, No. 2. P. 105–134.</w:t>
      </w:r>
    </w:p>
  </w:footnote>
  <w:footnote w:id="67">
    <w:p>
      <w:pPr>
        <w:pStyle w:val="FootnoteText"/>
      </w:pPr>
      <w:r>
        <w:rPr>
          <w:rStyle w:val="FootnoteReference"/>
        </w:rPr>
        <w:footnoteRef/>
      </w:r>
      <w:r>
        <w:t xml:space="preserve"> </w:t>
      </w:r>
      <w:r>
        <w:t xml:space="preserve">Hjarvard S. The Mediatization of Society. P. 105.</w:t>
      </w:r>
    </w:p>
  </w:footnote>
  <w:footnote w:id="68">
    <w:p>
      <w:pPr>
        <w:pStyle w:val="FootnoteText"/>
      </w:pPr>
      <w:r>
        <w:rPr>
          <w:rStyle w:val="FootnoteReference"/>
        </w:rPr>
        <w:footnoteRef/>
      </w:r>
      <w:r>
        <w:t xml:space="preserve"> </w:t>
      </w:r>
      <w:r>
        <w:t xml:space="preserve">Hjarvard S. The Mediatization of Society. P. 113.</w:t>
      </w:r>
    </w:p>
  </w:footnote>
  <w:footnote w:id="69">
    <w:p>
      <w:pPr>
        <w:pStyle w:val="FootnoteText"/>
      </w:pPr>
      <w:r>
        <w:rPr>
          <w:rStyle w:val="FootnoteReference"/>
        </w:rPr>
        <w:footnoteRef/>
      </w:r>
      <w:r>
        <w:t xml:space="preserve"> </w:t>
      </w:r>
      <w:r>
        <w:t xml:space="preserve">Hjarvard S. The Mediatization of Society. P. 105.</w:t>
      </w:r>
    </w:p>
  </w:footnote>
  <w:footnote w:id="70">
    <w:p>
      <w:pPr>
        <w:pStyle w:val="FootnoteText"/>
      </w:pPr>
      <w:r>
        <w:rPr>
          <w:rStyle w:val="FootnoteReference"/>
        </w:rPr>
        <w:footnoteRef/>
      </w:r>
      <w:r>
        <w:t xml:space="preserve"> </w:t>
      </w:r>
      <w:r>
        <w:t xml:space="preserve">Hjarvard S. The Mediatization of Society. P. 114.</w:t>
      </w:r>
    </w:p>
  </w:footnote>
  <w:footnote w:id="71">
    <w:p>
      <w:pPr>
        <w:pStyle w:val="FootnoteText"/>
      </w:pPr>
      <w:r>
        <w:rPr>
          <w:rStyle w:val="FootnoteReference"/>
        </w:rPr>
        <w:footnoteRef/>
      </w:r>
      <w:r>
        <w:t xml:space="preserve"> </w:t>
      </w:r>
      <w:r>
        <w:t xml:space="preserve">Hjarvard S. The Mediatization of Society. P. 114–115.</w:t>
      </w:r>
    </w:p>
  </w:footnote>
  <w:footnote w:id="72">
    <w:p>
      <w:pPr>
        <w:pStyle w:val="FootnoteText"/>
      </w:pPr>
      <w:r>
        <w:rPr>
          <w:rStyle w:val="FootnoteReference"/>
        </w:rPr>
        <w:footnoteRef/>
      </w:r>
      <w:r>
        <w:t xml:space="preserve"> </w:t>
      </w:r>
      <w:r>
        <w:t xml:space="preserve">Hepp A. Deep Mediatization. London: Routledge, 2020. P. 40.</w:t>
      </w:r>
    </w:p>
  </w:footnote>
  <w:footnote w:id="73">
    <w:p>
      <w:pPr>
        <w:pStyle w:val="FootnoteText"/>
      </w:pPr>
      <w:r>
        <w:rPr>
          <w:rStyle w:val="FootnoteReference"/>
        </w:rPr>
        <w:footnoteRef/>
      </w:r>
      <w:r>
        <w:t xml:space="preserve"> </w:t>
      </w:r>
      <w:r>
        <w:t xml:space="preserve">Hepp A. Cultures of Mediatization. Cambridge: Polity, 2013. P. 46.</w:t>
      </w:r>
    </w:p>
  </w:footnote>
  <w:footnote w:id="74">
    <w:p>
      <w:pPr>
        <w:pStyle w:val="FootnoteText"/>
      </w:pPr>
      <w:r>
        <w:rPr>
          <w:rStyle w:val="FootnoteReference"/>
        </w:rPr>
        <w:footnoteRef/>
      </w:r>
      <w:r>
        <w:t xml:space="preserve"> </w:t>
      </w:r>
      <w:r>
        <w:t xml:space="preserve">Hepp A. Cultures of Mediatization. P. 69.</w:t>
      </w:r>
    </w:p>
  </w:footnote>
  <w:footnote w:id="75">
    <w:p>
      <w:pPr>
        <w:pStyle w:val="FootnoteText"/>
      </w:pPr>
      <w:r>
        <w:rPr>
          <w:rStyle w:val="FootnoteReference"/>
        </w:rPr>
        <w:footnoteRef/>
      </w:r>
      <w:r>
        <w:t xml:space="preserve"> </w:t>
      </w:r>
      <w:r>
        <w:t xml:space="preserve">Berger P. L., Luckmann T. The Social Construction of Reality: A Treatise in the Sociology of Knowledge. New York: Anchor Books, 1966. P. 61.</w:t>
      </w:r>
    </w:p>
  </w:footnote>
  <w:footnote w:id="76">
    <w:p>
      <w:pPr>
        <w:pStyle w:val="FootnoteText"/>
      </w:pPr>
      <w:r>
        <w:rPr>
          <w:rStyle w:val="FootnoteReference"/>
        </w:rPr>
        <w:footnoteRef/>
      </w:r>
      <w:r>
        <w:t xml:space="preserve"> </w:t>
      </w:r>
      <w:r>
        <w:t xml:space="preserve">Couldry N., Hepp A. The Mediated Construction of Reality. Cambridge: Polity, 2017. P. 7, 34.</w:t>
      </w:r>
    </w:p>
  </w:footnote>
  <w:footnote w:id="78">
    <w:p>
      <w:pPr>
        <w:pStyle w:val="FootnoteText"/>
      </w:pPr>
      <w:r>
        <w:rPr>
          <w:rStyle w:val="FootnoteReference"/>
        </w:rPr>
        <w:footnoteRef/>
      </w:r>
      <w:r>
        <w:t xml:space="preserve"> </w:t>
      </w:r>
      <w:r>
        <w:t xml:space="preserve">Halbwachs M. On Collective Memory / L. A. Coser (ed., trans.). Chicago: University of Chicago Press, 1992. P. 44.</w:t>
      </w:r>
    </w:p>
  </w:footnote>
  <w:footnote w:id="79">
    <w:p>
      <w:pPr>
        <w:pStyle w:val="FootnoteText"/>
      </w:pPr>
      <w:r>
        <w:rPr>
          <w:rStyle w:val="FootnoteReference"/>
        </w:rPr>
        <w:footnoteRef/>
      </w:r>
      <w:r>
        <w:t xml:space="preserve"> </w:t>
      </w:r>
      <w:r>
        <w:t xml:space="preserve">Connerton P. How Societies Remember. Cambridge: Cambridge University Press, 1989.</w:t>
      </w:r>
    </w:p>
  </w:footnote>
  <w:footnote w:id="80">
    <w:p>
      <w:pPr>
        <w:pStyle w:val="FootnoteText"/>
      </w:pPr>
      <w:r>
        <w:rPr>
          <w:rStyle w:val="FootnoteReference"/>
        </w:rPr>
        <w:footnoteRef/>
      </w:r>
      <w:r>
        <w:t xml:space="preserve"> </w:t>
      </w:r>
      <w:r>
        <w:t xml:space="preserve">Assmann J. Communicative and Cultural Memory // Cultural Memory Studies: An International and Interdisciplinary Handbook / A. Erll, A. Nünning (eds.). Berlin: Walter de Gruyter, 2008. P. 109–118.</w:t>
      </w:r>
    </w:p>
  </w:footnote>
  <w:footnote w:id="81">
    <w:p>
      <w:pPr>
        <w:pStyle w:val="FootnoteText"/>
      </w:pPr>
      <w:r>
        <w:rPr>
          <w:rStyle w:val="FootnoteReference"/>
        </w:rPr>
        <w:footnoteRef/>
      </w:r>
      <w:r>
        <w:t xml:space="preserve"> </w:t>
      </w:r>
      <w:r>
        <w:t xml:space="preserve">Assmann A. Cultural Memory and Western Civilization: Functions, Media, Archives. Cambridge: Cambridge University Press, 2011. P. 125.</w:t>
      </w:r>
    </w:p>
  </w:footnote>
  <w:footnote w:id="82">
    <w:p>
      <w:pPr>
        <w:pStyle w:val="FootnoteText"/>
      </w:pPr>
      <w:r>
        <w:rPr>
          <w:rStyle w:val="FootnoteReference"/>
        </w:rPr>
        <w:footnoteRef/>
      </w:r>
      <w:r>
        <w:t xml:space="preserve"> </w:t>
      </w:r>
      <w:r>
        <w:t xml:space="preserve">Assmann A. Cultural Memory and Western Civilization. P. 131.</w:t>
      </w:r>
    </w:p>
  </w:footnote>
  <w:footnote w:id="83">
    <w:p>
      <w:pPr>
        <w:pStyle w:val="FootnoteText"/>
      </w:pPr>
      <w:r>
        <w:rPr>
          <w:rStyle w:val="FootnoteReference"/>
        </w:rPr>
        <w:footnoteRef/>
      </w:r>
      <w:r>
        <w:t xml:space="preserve"> </w:t>
      </w:r>
      <w:r>
        <w:t xml:space="preserve">Assmann A. Cultural Memory and Western Civilization. P. 130.</w:t>
      </w:r>
    </w:p>
  </w:footnote>
  <w:footnote w:id="84">
    <w:p>
      <w:pPr>
        <w:pStyle w:val="FootnoteText"/>
      </w:pPr>
      <w:r>
        <w:rPr>
          <w:rStyle w:val="FootnoteReference"/>
        </w:rPr>
        <w:footnoteRef/>
      </w:r>
      <w:r>
        <w:t xml:space="preserve"> </w:t>
      </w:r>
      <w:r>
        <w:t xml:space="preserve">Assmann A. Cultural Memory and Western Civilization. P. 150.</w:t>
      </w:r>
    </w:p>
  </w:footnote>
  <w:footnote w:id="85">
    <w:p>
      <w:pPr>
        <w:pStyle w:val="FootnoteText"/>
      </w:pPr>
      <w:r>
        <w:rPr>
          <w:rStyle w:val="FootnoteReference"/>
        </w:rPr>
        <w:footnoteRef/>
      </w:r>
      <w:r>
        <w:t xml:space="preserve"> </w:t>
      </w:r>
      <w:r>
        <w:t xml:space="preserve">Nora P. Between Memory and History: Les lieux de mémoire // Representations. 1989. No. 26. P. 19.</w:t>
      </w:r>
    </w:p>
  </w:footnote>
  <w:footnote w:id="86">
    <w:p>
      <w:pPr>
        <w:pStyle w:val="FootnoteText"/>
      </w:pPr>
      <w:r>
        <w:rPr>
          <w:rStyle w:val="FootnoteReference"/>
        </w:rPr>
        <w:footnoteRef/>
      </w:r>
      <w:r>
        <w:t xml:space="preserve"> </w:t>
      </w:r>
      <w:r>
        <w:t xml:space="preserve">Olick J. K. Collective Memory: The Two Cultures // Sociological Theory. 1999. Vol. 17, No. 3. P. 341.</w:t>
      </w:r>
    </w:p>
  </w:footnote>
  <w:footnote w:id="87">
    <w:p>
      <w:pPr>
        <w:pStyle w:val="FootnoteText"/>
      </w:pPr>
      <w:r>
        <w:rPr>
          <w:rStyle w:val="FootnoteReference"/>
        </w:rPr>
        <w:footnoteRef/>
      </w:r>
      <w:r>
        <w:t xml:space="preserve"> </w:t>
      </w:r>
      <w:r>
        <w:t xml:space="preserve">Erll A. Cultural Memory Studies: An Introduction // Cultural Memory Studies: An International and Interdisciplinary Handbook / A. Erll, A. Nünning (eds.). Berlin: Walter de Gruyter, 2008. P. 12.</w:t>
      </w:r>
    </w:p>
  </w:footnote>
  <w:footnote w:id="88">
    <w:p>
      <w:pPr>
        <w:pStyle w:val="FootnoteText"/>
      </w:pPr>
      <w:r>
        <w:rPr>
          <w:rStyle w:val="FootnoteReference"/>
        </w:rPr>
        <w:footnoteRef/>
      </w:r>
      <w:r>
        <w:t xml:space="preserve"> </w:t>
      </w:r>
      <w:r>
        <w:t xml:space="preserve">Erll A. Cultural Memory Studies: An Introduction. P. 12–13.</w:t>
      </w:r>
    </w:p>
  </w:footnote>
  <w:footnote w:id="89">
    <w:p>
      <w:pPr>
        <w:pStyle w:val="FootnoteText"/>
      </w:pPr>
      <w:r>
        <w:rPr>
          <w:rStyle w:val="FootnoteReference"/>
        </w:rPr>
        <w:footnoteRef/>
      </w:r>
      <w:r>
        <w:t xml:space="preserve"> </w:t>
      </w:r>
      <w:r>
        <w:t xml:space="preserve">Erll A. Cultural Memory Studies: An Introduction. P. 14–15.</w:t>
      </w:r>
    </w:p>
  </w:footnote>
  <w:footnote w:id="90">
    <w:p>
      <w:pPr>
        <w:pStyle w:val="FootnoteText"/>
      </w:pPr>
      <w:r>
        <w:rPr>
          <w:rStyle w:val="FootnoteReference"/>
        </w:rPr>
        <w:footnoteRef/>
      </w:r>
      <w:r>
        <w:t xml:space="preserve"> </w:t>
      </w:r>
      <w:r>
        <w:t xml:space="preserve">Erll A. Cultural Memory Studies: An Introduction. P. 14.</w:t>
      </w:r>
    </w:p>
  </w:footnote>
  <w:footnote w:id="91">
    <w:p>
      <w:pPr>
        <w:pStyle w:val="FootnoteText"/>
      </w:pPr>
      <w:r>
        <w:rPr>
          <w:rStyle w:val="FootnoteReference"/>
        </w:rPr>
        <w:footnoteRef/>
      </w:r>
      <w:r>
        <w:t xml:space="preserve"> </w:t>
      </w:r>
      <w:r>
        <w:t xml:space="preserve">Rigney A. Portable Monuments: Literature, Cultural Memory, and the Case of Jeanie Deans // Poetics Today. 2004. Vol. 25, No. 2. P. 368.</w:t>
      </w:r>
    </w:p>
  </w:footnote>
  <w:footnote w:id="92">
    <w:p>
      <w:pPr>
        <w:pStyle w:val="FootnoteText"/>
      </w:pPr>
      <w:r>
        <w:rPr>
          <w:rStyle w:val="FootnoteReference"/>
        </w:rPr>
        <w:footnoteRef/>
      </w:r>
      <w:r>
        <w:t xml:space="preserve"> </w:t>
      </w:r>
      <w:r>
        <w:t xml:space="preserve">Rigney A. Portable Monuments. P. 383.</w:t>
      </w:r>
    </w:p>
  </w:footnote>
  <w:footnote w:id="93">
    <w:p>
      <w:pPr>
        <w:pStyle w:val="FootnoteText"/>
      </w:pPr>
      <w:r>
        <w:rPr>
          <w:rStyle w:val="FootnoteReference"/>
        </w:rPr>
        <w:footnoteRef/>
      </w:r>
      <w:r>
        <w:t xml:space="preserve"> </w:t>
      </w:r>
      <w:r>
        <w:t xml:space="preserve">Rigney A. Portable Monuments. P. 387.</w:t>
      </w:r>
    </w:p>
  </w:footnote>
  <w:footnote w:id="94">
    <w:p>
      <w:pPr>
        <w:pStyle w:val="FootnoteText"/>
      </w:pPr>
      <w:r>
        <w:rPr>
          <w:rStyle w:val="FootnoteReference"/>
        </w:rPr>
        <w:footnoteRef/>
      </w:r>
      <w:r>
        <w:t xml:space="preserve"> </w:t>
      </w:r>
      <w:r>
        <w:t xml:space="preserve">Rigney A. Portable Monuments. P. 381.</w:t>
      </w:r>
    </w:p>
  </w:footnote>
  <w:footnote w:id="96">
    <w:p>
      <w:pPr>
        <w:pStyle w:val="FootnoteText"/>
      </w:pPr>
      <w:r>
        <w:rPr>
          <w:rStyle w:val="FootnoteReference"/>
        </w:rPr>
        <w:footnoteRef/>
      </w:r>
      <w:r>
        <w:t xml:space="preserve"> </w:t>
      </w:r>
      <w:r>
        <w:t xml:space="preserve">Assmann A. Re-framing Memory: Between Individual and Collective Forms of Constructing the Past // Performing the Past: Memory, History, and Identity in Modern Europe / K. Tilmans, F. van Vree, J. Winter (eds.). Amsterdam: Amsterdam University Press, 2010. P. 43.</w:t>
      </w:r>
    </w:p>
  </w:footnote>
  <w:footnote w:id="97">
    <w:p>
      <w:pPr>
        <w:pStyle w:val="FootnoteText"/>
      </w:pPr>
      <w:r>
        <w:rPr>
          <w:rStyle w:val="FootnoteReference"/>
        </w:rPr>
        <w:footnoteRef/>
      </w:r>
      <w:r>
        <w:t xml:space="preserve"> </w:t>
      </w:r>
      <w:r>
        <w:t xml:space="preserve">Assmann A. Re-framing Memory. P. 43.</w:t>
      </w:r>
    </w:p>
  </w:footnote>
  <w:footnote w:id="98">
    <w:p>
      <w:pPr>
        <w:pStyle w:val="FootnoteText"/>
      </w:pPr>
      <w:r>
        <w:rPr>
          <w:rStyle w:val="FootnoteReference"/>
        </w:rPr>
        <w:footnoteRef/>
      </w:r>
      <w:r>
        <w:t xml:space="preserve"> </w:t>
      </w:r>
      <w:r>
        <w:t xml:space="preserve">Assmann A. Re-framing Memory. P. 49.</w:t>
      </w:r>
    </w:p>
  </w:footnote>
  <w:footnote w:id="99">
    <w:p>
      <w:pPr>
        <w:pStyle w:val="FootnoteText"/>
      </w:pPr>
      <w:r>
        <w:rPr>
          <w:rStyle w:val="FootnoteReference"/>
        </w:rPr>
        <w:footnoteRef/>
      </w:r>
      <w:r>
        <w:t xml:space="preserve"> </w:t>
      </w:r>
      <w:r>
        <w:t xml:space="preserve">Judt T. The Past Is Another Country: Myth and Memory in Postwar Europe // Daedalus. 1992. Vol. 121, No. 4. P. 89.</w:t>
      </w:r>
    </w:p>
  </w:footnote>
  <w:footnote w:id="100">
    <w:p>
      <w:pPr>
        <w:pStyle w:val="FootnoteText"/>
      </w:pPr>
      <w:r>
        <w:rPr>
          <w:rStyle w:val="FootnoteReference"/>
        </w:rPr>
        <w:footnoteRef/>
      </w:r>
      <w:r>
        <w:t xml:space="preserve"> </w:t>
      </w:r>
      <w:r>
        <w:t xml:space="preserve">Judt T. The Past Is Another Country. P. 92.</w:t>
      </w:r>
    </w:p>
  </w:footnote>
  <w:footnote w:id="101">
    <w:p>
      <w:pPr>
        <w:pStyle w:val="FootnoteText"/>
      </w:pPr>
      <w:r>
        <w:rPr>
          <w:rStyle w:val="FootnoteReference"/>
        </w:rPr>
        <w:footnoteRef/>
      </w:r>
      <w:r>
        <w:t xml:space="preserve"> </w:t>
      </w:r>
      <w:r>
        <w:t xml:space="preserve">Traverso E. Le passé: Modes d’emploi. Histoire, mémoire, politique. Paris: La Fabrique Éditions, 2005. P. 11.</w:t>
      </w:r>
    </w:p>
  </w:footnote>
  <w:footnote w:id="102">
    <w:p>
      <w:pPr>
        <w:pStyle w:val="FootnoteText"/>
      </w:pPr>
      <w:r>
        <w:rPr>
          <w:rStyle w:val="FootnoteReference"/>
        </w:rPr>
        <w:footnoteRef/>
      </w:r>
      <w:r>
        <w:t xml:space="preserve"> </w:t>
      </w:r>
      <w:r>
        <w:t xml:space="preserve">Traverso E. Le passé. P. 11.</w:t>
      </w:r>
    </w:p>
  </w:footnote>
  <w:footnote w:id="103">
    <w:p>
      <w:pPr>
        <w:pStyle w:val="FootnoteText"/>
      </w:pPr>
      <w:r>
        <w:rPr>
          <w:rStyle w:val="FootnoteReference"/>
        </w:rPr>
        <w:footnoteRef/>
      </w:r>
      <w:r>
        <w:t xml:space="preserve"> </w:t>
      </w:r>
      <w:r>
        <w:t xml:space="preserve">Traverso E. Le passé. P. 70.</w:t>
      </w:r>
    </w:p>
  </w:footnote>
  <w:footnote w:id="105">
    <w:p>
      <w:pPr>
        <w:pStyle w:val="FootnoteText"/>
      </w:pPr>
      <w:r>
        <w:rPr>
          <w:rStyle w:val="FootnoteReference"/>
        </w:rPr>
        <w:footnoteRef/>
      </w:r>
      <w:r>
        <w:t xml:space="preserve"> </w:t>
      </w:r>
      <w:r>
        <w:t xml:space="preserve">Hoskins A. Media, Memory, Metaphor: Remembering and the Connective Turn // Parallax. 2011. Vol. 17, No. 4. P. 19–31.</w:t>
      </w:r>
    </w:p>
  </w:footnote>
  <w:footnote w:id="106">
    <w:p>
      <w:pPr>
        <w:pStyle w:val="FootnoteText"/>
      </w:pPr>
      <w:r>
        <w:rPr>
          <w:rStyle w:val="FootnoteReference"/>
        </w:rPr>
        <w:footnoteRef/>
      </w:r>
      <w:r>
        <w:t xml:space="preserve"> </w:t>
      </w:r>
      <w:r>
        <w:t xml:space="preserve">Hoskins A. Media, Memory, Metaphor. P. 19–31.</w:t>
      </w:r>
    </w:p>
  </w:footnote>
  <w:footnote w:id="107">
    <w:p>
      <w:pPr>
        <w:pStyle w:val="FootnoteText"/>
      </w:pPr>
      <w:r>
        <w:rPr>
          <w:rStyle w:val="FootnoteReference"/>
        </w:rPr>
        <w:footnoteRef/>
      </w:r>
      <w:r>
        <w:t xml:space="preserve"> </w:t>
      </w:r>
      <w:r>
        <w:t xml:space="preserve">Hoskins A. Media, Memory, Metaphor. P. 22.</w:t>
      </w:r>
    </w:p>
  </w:footnote>
  <w:footnote w:id="108">
    <w:p>
      <w:pPr>
        <w:pStyle w:val="FootnoteText"/>
      </w:pPr>
      <w:r>
        <w:rPr>
          <w:rStyle w:val="FootnoteReference"/>
        </w:rPr>
        <w:footnoteRef/>
      </w:r>
      <w:r>
        <w:t xml:space="preserve"> </w:t>
      </w:r>
      <w:r>
        <w:t xml:space="preserve">Kansteiner W. The Holocaust in the 21st Century: Digital Anxiety, Transnational Cosmopolitanism, and Never Again Genocide Without Memory // Digital Memory Studies: Media Pasts in Transition / A. Hoskins (ed.). London: Routledge, 2018. P. 118.</w:t>
      </w:r>
    </w:p>
  </w:footnote>
  <w:footnote w:id="109">
    <w:p>
      <w:pPr>
        <w:pStyle w:val="FootnoteText"/>
      </w:pPr>
      <w:r>
        <w:rPr>
          <w:rStyle w:val="FootnoteReference"/>
        </w:rPr>
        <w:footnoteRef/>
      </w:r>
      <w:r>
        <w:t xml:space="preserve"> </w:t>
      </w:r>
      <w:r>
        <w:t xml:space="preserve">Kansteiner W. The Holocaust in the 21st Century. P. 118.</w:t>
      </w:r>
    </w:p>
  </w:footnote>
  <w:footnote w:id="110">
    <w:p>
      <w:pPr>
        <w:pStyle w:val="FootnoteText"/>
      </w:pPr>
      <w:r>
        <w:rPr>
          <w:rStyle w:val="FootnoteReference"/>
        </w:rPr>
        <w:footnoteRef/>
      </w:r>
      <w:r>
        <w:t xml:space="preserve"> </w:t>
      </w:r>
      <w:r>
        <w:t xml:space="preserve">Hoskins A. Media, Memory, Metaphor. P. 24.</w:t>
      </w:r>
    </w:p>
  </w:footnote>
  <w:footnote w:id="111">
    <w:p>
      <w:pPr>
        <w:pStyle w:val="FootnoteText"/>
      </w:pPr>
      <w:r>
        <w:rPr>
          <w:rStyle w:val="FootnoteReference"/>
        </w:rPr>
        <w:footnoteRef/>
      </w:r>
      <w:r>
        <w:t xml:space="preserve"> </w:t>
      </w:r>
      <w:r>
        <w:t xml:space="preserve">Ernst W. Digital Memory and the Archive. Minneapolis: University of Minnesota Press, 2013.</w:t>
      </w:r>
    </w:p>
  </w:footnote>
  <w:footnote w:id="112">
    <w:p>
      <w:pPr>
        <w:pStyle w:val="FootnoteText"/>
      </w:pPr>
      <w:r>
        <w:rPr>
          <w:rStyle w:val="FootnoteReference"/>
        </w:rPr>
        <w:footnoteRef/>
      </w:r>
      <w:r>
        <w:t xml:space="preserve"> </w:t>
      </w:r>
      <w:r>
        <w:t xml:space="preserve">Silverstone R. Media and Morality: On the Rise of the Mediapolis. Cambridge: Polity, 2007.</w:t>
      </w:r>
    </w:p>
  </w:footnote>
  <w:footnote w:id="113">
    <w:p>
      <w:pPr>
        <w:pStyle w:val="FootnoteText"/>
      </w:pPr>
      <w:r>
        <w:rPr>
          <w:rStyle w:val="FootnoteReference"/>
        </w:rPr>
        <w:footnoteRef/>
      </w:r>
      <w:r>
        <w:t xml:space="preserve"> </w:t>
      </w:r>
      <w:r>
        <w:t xml:space="preserve">Silverstone R. Media and Morality. P. 136.</w:t>
      </w:r>
    </w:p>
  </w:footnote>
  <w:footnote w:id="115">
    <w:p>
      <w:pPr>
        <w:pStyle w:val="FootnoteText"/>
      </w:pPr>
      <w:r>
        <w:rPr>
          <w:rStyle w:val="FootnoteReference"/>
        </w:rPr>
        <w:footnoteRef/>
      </w:r>
      <w:r>
        <w:t xml:space="preserve"> </w:t>
      </w:r>
      <w:r>
        <w:t xml:space="preserve">Bennett T. The Exhibitionary Complex // New Formations. 1988. No. 4. P. 73–102.</w:t>
      </w:r>
    </w:p>
  </w:footnote>
  <w:footnote w:id="116">
    <w:p>
      <w:pPr>
        <w:pStyle w:val="FootnoteText"/>
      </w:pPr>
      <w:r>
        <w:rPr>
          <w:rStyle w:val="FootnoteReference"/>
        </w:rPr>
        <w:footnoteRef/>
      </w:r>
      <w:r>
        <w:t xml:space="preserve"> </w:t>
      </w:r>
      <w:r>
        <w:t xml:space="preserve">Bennett T. The Exhibitionary Complex. P. 81.</w:t>
      </w:r>
    </w:p>
  </w:footnote>
  <w:footnote w:id="117">
    <w:p>
      <w:pPr>
        <w:pStyle w:val="FootnoteText"/>
      </w:pPr>
      <w:r>
        <w:rPr>
          <w:rStyle w:val="FootnoteReference"/>
        </w:rPr>
        <w:footnoteRef/>
      </w:r>
      <w:r>
        <w:t xml:space="preserve"> </w:t>
      </w:r>
      <w:r>
        <w:t xml:space="preserve">Hooper-Greenhill E. Museums and the Interpretation of Visual Culture. London: Routledge, 2000. P. 8.</w:t>
      </w:r>
    </w:p>
  </w:footnote>
  <w:footnote w:id="118">
    <w:p>
      <w:pPr>
        <w:pStyle w:val="FootnoteText"/>
      </w:pPr>
      <w:r>
        <w:rPr>
          <w:rStyle w:val="FootnoteReference"/>
        </w:rPr>
        <w:footnoteRef/>
      </w:r>
      <w:r>
        <w:t xml:space="preserve"> </w:t>
      </w:r>
      <w:r>
        <w:t xml:space="preserve">Hooper-Greenhill E. Museums and the Interpretation of Visual Culture. P. 132–133.</w:t>
      </w:r>
    </w:p>
  </w:footnote>
  <w:footnote w:id="119">
    <w:p>
      <w:pPr>
        <w:pStyle w:val="FootnoteText"/>
      </w:pPr>
      <w:r>
        <w:rPr>
          <w:rStyle w:val="FootnoteReference"/>
        </w:rPr>
        <w:footnoteRef/>
      </w:r>
      <w:r>
        <w:t xml:space="preserve"> </w:t>
      </w:r>
      <w:r>
        <w:t xml:space="preserve">Huyssen A. Present Pasts: Urban Palimpsests and the Politics of Memory. Stanford: Stanford University Press, 2003.</w:t>
      </w:r>
    </w:p>
  </w:footnote>
  <w:footnote w:id="120">
    <w:p>
      <w:pPr>
        <w:pStyle w:val="FootnoteText"/>
      </w:pPr>
      <w:r>
        <w:rPr>
          <w:rStyle w:val="FootnoteReference"/>
        </w:rPr>
        <w:footnoteRef/>
      </w:r>
      <w:r>
        <w:t xml:space="preserve"> </w:t>
      </w:r>
      <w:r>
        <w:t xml:space="preserve">Huyssen A. Present Pasts. P. 7.</w:t>
      </w:r>
    </w:p>
  </w:footnote>
  <w:footnote w:id="122">
    <w:p>
      <w:pPr>
        <w:pStyle w:val="FootnoteText"/>
      </w:pPr>
      <w:r>
        <w:rPr>
          <w:rStyle w:val="FootnoteReference"/>
        </w:rPr>
        <w:footnoteRef/>
      </w:r>
      <w:r>
        <w:t xml:space="preserve"> </w:t>
      </w:r>
      <w:r>
        <w:t xml:space="preserve">O’Neill P. The Culture of Curating and the Curating of Culture(s). Cambridge, MA: MIT Press, 2012. P. 1.</w:t>
      </w:r>
    </w:p>
  </w:footnote>
  <w:footnote w:id="123">
    <w:p>
      <w:pPr>
        <w:pStyle w:val="FootnoteText"/>
      </w:pPr>
      <w:r>
        <w:rPr>
          <w:rStyle w:val="FootnoteReference"/>
        </w:rPr>
        <w:footnoteRef/>
      </w:r>
      <w:r>
        <w:t xml:space="preserve"> </w:t>
      </w:r>
      <w:r>
        <w:t xml:space="preserve">Smith T. Thinking Contemporary Curating. New York: Independent Curators International, 2012. P. 12.</w:t>
      </w:r>
    </w:p>
  </w:footnote>
  <w:footnote w:id="124">
    <w:p>
      <w:pPr>
        <w:pStyle w:val="FootnoteText"/>
      </w:pPr>
      <w:r>
        <w:rPr>
          <w:rStyle w:val="FootnoteReference"/>
        </w:rPr>
        <w:footnoteRef/>
      </w:r>
      <w:r>
        <w:t xml:space="preserve"> </w:t>
      </w:r>
      <w:r>
        <w:t xml:space="preserve">O’Neill P. The Culture of Curating and the Curating of Culture(s). P. 32.</w:t>
      </w:r>
    </w:p>
  </w:footnote>
  <w:footnote w:id="125">
    <w:p>
      <w:pPr>
        <w:pStyle w:val="FootnoteText"/>
      </w:pPr>
      <w:r>
        <w:rPr>
          <w:rStyle w:val="FootnoteReference"/>
        </w:rPr>
        <w:footnoteRef/>
      </w:r>
      <w:r>
        <w:t xml:space="preserve"> </w:t>
      </w:r>
      <w:r>
        <w:t xml:space="preserve">Manovich L. The Language of New Media. Cambridge, MA: MIT Press, 2001. P. 76.</w:t>
      </w:r>
    </w:p>
  </w:footnote>
  <w:footnote w:id="126">
    <w:p>
      <w:pPr>
        <w:pStyle w:val="FootnoteText"/>
      </w:pPr>
      <w:r>
        <w:rPr>
          <w:rStyle w:val="FootnoteReference"/>
        </w:rPr>
        <w:footnoteRef/>
      </w:r>
      <w:r>
        <w:t xml:space="preserve"> </w:t>
      </w:r>
      <w:r>
        <w:t xml:space="preserve">Parry R. (ed.). Museums in a Digital Age. London: Routledge, 2010. P. 454.</w:t>
      </w:r>
    </w:p>
  </w:footnote>
  <w:footnote w:id="127">
    <w:p>
      <w:pPr>
        <w:pStyle w:val="FootnoteText"/>
      </w:pPr>
      <w:r>
        <w:rPr>
          <w:rStyle w:val="FootnoteReference"/>
        </w:rPr>
        <w:footnoteRef/>
      </w:r>
      <w:r>
        <w:t xml:space="preserve"> </w:t>
      </w:r>
      <w:r>
        <w:t xml:space="preserve">Macdonald S. Interconnecting: Museum Visiting and Exhibition Design // CoDesign. 2007. Vol. 3, sup1. P. 149.</w:t>
      </w:r>
    </w:p>
  </w:footnote>
  <w:footnote w:id="128">
    <w:p>
      <w:pPr>
        <w:pStyle w:val="FootnoteText"/>
      </w:pPr>
      <w:r>
        <w:rPr>
          <w:rStyle w:val="FootnoteReference"/>
        </w:rPr>
        <w:footnoteRef/>
      </w:r>
      <w:r>
        <w:t xml:space="preserve"> </w:t>
      </w:r>
      <w:r>
        <w:t xml:space="preserve">Macdonald S. Interconnecting. P. 157.</w:t>
      </w:r>
    </w:p>
  </w:footnote>
  <w:footnote w:id="129">
    <w:p>
      <w:pPr>
        <w:pStyle w:val="FootnoteText"/>
      </w:pPr>
      <w:r>
        <w:rPr>
          <w:rStyle w:val="FootnoteReference"/>
        </w:rPr>
        <w:footnoteRef/>
      </w:r>
      <w:r>
        <w:t xml:space="preserve"> </w:t>
      </w:r>
      <w:r>
        <w:t xml:space="preserve">Macdonald S. Interconnecting. P. 157.</w:t>
      </w:r>
    </w:p>
  </w:footnote>
  <w:footnote w:id="130">
    <w:p>
      <w:pPr>
        <w:pStyle w:val="FootnoteText"/>
      </w:pPr>
      <w:r>
        <w:rPr>
          <w:rStyle w:val="FootnoteReference"/>
        </w:rPr>
        <w:footnoteRef/>
      </w:r>
      <w:r>
        <w:t xml:space="preserve"> </w:t>
      </w:r>
      <w:r>
        <w:t xml:space="preserve">Macdonald S. Interconnecting. P. 155.</w:t>
      </w:r>
    </w:p>
  </w:footnote>
  <w:footnote w:id="131">
    <w:p>
      <w:pPr>
        <w:pStyle w:val="FootnoteText"/>
      </w:pPr>
      <w:r>
        <w:rPr>
          <w:rStyle w:val="FootnoteReference"/>
        </w:rPr>
        <w:footnoteRef/>
      </w:r>
      <w:r>
        <w:t xml:space="preserve"> </w:t>
      </w:r>
      <w:r>
        <w:t xml:space="preserve">Williams P. Memorial Museums: The Global Rush to Commemorate Atrocities. Oxford; New York: Berg, 2007. P. 8.</w:t>
      </w:r>
    </w:p>
  </w:footnote>
  <w:footnote w:id="132">
    <w:p>
      <w:pPr>
        <w:pStyle w:val="FootnoteText"/>
      </w:pPr>
      <w:r>
        <w:rPr>
          <w:rStyle w:val="FootnoteReference"/>
        </w:rPr>
        <w:footnoteRef/>
      </w:r>
      <w:r>
        <w:t xml:space="preserve"> </w:t>
      </w:r>
      <w:r>
        <w:t xml:space="preserve">Williams P. Memorial Museums. P. 8.</w:t>
      </w:r>
    </w:p>
  </w:footnote>
  <w:footnote w:id="133">
    <w:p>
      <w:pPr>
        <w:pStyle w:val="FootnoteText"/>
      </w:pPr>
      <w:r>
        <w:rPr>
          <w:rStyle w:val="FootnoteReference"/>
        </w:rPr>
        <w:footnoteRef/>
      </w:r>
      <w:r>
        <w:t xml:space="preserve"> </w:t>
      </w:r>
      <w:r>
        <w:t xml:space="preserve">Williams P. Memorial Museums. P. 25.</w:t>
      </w:r>
    </w:p>
  </w:footnote>
  <w:footnote w:id="134">
    <w:p>
      <w:pPr>
        <w:pStyle w:val="FootnoteText"/>
      </w:pPr>
      <w:r>
        <w:rPr>
          <w:rStyle w:val="FootnoteReference"/>
        </w:rPr>
        <w:footnoteRef/>
      </w:r>
      <w:r>
        <w:t xml:space="preserve"> </w:t>
      </w:r>
      <w:r>
        <w:t xml:space="preserve">Williams P. Memorial Museums. P. 25.</w:t>
      </w:r>
    </w:p>
  </w:footnote>
  <w:footnote w:id="135">
    <w:p>
      <w:pPr>
        <w:pStyle w:val="FootnoteText"/>
      </w:pPr>
      <w:r>
        <w:rPr>
          <w:rStyle w:val="FootnoteReference"/>
        </w:rPr>
        <w:footnoteRef/>
      </w:r>
      <w:r>
        <w:t xml:space="preserve"> </w:t>
      </w:r>
      <w:r>
        <w:t xml:space="preserve">Williams P. Memorial Museums. P. 8.</w:t>
      </w:r>
    </w:p>
  </w:footnote>
  <w:footnote w:id="136">
    <w:p>
      <w:pPr>
        <w:pStyle w:val="FootnoteText"/>
      </w:pPr>
      <w:r>
        <w:rPr>
          <w:rStyle w:val="FootnoteReference"/>
        </w:rPr>
        <w:footnoteRef/>
      </w:r>
      <w:r>
        <w:t xml:space="preserve"> </w:t>
      </w:r>
      <w:r>
        <w:t xml:space="preserve">Williams P. Memorial Museums. P. 126.</w:t>
      </w:r>
    </w:p>
  </w:footnote>
  <w:footnote w:id="137">
    <w:p>
      <w:pPr>
        <w:pStyle w:val="FootnoteText"/>
      </w:pPr>
      <w:r>
        <w:rPr>
          <w:rStyle w:val="FootnoteReference"/>
        </w:rPr>
        <w:footnoteRef/>
      </w:r>
      <w:r>
        <w:t xml:space="preserve"> </w:t>
      </w:r>
      <w:r>
        <w:t xml:space="preserve">Sodaro A. Exhibiting Atrocity: Memorial Museums and the Politics of Past Violence. New Brunswick: Rutgers University Press, 2018. P. 180.</w:t>
      </w:r>
    </w:p>
  </w:footnote>
  <w:footnote w:id="140">
    <w:p>
      <w:pPr>
        <w:pStyle w:val="FootnoteText"/>
      </w:pPr>
      <w:r>
        <w:rPr>
          <w:rStyle w:val="FootnoteReference"/>
        </w:rPr>
        <w:footnoteRef/>
      </w:r>
      <w:r>
        <w:t xml:space="preserve"> </w:t>
      </w:r>
      <w:r>
        <w:t xml:space="preserve">Yin R. K. Case Study Research: Design and Methods. 3rd ed. Thousand Oaks: SAGE Publications, 2003. P. 13.</w:t>
      </w:r>
    </w:p>
  </w:footnote>
  <w:footnote w:id="141">
    <w:p>
      <w:pPr>
        <w:pStyle w:val="FootnoteText"/>
      </w:pPr>
      <w:r>
        <w:rPr>
          <w:rStyle w:val="FootnoteReference"/>
        </w:rPr>
        <w:footnoteRef/>
      </w:r>
      <w:r>
        <w:t xml:space="preserve"> </w:t>
      </w:r>
      <w:r>
        <w:t xml:space="preserve">Yin R. K. Case Study Research. P. 1.</w:t>
      </w:r>
    </w:p>
  </w:footnote>
  <w:footnote w:id="142">
    <w:p>
      <w:pPr>
        <w:pStyle w:val="FootnoteText"/>
      </w:pPr>
      <w:r>
        <w:rPr>
          <w:rStyle w:val="FootnoteReference"/>
        </w:rPr>
        <w:footnoteRef/>
      </w:r>
      <w:r>
        <w:t xml:space="preserve"> </w:t>
      </w:r>
      <w:r>
        <w:t xml:space="preserve">Stake R. E. The Art of Case Study Research. Thousand Oaks: SAGE Publications, 1995. P. 3.</w:t>
      </w:r>
    </w:p>
  </w:footnote>
  <w:footnote w:id="143">
    <w:p>
      <w:pPr>
        <w:pStyle w:val="FootnoteText"/>
      </w:pPr>
      <w:r>
        <w:rPr>
          <w:rStyle w:val="FootnoteReference"/>
        </w:rPr>
        <w:footnoteRef/>
      </w:r>
      <w:r>
        <w:t xml:space="preserve"> </w:t>
      </w:r>
      <w:r>
        <w:t xml:space="preserve">Stake R. E. The Art of Case Study Research. P. 3.</w:t>
      </w:r>
    </w:p>
  </w:footnote>
  <w:footnote w:id="144">
    <w:p>
      <w:pPr>
        <w:pStyle w:val="FootnoteText"/>
      </w:pPr>
      <w:r>
        <w:rPr>
          <w:rStyle w:val="FootnoteReference"/>
        </w:rPr>
        <w:footnoteRef/>
      </w:r>
      <w:r>
        <w:t xml:space="preserve"> </w:t>
      </w:r>
      <w:r>
        <w:t xml:space="preserve">Stake R. E. The Art of Case Study Research. P. 4.</w:t>
      </w:r>
    </w:p>
  </w:footnote>
  <w:footnote w:id="145">
    <w:p>
      <w:pPr>
        <w:pStyle w:val="FootnoteText"/>
      </w:pPr>
      <w:r>
        <w:rPr>
          <w:rStyle w:val="FootnoteReference"/>
        </w:rPr>
        <w:footnoteRef/>
      </w:r>
      <w:r>
        <w:t xml:space="preserve"> </w:t>
      </w:r>
      <w:r>
        <w:t xml:space="preserve">Flyvbjerg B. Five Misunderstandings about Case-Study Research // Qualitative Inquiry. 2006. Vol. 12, No. 2. P. 229.</w:t>
      </w:r>
    </w:p>
  </w:footnote>
  <w:footnote w:id="146">
    <w:p>
      <w:pPr>
        <w:pStyle w:val="FootnoteText"/>
      </w:pPr>
      <w:r>
        <w:rPr>
          <w:rStyle w:val="FootnoteReference"/>
        </w:rPr>
        <w:footnoteRef/>
      </w:r>
      <w:r>
        <w:t xml:space="preserve"> </w:t>
      </w:r>
      <w:r>
        <w:t xml:space="preserve">Flyvbjerg B. Five Misunderstandings about Case-Study Research. P. 229.</w:t>
      </w:r>
    </w:p>
  </w:footnote>
  <w:footnote w:id="147">
    <w:p>
      <w:pPr>
        <w:pStyle w:val="FootnoteText"/>
      </w:pPr>
      <w:r>
        <w:rPr>
          <w:rStyle w:val="FootnoteReference"/>
        </w:rPr>
        <w:footnoteRef/>
      </w:r>
      <w:r>
        <w:t xml:space="preserve"> </w:t>
      </w:r>
      <w:r>
        <w:t xml:space="preserve">Flyvbjerg B. Five Misunderstandings about Case-Study Research. P. 231.</w:t>
      </w:r>
    </w:p>
  </w:footnote>
  <w:footnote w:id="148">
    <w:p>
      <w:pPr>
        <w:pStyle w:val="FootnoteText"/>
      </w:pPr>
      <w:r>
        <w:rPr>
          <w:rStyle w:val="FootnoteReference"/>
        </w:rPr>
        <w:footnoteRef/>
      </w:r>
      <w:r>
        <w:t xml:space="preserve"> </w:t>
      </w:r>
      <w:r>
        <w:t xml:space="preserve">Yin R. K. Case Study Research. P. 10.</w:t>
      </w:r>
    </w:p>
  </w:footnote>
  <w:footnote w:id="149">
    <w:p>
      <w:pPr>
        <w:pStyle w:val="FootnoteText"/>
      </w:pPr>
      <w:r>
        <w:rPr>
          <w:rStyle w:val="FootnoteReference"/>
        </w:rPr>
        <w:footnoteRef/>
      </w:r>
      <w:r>
        <w:t xml:space="preserve"> </w:t>
      </w:r>
      <w:r>
        <w:t xml:space="preserve">Flyvbjerg B. Five Misunderstandings about Case-Study Research. P. 228.</w:t>
      </w:r>
    </w:p>
  </w:footnote>
  <w:footnote w:id="150">
    <w:p>
      <w:pPr>
        <w:pStyle w:val="FootnoteText"/>
      </w:pPr>
      <w:r>
        <w:rPr>
          <w:rStyle w:val="FootnoteReference"/>
        </w:rPr>
        <w:footnoteRef/>
      </w:r>
      <w:r>
        <w:t xml:space="preserve"> </w:t>
      </w:r>
      <w:r>
        <w:t xml:space="preserve">Yin R. K. Case Study Research. P. 40–42.</w:t>
      </w:r>
    </w:p>
  </w:footnote>
  <w:footnote w:id="153">
    <w:p>
      <w:pPr>
        <w:pStyle w:val="FootnoteText"/>
      </w:pPr>
      <w:r>
        <w:rPr>
          <w:rStyle w:val="FootnoteReference"/>
        </w:rPr>
        <w:footnoteRef/>
      </w:r>
      <w:r>
        <w:t xml:space="preserve"> </w:t>
      </w:r>
      <w:r>
        <w:t xml:space="preserve">Kress G., van Leeuwen T. Multimodal Discourse: The Modes and Media of Contemporary Communication. London: Arnold, 2001. P. 125, 132.</w:t>
      </w:r>
    </w:p>
  </w:footnote>
  <w:footnote w:id="154">
    <w:p>
      <w:pPr>
        <w:pStyle w:val="FootnoteText"/>
      </w:pPr>
      <w:r>
        <w:rPr>
          <w:rStyle w:val="FootnoteReference"/>
        </w:rPr>
        <w:footnoteRef/>
      </w:r>
      <w:r>
        <w:t xml:space="preserve"> </w:t>
      </w:r>
      <w:r>
        <w:t xml:space="preserve">Kress G., van Leeuwen T. Reading Images: The Grammar of Visual Design. 2nd ed. London; New York: Routledge, 2006. P. 45.</w:t>
      </w:r>
    </w:p>
  </w:footnote>
  <w:footnote w:id="155">
    <w:p>
      <w:pPr>
        <w:pStyle w:val="FootnoteText"/>
      </w:pPr>
      <w:r>
        <w:rPr>
          <w:rStyle w:val="FootnoteReference"/>
        </w:rPr>
        <w:footnoteRef/>
      </w:r>
      <w:r>
        <w:t xml:space="preserve"> </w:t>
      </w:r>
      <w:r>
        <w:t xml:space="preserve">Kress G., van Leeuwen T. Reading Images. P. 118.</w:t>
      </w:r>
    </w:p>
  </w:footnote>
  <w:footnote w:id="156">
    <w:p>
      <w:pPr>
        <w:pStyle w:val="FootnoteText"/>
      </w:pPr>
      <w:r>
        <w:rPr>
          <w:rStyle w:val="FootnoteReference"/>
        </w:rPr>
        <w:footnoteRef/>
      </w:r>
      <w:r>
        <w:t xml:space="preserve"> </w:t>
      </w:r>
      <w:r>
        <w:t xml:space="preserve">Kress G., van Leeuwen T. Reading Images. P. 119.</w:t>
      </w:r>
    </w:p>
  </w:footnote>
  <w:footnote w:id="157">
    <w:p>
      <w:pPr>
        <w:pStyle w:val="FootnoteText"/>
      </w:pPr>
      <w:r>
        <w:rPr>
          <w:rStyle w:val="FootnoteReference"/>
        </w:rPr>
        <w:footnoteRef/>
      </w:r>
      <w:r>
        <w:t xml:space="preserve"> </w:t>
      </w:r>
      <w:r>
        <w:t xml:space="preserve">Kress G., van Leeuwen T. Reading Images. P. 181.</w:t>
      </w:r>
    </w:p>
  </w:footnote>
  <w:footnote w:id="158">
    <w:p>
      <w:pPr>
        <w:pStyle w:val="FootnoteText"/>
      </w:pPr>
      <w:r>
        <w:rPr>
          <w:rStyle w:val="FootnoteReference"/>
        </w:rPr>
        <w:footnoteRef/>
      </w:r>
      <w:r>
        <w:t xml:space="preserve"> </w:t>
      </w:r>
      <w:r>
        <w:t xml:space="preserve">Kress G., van Leeuwen T. Reading Images. P. 187.</w:t>
      </w:r>
    </w:p>
  </w:footnote>
  <w:footnote w:id="159">
    <w:p>
      <w:pPr>
        <w:pStyle w:val="FootnoteText"/>
      </w:pPr>
      <w:r>
        <w:rPr>
          <w:rStyle w:val="FootnoteReference"/>
        </w:rPr>
        <w:footnoteRef/>
      </w:r>
      <w:r>
        <w:t xml:space="preserve"> </w:t>
      </w:r>
      <w:r>
        <w:t xml:space="preserve">Kress G., van Leeuwen T. Multimodal Discourse: The Modes and Media of Contemporary Communication. London: Arnold, 2001.</w:t>
      </w:r>
    </w:p>
  </w:footnote>
  <w:footnote w:id="161">
    <w:p>
      <w:pPr>
        <w:pStyle w:val="FootnoteText"/>
      </w:pPr>
      <w:r>
        <w:rPr>
          <w:rStyle w:val="FootnoteReference"/>
        </w:rPr>
        <w:footnoteRef/>
      </w:r>
      <w:r>
        <w:t xml:space="preserve"> </w:t>
      </w:r>
      <w:r>
        <w:t xml:space="preserve">Kvale S., Brinkmann S. InterViews: Learning the Craft of Qualitative Research Interviewing. 2nd ed. Thousand Oaks: SAGE Publications, 2009. P. 27.</w:t>
      </w:r>
    </w:p>
  </w:footnote>
  <w:footnote w:id="164">
    <w:p>
      <w:pPr>
        <w:pStyle w:val="FootnoteText"/>
      </w:pPr>
      <w:r>
        <w:rPr>
          <w:rStyle w:val="FootnoteReference"/>
        </w:rPr>
        <w:footnoteRef/>
      </w:r>
      <w:r>
        <w:t xml:space="preserve"> </w:t>
      </w:r>
      <w:r>
        <w:t xml:space="preserve">Assmann A. Re-framing Memory: Between Individual and Collective Forms of Constructing the Past // Performing the Past: Memory, History, and Identity in Modern Europe / K. Tilmans, F. van Vree, J. Winter (eds.). Amsterdam: Amsterdam University Press, 2010. P. 43.</w:t>
      </w:r>
    </w:p>
  </w:footnote>
  <w:footnote w:id="165">
    <w:p>
      <w:pPr>
        <w:pStyle w:val="FootnoteText"/>
      </w:pPr>
      <w:r>
        <w:rPr>
          <w:rStyle w:val="FootnoteReference"/>
        </w:rPr>
        <w:footnoteRef/>
      </w:r>
      <w:r>
        <w:t xml:space="preserve"> </w:t>
      </w:r>
      <w:r>
        <w:t xml:space="preserve">Erll A. Cultural Memory Studies: An Introduction // Cultural Memory Studies: An International and Interdisciplinary Handbook / A. Erll, A. Nünning (eds.). Berlin: Walter de Gruyter, 2008. P. 14–15.</w:t>
      </w:r>
    </w:p>
  </w:footnote>
  <w:footnote w:id="166">
    <w:p>
      <w:pPr>
        <w:pStyle w:val="FootnoteText"/>
      </w:pPr>
      <w:r>
        <w:rPr>
          <w:rStyle w:val="FootnoteReference"/>
        </w:rPr>
        <w:footnoteRef/>
      </w:r>
      <w:r>
        <w:t xml:space="preserve"> </w:t>
      </w:r>
      <w:r>
        <w:t xml:space="preserve">Judt T. The Past Is Another Country: Myth and Memory in Postwar Europe // Daedalus. 1992. Vol. 121, No. 4. P. 89.</w:t>
      </w:r>
    </w:p>
  </w:footnote>
  <w:footnote w:id="167">
    <w:p>
      <w:pPr>
        <w:pStyle w:val="FootnoteText"/>
      </w:pPr>
      <w:r>
        <w:rPr>
          <w:rStyle w:val="FootnoteReference"/>
        </w:rPr>
        <w:footnoteRef/>
      </w:r>
      <w:r>
        <w:t xml:space="preserve"> </w:t>
      </w:r>
      <w:r>
        <w:t xml:space="preserve">Silverstone R. Media and Morality: On the Rise of the Mediapolis. Cambridge: Polity, 2007. P. 136.</w:t>
      </w:r>
    </w:p>
  </w:footnote>
  <w:footnote w:id="168">
    <w:p>
      <w:pPr>
        <w:pStyle w:val="FootnoteText"/>
      </w:pPr>
      <w:r>
        <w:rPr>
          <w:rStyle w:val="FootnoteReference"/>
        </w:rPr>
        <w:footnoteRef/>
      </w:r>
      <w:r>
        <w:t xml:space="preserve"> </w:t>
      </w:r>
      <w:r>
        <w:t xml:space="preserve">Assmann A. Cultural Memory and Western Civilization: Functions, Media, Archives. Cambridge: Cambridge University Press, 2011. P. 130.</w:t>
      </w:r>
    </w:p>
  </w:footnote>
  <w:footnote w:id="169">
    <w:p>
      <w:pPr>
        <w:pStyle w:val="FootnoteText"/>
      </w:pPr>
      <w:r>
        <w:rPr>
          <w:rStyle w:val="FootnoteReference"/>
        </w:rPr>
        <w:footnoteRef/>
      </w:r>
      <w:r>
        <w:t xml:space="preserve"> </w:t>
      </w:r>
      <w:r>
        <w:t xml:space="preserve">Williams P. Memorial Museums: The Global Rush to Commemorate Atrocities. Oxford; New York: Berg, 2007. P. 8.</w:t>
      </w:r>
    </w:p>
  </w:footnote>
  <w:footnote w:id="171">
    <w:p>
      <w:pPr>
        <w:pStyle w:val="FootnoteText"/>
      </w:pPr>
      <w:r>
        <w:rPr>
          <w:rStyle w:val="FootnoteReference"/>
        </w:rPr>
        <w:footnoteRef/>
      </w:r>
      <w:r>
        <w:t xml:space="preserve"> </w:t>
      </w:r>
      <w:r>
        <w:t xml:space="preserve">Hjarvard S. The Mediatization of Society: A Theory of the Media as Agents of Social and Cultural Change // Nordicom Review. 2008. Vol. 29, No. 2. P. 105.</w:t>
      </w:r>
    </w:p>
  </w:footnote>
  <w:footnote w:id="172">
    <w:p>
      <w:pPr>
        <w:pStyle w:val="FootnoteText"/>
      </w:pPr>
      <w:r>
        <w:rPr>
          <w:rStyle w:val="FootnoteReference"/>
        </w:rPr>
        <w:footnoteRef/>
      </w:r>
      <w:r>
        <w:t xml:space="preserve"> </w:t>
      </w:r>
      <w:r>
        <w:t xml:space="preserve">Manovich L. The Language of New Media. Cambridge, MA: MIT Press, 2001. P. 76.</w:t>
      </w:r>
    </w:p>
  </w:footnote>
  <w:footnote w:id="173">
    <w:p>
      <w:pPr>
        <w:pStyle w:val="FootnoteText"/>
      </w:pPr>
      <w:r>
        <w:rPr>
          <w:rStyle w:val="FootnoteReference"/>
        </w:rPr>
        <w:footnoteRef/>
      </w:r>
      <w:r>
        <w:t xml:space="preserve"> </w:t>
      </w:r>
      <w:r>
        <w:t xml:space="preserve">Kress G., van Leeuwen T. Reading Images: The Grammar of Visual Design. 2nd ed. London; New York: Routledge, 2006. P. 118.</w:t>
      </w:r>
    </w:p>
  </w:footnote>
  <w:footnote w:id="174">
    <w:p>
      <w:pPr>
        <w:pStyle w:val="FootnoteText"/>
      </w:pPr>
      <w:r>
        <w:rPr>
          <w:rStyle w:val="FootnoteReference"/>
        </w:rPr>
        <w:footnoteRef/>
      </w:r>
      <w:r>
        <w:t xml:space="preserve"> </w:t>
      </w:r>
      <w:r>
        <w:t xml:space="preserve">Macdonald S. Interconnecting: Museum Visiting and Exhibition Design // CoDesign. 2007. Vol. 3, sup1. P. 157.</w:t>
      </w:r>
    </w:p>
  </w:footnote>
  <w:footnote w:id="175">
    <w:p>
      <w:pPr>
        <w:pStyle w:val="FootnoteText"/>
      </w:pPr>
      <w:r>
        <w:rPr>
          <w:rStyle w:val="FootnoteReference"/>
        </w:rPr>
        <w:footnoteRef/>
      </w:r>
      <w:r>
        <w:t xml:space="preserve"> </w:t>
      </w:r>
      <w:r>
        <w:t xml:space="preserve">Hjarvard S. The Mediatization of Society. P. 114.</w:t>
      </w:r>
    </w:p>
  </w:footnote>
  <w:footnote w:id="177">
    <w:p>
      <w:pPr>
        <w:pStyle w:val="FootnoteText"/>
      </w:pPr>
      <w:r>
        <w:rPr>
          <w:rStyle w:val="FootnoteReference"/>
        </w:rPr>
        <w:footnoteRef/>
      </w:r>
      <w:r>
        <w:t xml:space="preserve"> </w:t>
      </w:r>
      <w:r>
        <w:t xml:space="preserve">Macdonald S. Interconnecting. P. 157.</w:t>
      </w:r>
    </w:p>
  </w:footnote>
  <w:footnote w:id="178">
    <w:p>
      <w:pPr>
        <w:pStyle w:val="FootnoteText"/>
      </w:pPr>
      <w:r>
        <w:rPr>
          <w:rStyle w:val="FootnoteReference"/>
        </w:rPr>
        <w:footnoteRef/>
      </w:r>
      <w:r>
        <w:t xml:space="preserve"> </w:t>
      </w:r>
      <w:r>
        <w:t xml:space="preserve">Bennett T. The Exhibitionary Complex // New Formations. 1988. No. 4. P. 73–102.</w:t>
      </w:r>
    </w:p>
  </w:footnote>
  <w:footnote w:id="179">
    <w:p>
      <w:pPr>
        <w:pStyle w:val="FootnoteText"/>
      </w:pPr>
      <w:r>
        <w:rPr>
          <w:rStyle w:val="FootnoteReference"/>
        </w:rPr>
        <w:footnoteRef/>
      </w:r>
      <w:r>
        <w:t xml:space="preserve"> </w:t>
      </w:r>
      <w:r>
        <w:t xml:space="preserve">Erll A. Cultural Memory Studies: An Introduction. P. 14.</w:t>
      </w:r>
    </w:p>
  </w:footnote>
  <w:footnote w:id="180">
    <w:p>
      <w:pPr>
        <w:pStyle w:val="FootnoteText"/>
      </w:pPr>
      <w:r>
        <w:rPr>
          <w:rStyle w:val="FootnoteReference"/>
        </w:rPr>
        <w:footnoteRef/>
      </w:r>
      <w:r>
        <w:t xml:space="preserve"> </w:t>
      </w:r>
      <w:r>
        <w:t xml:space="preserve">Kress G., van Leeuwen T. Reading Images. P. 201.</w:t>
      </w:r>
    </w:p>
  </w:footnote>
  <w:footnote w:id="181">
    <w:p>
      <w:pPr>
        <w:pStyle w:val="FootnoteText"/>
      </w:pPr>
      <w:r>
        <w:rPr>
          <w:rStyle w:val="FootnoteReference"/>
        </w:rPr>
        <w:footnoteRef/>
      </w:r>
      <w:r>
        <w:t xml:space="preserve"> </w:t>
      </w:r>
      <w:r>
        <w:t xml:space="preserve">Kansteiner W. The Holocaust in the 21st Century: Digital Anxiety, Transnational Cosmopolitanism, and Never Again Genocide Without Memory // Digital Memory Studies: Media Pasts in Transition / A. Hoskins (ed.). London: Routledge, 2018. P. 118.</w:t>
      </w:r>
    </w:p>
  </w:footnote>
  <w:footnote w:id="182">
    <w:p>
      <w:pPr>
        <w:pStyle w:val="FootnoteText"/>
      </w:pPr>
      <w:r>
        <w:rPr>
          <w:rStyle w:val="FootnoteReference"/>
        </w:rPr>
        <w:footnoteRef/>
      </w:r>
      <w:r>
        <w:t xml:space="preserve"> </w:t>
      </w:r>
      <w:r>
        <w:t xml:space="preserve">Macdonald S. Interconnecting. P. 149.</w:t>
      </w:r>
    </w:p>
  </w:footnote>
  <w:footnote w:id="183">
    <w:p>
      <w:pPr>
        <w:pStyle w:val="FootnoteText"/>
      </w:pPr>
      <w:r>
        <w:rPr>
          <w:rStyle w:val="FootnoteReference"/>
        </w:rPr>
        <w:footnoteRef/>
      </w:r>
      <w:r>
        <w:t xml:space="preserve"> </w:t>
      </w:r>
      <w:r>
        <w:t xml:space="preserve">Nora P. Between Memory and History: Les lieux de mémoire // Representations. 1989. No. 26. P. 19.</w:t>
      </w:r>
    </w:p>
  </w:footnote>
  <w:footnote w:id="184">
    <w:p>
      <w:pPr>
        <w:pStyle w:val="FootnoteText"/>
      </w:pPr>
      <w:r>
        <w:rPr>
          <w:rStyle w:val="FootnoteReference"/>
        </w:rPr>
        <w:footnoteRef/>
      </w:r>
      <w:r>
        <w:t xml:space="preserve"> </w:t>
      </w:r>
      <w:r>
        <w:t xml:space="preserve">Hjarvard S. The Mediatization of Society. P. 113.</w:t>
      </w:r>
    </w:p>
  </w:footnote>
  <w:footnote w:id="185">
    <w:p>
      <w:pPr>
        <w:pStyle w:val="FootnoteText"/>
      </w:pPr>
      <w:r>
        <w:rPr>
          <w:rStyle w:val="FootnoteReference"/>
        </w:rPr>
        <w:footnoteRef/>
      </w:r>
      <w:r>
        <w:t xml:space="preserve"> </w:t>
      </w:r>
      <w:r>
        <w:t xml:space="preserve">Williams P. Memorial Museums. P. 8.</w:t>
      </w:r>
    </w:p>
  </w:footnote>
  <w:footnote w:id="187">
    <w:p>
      <w:pPr>
        <w:pStyle w:val="FootnoteText"/>
      </w:pPr>
      <w:r>
        <w:rPr>
          <w:rStyle w:val="FootnoteReference"/>
        </w:rPr>
        <w:footnoteRef/>
      </w:r>
      <w:r>
        <w:t xml:space="preserve"> </w:t>
      </w:r>
      <w:r>
        <w:t xml:space="preserve">Silverstone R. Media and Morality. P. 136.</w:t>
      </w:r>
    </w:p>
  </w:footnote>
  <w:footnote w:id="188">
    <w:p>
      <w:pPr>
        <w:pStyle w:val="FootnoteText"/>
      </w:pPr>
      <w:r>
        <w:rPr>
          <w:rStyle w:val="FootnoteReference"/>
        </w:rPr>
        <w:footnoteRef/>
      </w:r>
      <w:r>
        <w:t xml:space="preserve"> </w:t>
      </w:r>
      <w:r>
        <w:t xml:space="preserve">Kress G., van Leeuwen T. Reading Images. P. 119.</w:t>
      </w:r>
    </w:p>
  </w:footnote>
  <w:footnote w:id="189">
    <w:p>
      <w:pPr>
        <w:pStyle w:val="FootnoteText"/>
      </w:pPr>
      <w:r>
        <w:rPr>
          <w:rStyle w:val="FootnoteReference"/>
        </w:rPr>
        <w:footnoteRef/>
      </w:r>
      <w:r>
        <w:t xml:space="preserve"> </w:t>
      </w:r>
      <w:r>
        <w:t xml:space="preserve">Assmann A. Cultural Memory and Western Civilization. P. 150.</w:t>
      </w:r>
    </w:p>
  </w:footnote>
  <w:footnote w:id="190">
    <w:p>
      <w:pPr>
        <w:pStyle w:val="FootnoteText"/>
      </w:pPr>
      <w:r>
        <w:rPr>
          <w:rStyle w:val="FootnoteReference"/>
        </w:rPr>
        <w:footnoteRef/>
      </w:r>
      <w:r>
        <w:t xml:space="preserve"> </w:t>
      </w:r>
      <w:r>
        <w:t xml:space="preserve">Erll A. Cultural Memory Studies: An Introduction. P. 12–13.</w:t>
      </w:r>
    </w:p>
  </w:footnote>
  <w:footnote w:id="192">
    <w:p>
      <w:pPr>
        <w:pStyle w:val="FootnoteText"/>
      </w:pPr>
      <w:r>
        <w:rPr>
          <w:rStyle w:val="FootnoteReference"/>
        </w:rPr>
        <w:footnoteRef/>
      </w:r>
      <w:r>
        <w:t xml:space="preserve"> </w:t>
      </w:r>
      <w:r>
        <w:t xml:space="preserve">Erll A. Cultural Memory Studies: An Introduction. P. 14.</w:t>
      </w:r>
    </w:p>
  </w:footnote>
  <w:footnote w:id="193">
    <w:p>
      <w:pPr>
        <w:pStyle w:val="FootnoteText"/>
      </w:pPr>
      <w:r>
        <w:rPr>
          <w:rStyle w:val="FootnoteReference"/>
        </w:rPr>
        <w:footnoteRef/>
      </w:r>
      <w:r>
        <w:t xml:space="preserve"> </w:t>
      </w:r>
      <w:r>
        <w:t xml:space="preserve">Kress G., van Leeuwen T. Reading Images. P. 153.</w:t>
      </w:r>
    </w:p>
  </w:footnote>
  <w:footnote w:id="194">
    <w:p>
      <w:pPr>
        <w:pStyle w:val="FootnoteText"/>
      </w:pPr>
      <w:r>
        <w:rPr>
          <w:rStyle w:val="FootnoteReference"/>
        </w:rPr>
        <w:footnoteRef/>
      </w:r>
      <w:r>
        <w:t xml:space="preserve"> </w:t>
      </w:r>
      <w:r>
        <w:t xml:space="preserve">Rigney A. Portable Monuments: Literature, Cultural Memory, and the Case of Jeanie Deans // Poetics Today. 2004. Vol. 25, No. 2. P. 387.</w:t>
      </w:r>
    </w:p>
  </w:footnote>
  <w:footnote w:id="195">
    <w:p>
      <w:pPr>
        <w:pStyle w:val="FootnoteText"/>
      </w:pPr>
      <w:r>
        <w:rPr>
          <w:rStyle w:val="FootnoteReference"/>
        </w:rPr>
        <w:footnoteRef/>
      </w:r>
      <w:r>
        <w:t xml:space="preserve"> </w:t>
      </w:r>
      <w:r>
        <w:t xml:space="preserve">Sodaro A. Exhibiting Atrocity: Memorial Museums and the Politics of Past Violence. New Brunswick: Rutgers University Press, 2018. P. 180.</w:t>
      </w:r>
    </w:p>
  </w:footnote>
  <w:footnote w:id="196">
    <w:p>
      <w:pPr>
        <w:pStyle w:val="FootnoteText"/>
      </w:pPr>
      <w:r>
        <w:rPr>
          <w:rStyle w:val="FootnoteReference"/>
        </w:rPr>
        <w:footnoteRef/>
      </w:r>
      <w:r>
        <w:t xml:space="preserve"> </w:t>
      </w:r>
      <w:r>
        <w:t xml:space="preserve">Kress G., van Leeuwen T. Multimodal Discourse: The Modes and Media of Contemporary Communication. London: Arnold, 2001. P. 105.</w:t>
      </w:r>
    </w:p>
  </w:footnote>
  <w:footnote w:id="197">
    <w:p>
      <w:pPr>
        <w:pStyle w:val="FootnoteText"/>
      </w:pPr>
      <w:r>
        <w:rPr>
          <w:rStyle w:val="FootnoteReference"/>
        </w:rPr>
        <w:footnoteRef/>
      </w:r>
      <w:r>
        <w:t xml:space="preserve"> </w:t>
      </w:r>
      <w:r>
        <w:t xml:space="preserve">Williams P. Memorial Museums. P. 25.</w:t>
      </w:r>
    </w:p>
  </w:footnote>
  <w:footnote w:id="198">
    <w:p>
      <w:pPr>
        <w:pStyle w:val="FootnoteText"/>
      </w:pPr>
      <w:r>
        <w:rPr>
          <w:rStyle w:val="FootnoteReference"/>
        </w:rPr>
        <w:footnoteRef/>
      </w:r>
      <w:r>
        <w:t xml:space="preserve"> </w:t>
      </w:r>
      <w:r>
        <w:t xml:space="preserve">Sodaro A. Exhibiting Atrocity. P. 180.</w:t>
      </w:r>
    </w:p>
  </w:footnote>
  <w:footnote w:id="200">
    <w:p>
      <w:pPr>
        <w:pStyle w:val="FootnoteText"/>
      </w:pPr>
      <w:r>
        <w:rPr>
          <w:rStyle w:val="FootnoteReference"/>
        </w:rPr>
        <w:footnoteRef/>
      </w:r>
      <w:r>
        <w:t xml:space="preserve"> </w:t>
      </w:r>
      <w:r>
        <w:t xml:space="preserve">Smith T. Thinking Contemporary Curating. New York: Independent Curators International, 2012. P. 12.</w:t>
      </w:r>
    </w:p>
  </w:footnote>
  <w:footnote w:id="201">
    <w:p>
      <w:pPr>
        <w:pStyle w:val="FootnoteText"/>
      </w:pPr>
      <w:r>
        <w:rPr>
          <w:rStyle w:val="FootnoteReference"/>
        </w:rPr>
        <w:footnoteRef/>
      </w:r>
      <w:r>
        <w:t xml:space="preserve"> </w:t>
      </w:r>
      <w:r>
        <w:t xml:space="preserve">Assmann A. Cultural Memory and Western Civilization. P. 150.</w:t>
      </w:r>
    </w:p>
  </w:footnote>
  <w:footnote w:id="202">
    <w:p>
      <w:pPr>
        <w:pStyle w:val="FootnoteText"/>
      </w:pPr>
      <w:r>
        <w:rPr>
          <w:rStyle w:val="FootnoteReference"/>
        </w:rPr>
        <w:footnoteRef/>
      </w:r>
      <w:r>
        <w:t xml:space="preserve"> </w:t>
      </w:r>
      <w:r>
        <w:t xml:space="preserve">Williams P. Memorial Museums. P. 8.</w:t>
      </w:r>
    </w:p>
  </w:footnote>
  <w:footnote w:id="203">
    <w:p>
      <w:pPr>
        <w:pStyle w:val="FootnoteText"/>
      </w:pPr>
      <w:r>
        <w:rPr>
          <w:rStyle w:val="FootnoteReference"/>
        </w:rPr>
        <w:footnoteRef/>
      </w:r>
      <w:r>
        <w:t xml:space="preserve"> </w:t>
      </w:r>
      <w:r>
        <w:t xml:space="preserve">Kansteiner W. The Holocaust in the 21st Century. P. 118.</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Mediatization of Political Memory in Multimedia Exhibitions</dc:title>
  <dc:creator>Kazaryan Christina Ovikovna</dc:creator>
  <cp:keywords/>
  <dcterms:created xsi:type="dcterms:W3CDTF">2026-05-15T16:51:15Z</dcterms:created>
  <dcterms:modified xsi:type="dcterms:W3CDTF">2026-05-15T16:51:15Z</dcterms:modified>
</cp:coreProperties>
</file>

<file path=docProps/custom.xml><?xml version="1.0" encoding="utf-8"?>
<Properties xmlns="http://schemas.openxmlformats.org/officeDocument/2006/custom-properties" xmlns:vt="http://schemas.openxmlformats.org/officeDocument/2006/docPropsVTypes"/>
</file>