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adbf05b4baf4ef457a4379962fb0c82f86c3e9"/>
    <w:p>
      <w:pPr>
        <w:pStyle w:val="Heading1"/>
      </w:pPr>
      <w:r>
        <w:t xml:space="preserve">CHAPTER 2. RESEARCH DESIGN, CASE, AND METHODS</w:t>
      </w:r>
    </w:p>
    <w:bookmarkStart w:id="20" w:name="X7445a741afc2b5f75d8a07f86a8cafe9de3e112"/>
    <w:p>
      <w:pPr>
        <w:pStyle w:val="Heading2"/>
      </w:pPr>
      <w:r>
        <w:t xml:space="preserve">2.1 Justification of the Research Design: Case Study</w:t>
      </w:r>
    </w:p>
    <w:p>
      <w:pPr>
        <w:pStyle w:val="FirstParagraph"/>
      </w:pPr>
      <w:r>
        <w:t xml:space="preserve">The empirical investigation is built on the methodology of the case study. The choice of this method is determined by the type of the research question and by the specificity of the object under analysis. The main research question is:</w:t>
      </w:r>
      <w:r>
        <w:t xml:space="preserve"> </w:t>
      </w:r>
      <w:r>
        <w:t xml:space="preserve">“</w:t>
      </w:r>
      <w:r>
        <w:t xml:space="preserve">what curatorial decisions shape the mediatization of genocide as political memory in multimedia exhibitions?</w:t>
      </w:r>
      <w:r>
        <w:t xml:space="preserve">”</w:t>
      </w:r>
      <w:r>
        <w:t xml:space="preserve">. The case study method is most appropriate when the research question is formulated in the form of</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w:t>
      </w:r>
    </w:p>
    <w:p>
      <w:pPr>
        <w:pStyle w:val="BodyText"/>
      </w:pPr>
      <w:r>
        <w:t xml:space="preserve">It is precisely these forms of the question that define the area of application of the case study:</w:t>
      </w:r>
      <w:r>
        <w:t xml:space="preserve"> </w:t>
      </w:r>
      <w:r>
        <w:t xml:space="preserve">“</w:t>
      </w:r>
      <w:r>
        <w:t xml:space="preserve">a case study is an empirical inquiry that investigates &amp; contemporary phenomenon within its real-life context, especially when the boundaries between phenomenon and context are not clearly evident</w:t>
      </w:r>
      <w:r>
        <w:t xml:space="preserve">”</w:t>
      </w:r>
      <w:r>
        <w:t xml:space="preserve"> </w:t>
      </w:r>
      <w:r>
        <w:t xml:space="preserve">(Yin, 2003, p. 13). The exhibition as an object of analysis does not exist apart from the space in which it is located, from the institution that hosts it, and from its audience. Curatorial decisions produce political memory in a concrete institutional and spatial environment. The researcher does not control how the exhibition is organised but observes it in the form in which it already functions. The multimedia exposition itself, as a form of production of political memory, exists in the present. All three conditions under which a case study is the preferred strategy are met here:</w:t>
      </w:r>
      <w:r>
        <w:t xml:space="preserve"> </w:t>
      </w:r>
      <w:r>
        <w:t xml:space="preserve">“</w:t>
      </w:r>
      <w:r>
        <w:t xml:space="preserve">case studies are the preferred strategy when</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 </w:t>
      </w:r>
      <w:r>
        <w:t xml:space="preserve">questions are being posed, when the investigator has little control over events, and when the focus is on a contemporary phenomenon within some real-life context</w:t>
      </w:r>
      <w:r>
        <w:t xml:space="preserve">”</w:t>
      </w:r>
      <w:r>
        <w:t xml:space="preserve"> </w:t>
      </w:r>
      <w:r>
        <w:t xml:space="preserve">(Yin, 2003, p. 1).</w:t>
      </w:r>
    </w:p>
    <w:p>
      <w:pPr>
        <w:pStyle w:val="BodyText"/>
      </w:pPr>
      <w:r>
        <w:t xml:space="preserve">Alongside this, it is important to distinguish for what purpose a particular case is studied. A project may be investigated because the researcher is interested in a particular case as such. However, if the researcher studies a concrete case in order to answer a more general question, this is an instrumental case study:</w:t>
      </w:r>
      <w:r>
        <w:t xml:space="preserve"> </w:t>
      </w:r>
      <w:r>
        <w:t xml:space="preserve">“</w:t>
      </w:r>
      <w:r>
        <w:t xml:space="preserve">we will have a research question, a puzzlement, a need for general understanding, and feel that we may get insight into the question by studying a particular case</w:t>
      </w:r>
      <w:r>
        <w:t xml:space="preserve">”</w:t>
      </w:r>
      <w:r>
        <w:t xml:space="preserve"> </w:t>
      </w:r>
      <w:r>
        <w:t xml:space="preserve">(Stake, 1995, p. 3). The case here serves to understand something beyond itself:</w:t>
      </w:r>
      <w:r>
        <w:t xml:space="preserve"> </w:t>
      </w:r>
      <w:r>
        <w:t xml:space="preserve">“</w:t>
      </w:r>
      <w:r>
        <w:t xml:space="preserve">This use of case study is to understand something else. Case study here is instrumental to accomplishing something other than understanding this particular teacher</w:t>
      </w:r>
      <w:r>
        <w:t xml:space="preserve">”</w:t>
      </w:r>
      <w:r>
        <w:t xml:space="preserve"> </w:t>
      </w:r>
      <w:r>
        <w:t xml:space="preserve">(Stake, 1995, p. 3).</w:t>
      </w:r>
    </w:p>
    <w:p>
      <w:pPr>
        <w:pStyle w:val="BodyText"/>
      </w:pPr>
      <w:r>
        <w:t xml:space="preserve">The present study follows precisely this principle. The exhibition</w:t>
      </w:r>
      <w:r>
        <w:t xml:space="preserve"> </w:t>
      </w:r>
      <w:r>
        <w:t xml:space="preserve">“</w:t>
      </w:r>
      <w:r>
        <w:t xml:space="preserve">No to Genocide!</w:t>
      </w:r>
      <w:r>
        <w:t xml:space="preserve">”</w:t>
      </w:r>
      <w:r>
        <w:t xml:space="preserve"> </w:t>
      </w:r>
      <w:r>
        <w:t xml:space="preserve">is studied as a case through which a broader question —</w:t>
      </w:r>
      <w:r>
        <w:t xml:space="preserve"> </w:t>
      </w:r>
      <w:r>
        <w:t xml:space="preserve">“</w:t>
      </w:r>
      <w:r>
        <w:t xml:space="preserve">how do multimedia exhibitions construct political memory?</w:t>
      </w:r>
      <w:r>
        <w:t xml:space="preserve">”</w:t>
      </w:r>
      <w:r>
        <w:t xml:space="preserve"> </w:t>
      </w:r>
      <w:r>
        <w:t xml:space="preserve">— can be answered. The exhibition functions as an instrument for understanding the mechanisms of mediatization.</w:t>
      </w:r>
    </w:p>
    <w:p>
      <w:pPr>
        <w:pStyle w:val="BodyText"/>
      </w:pPr>
      <w:r>
        <w:t xml:space="preserve">The instrumental character of the research does not mean that any case would fit. The exhibition</w:t>
      </w:r>
      <w:r>
        <w:t xml:space="preserve"> </w:t>
      </w:r>
      <w:r>
        <w:t xml:space="preserve">“</w:t>
      </w:r>
      <w:r>
        <w:t xml:space="preserve">No to Genocide!</w:t>
      </w:r>
      <w:r>
        <w:t xml:space="preserve">”</w:t>
      </w:r>
      <w:r>
        <w:t xml:space="preserve"> </w:t>
      </w:r>
      <w:r>
        <w:t xml:space="preserve">is a non-standard case. The Armenian genocide is a topic that is the subject of political disagreement, and the exhibition was created in the format of an exposition within the context of Russian–Armenian relations. It is precisely thanks to such unusual cases that one can see what is hidden in standard situations:</w:t>
      </w:r>
      <w:r>
        <w:t xml:space="preserve"> </w:t>
      </w:r>
      <w:r>
        <w:t xml:space="preserve">“</w:t>
      </w:r>
      <w:r>
        <w:t xml:space="preserve">sometimes an</w:t>
      </w:r>
      <w:r>
        <w:t xml:space="preserve"> </w:t>
      </w:r>
      <w:r>
        <w:t xml:space="preserve">‘</w:t>
      </w:r>
      <w:r>
        <w:t xml:space="preserve">unusual</w:t>
      </w:r>
      <w:r>
        <w:t xml:space="preserve">’</w:t>
      </w:r>
      <w:r>
        <w:t xml:space="preserve"> </w:t>
      </w:r>
      <w:r>
        <w:t xml:space="preserve">case helps illustrate matters we overlook in typical cases</w:t>
      </w:r>
      <w:r>
        <w:t xml:space="preserve">”</w:t>
      </w:r>
      <w:r>
        <w:t xml:space="preserve"> </w:t>
      </w:r>
      <w:r>
        <w:t xml:space="preserve">(Stake, 1995, p. 4). Through this exposition it is clearly visible how the mechanism of the mediatization of political memory functions: the transposition of archival materials into an exhibition format, the way media technologies participate in the production of memory, and the way spatial design directs the visitor’s interpretation. Moreover, atypical cases reveal the mechanisms under investigation better than typical ones, because more actors are involved in them:</w:t>
      </w:r>
      <w:r>
        <w:t xml:space="preserve"> </w:t>
      </w:r>
      <w:r>
        <w:t xml:space="preserve">“</w:t>
      </w:r>
      <w:r>
        <w:t xml:space="preserve">atypical or extreme cases often reveal more information because they activate more actors and more basic mechanisms in the situation studied</w:t>
      </w:r>
      <w:r>
        <w:t xml:space="preserve">”</w:t>
      </w:r>
      <w:r>
        <w:t xml:space="preserve"> </w:t>
      </w:r>
      <w:r>
        <w:t xml:space="preserve">(Flyvbjerg, 2006, p. 229). Such a case is called a critical case: it manifests the mechanism under investigation with particular clarity and therefore possesses maximum analytical value. Its logic is built on the possibility of drawing inferences of the type</w:t>
      </w:r>
      <w:r>
        <w:t xml:space="preserve"> </w:t>
      </w:r>
      <w:r>
        <w:t xml:space="preserve">“</w:t>
      </w:r>
      <w:r>
        <w:t xml:space="preserve">if this is valid for this case, then it applies to many</w:t>
      </w:r>
      <w:r>
        <w:t xml:space="preserve">”</w:t>
      </w:r>
      <w:r>
        <w:t xml:space="preserve">:</w:t>
      </w:r>
      <w:r>
        <w:t xml:space="preserve"> </w:t>
      </w:r>
      <w:r>
        <w:t xml:space="preserve">“</w:t>
      </w:r>
      <w:r>
        <w:t xml:space="preserve">to achieve information that permits logical deductions of the type,</w:t>
      </w:r>
      <w:r>
        <w:t xml:space="preserve"> </w:t>
      </w:r>
      <w:r>
        <w:t xml:space="preserve">‘</w:t>
      </w:r>
      <w:r>
        <w:t xml:space="preserve">If this is (not) valid for this case, then it applies to all (no) cases</w:t>
      </w:r>
      <w:r>
        <w:t xml:space="preserve">’</w:t>
      </w:r>
      <w:r>
        <w:t xml:space="preserve">”</w:t>
      </w:r>
      <w:r>
        <w:t xml:space="preserve"> </w:t>
      </w:r>
      <w:r>
        <w:t xml:space="preserve">(Flyvbjerg, 2006, p. 229). Two types of cases serve as orientation points in the search for a critical case: the most and the least likely for the propositions being tested:</w:t>
      </w:r>
      <w:r>
        <w:t xml:space="preserve"> </w:t>
      </w:r>
      <w:r>
        <w:t xml:space="preserve">“</w:t>
      </w:r>
      <w:r>
        <w:t xml:space="preserve">when looking for critical cases, it is a good idea to look for either</w:t>
      </w:r>
      <w:r>
        <w:t xml:space="preserve"> </w:t>
      </w:r>
      <w:r>
        <w:t xml:space="preserve">‘</w:t>
      </w:r>
      <w:r>
        <w:t xml:space="preserve">most likely</w:t>
      </w:r>
      <w:r>
        <w:t xml:space="preserve">’</w:t>
      </w:r>
      <w:r>
        <w:t xml:space="preserve"> </w:t>
      </w:r>
      <w:r>
        <w:t xml:space="preserve">or</w:t>
      </w:r>
      <w:r>
        <w:t xml:space="preserve"> </w:t>
      </w:r>
      <w:r>
        <w:t xml:space="preserve">‘</w:t>
      </w:r>
      <w:r>
        <w:t xml:space="preserve">least likely</w:t>
      </w:r>
      <w:r>
        <w:t xml:space="preserve">’</w:t>
      </w:r>
      <w:r>
        <w:t xml:space="preserve"> </w:t>
      </w:r>
      <w:r>
        <w:t xml:space="preserve">cases, that is, cases likely to either clearly confirm or irrefutably falsify propositions and hypotheses</w:t>
      </w:r>
      <w:r>
        <w:t xml:space="preserve">”</w:t>
      </w:r>
      <w:r>
        <w:t xml:space="preserve"> </w:t>
      </w:r>
      <w:r>
        <w:t xml:space="preserve">(Flyvbjerg, 2006, p. 231).</w:t>
      </w:r>
    </w:p>
    <w:p>
      <w:pPr>
        <w:pStyle w:val="BodyText"/>
      </w:pPr>
      <w:r>
        <w:t xml:space="preserve">The multimedia exposition</w:t>
      </w:r>
      <w:r>
        <w:t xml:space="preserve"> </w:t>
      </w:r>
      <w:r>
        <w:t xml:space="preserve">“</w:t>
      </w:r>
      <w:r>
        <w:t xml:space="preserve">No to Genocide!</w:t>
      </w:r>
      <w:r>
        <w:t xml:space="preserve">”</w:t>
      </w:r>
      <w:r>
        <w:t xml:space="preserve"> </w:t>
      </w:r>
      <w:r>
        <w:t xml:space="preserve">satisfies this criterion. The platform on which it took place — the museum</w:t>
      </w:r>
      <w:r>
        <w:t xml:space="preserve"> </w:t>
      </w:r>
      <w:r>
        <w:t xml:space="preserve">“</w:t>
      </w:r>
      <w:r>
        <w:t xml:space="preserve">Russia — My History</w:t>
      </w:r>
      <w:r>
        <w:t xml:space="preserve">”</w:t>
      </w:r>
      <w:r>
        <w:t xml:space="preserve"> </w:t>
      </w:r>
      <w:r>
        <w:t xml:space="preserve">— is a state-funded infrastructure of historical memory with centralised content and a specific ideological function. The exhibition about the Armenian genocide, created by a diaspora organisation jointly with the Armenian Genocide Museum-Institute in Yerevan, existed inside this infrastructure while carrying its own narrative and memorial charge. It is precisely this combination of circumstances that makes the case critical: the mechanism of the mediatization of political memory is engaged here under conditions of institutional tension that force it to operate with maximum clarity. If curatorial decisions reveal their logic in this context, they will reveal themselves in any comparable case.</w:t>
      </w:r>
    </w:p>
    <w:p>
      <w:pPr>
        <w:pStyle w:val="BodyText"/>
      </w:pPr>
      <w:r>
        <w:t xml:space="preserve">The case study is built on analytical generalisation, and therefore statistical representativeness is not the goal:</w:t>
      </w:r>
      <w:r>
        <w:t xml:space="preserve"> </w:t>
      </w:r>
      <w:r>
        <w:t xml:space="preserve">“</w:t>
      </w:r>
      <w:r>
        <w:t xml:space="preserve">case studies, like experiments, are generalizable to theoretical propositions and not to populations or universes. In this sense, the case study, like the experiment, does not represent a</w:t>
      </w:r>
      <w:r>
        <w:t xml:space="preserve"> </w:t>
      </w:r>
      <w:r>
        <w:t xml:space="preserve">‘</w:t>
      </w:r>
      <w:r>
        <w:t xml:space="preserve">sample</w:t>
      </w:r>
      <w:r>
        <w:t xml:space="preserve">’</w:t>
      </w:r>
      <w:r>
        <w:t xml:space="preserve">”</w:t>
      </w:r>
      <w:r>
        <w:t xml:space="preserve"> </w:t>
      </w:r>
      <w:r>
        <w:t xml:space="preserve">(Yin, 2003, p. 10). Formal generalisation, moreover, is overrated as a source of scientific progress:</w:t>
      </w:r>
      <w:r>
        <w:t xml:space="preserve"> </w:t>
      </w:r>
      <w:r>
        <w:t xml:space="preserve">“</w:t>
      </w:r>
      <w:r>
        <w:t xml:space="preserve">formal generalization is overvalued as a source of scientific development, whereas</w:t>
      </w:r>
      <w:r>
        <w:t xml:space="preserve"> </w:t>
      </w:r>
      <w:r>
        <w:t xml:space="preserve">‘</w:t>
      </w:r>
      <w:r>
        <w:t xml:space="preserve">the force of example</w:t>
      </w:r>
      <w:r>
        <w:t xml:space="preserve">’</w:t>
      </w:r>
      <w:r>
        <w:t xml:space="preserve"> </w:t>
      </w:r>
      <w:r>
        <w:t xml:space="preserve">is underestimated</w:t>
      </w:r>
      <w:r>
        <w:t xml:space="preserve">”</w:t>
      </w:r>
      <w:r>
        <w:t xml:space="preserve"> </w:t>
      </w:r>
      <w:r>
        <w:t xml:space="preserve">(Flyvbjerg, 2006, p. 228). The results of the present study concern how mediatization works in exhibitionary production of political memory. There is no task here of covering all multimedia expositions and exhibitions.</w:t>
      </w:r>
    </w:p>
    <w:p>
      <w:pPr>
        <w:pStyle w:val="BodyText"/>
      </w:pPr>
      <w:r>
        <w:t xml:space="preserve">The research is based on a single case — a single-case design. Such a choice is justified when the case represents a rare or previously inaccessible phenomenon for observation (Yin, 2003, pp. 40–42). The exposition</w:t>
      </w:r>
      <w:r>
        <w:t xml:space="preserve"> </w:t>
      </w:r>
      <w:r>
        <w:t xml:space="preserve">“</w:t>
      </w:r>
      <w:r>
        <w:t xml:space="preserve">No to Genocide!</w:t>
      </w:r>
      <w:r>
        <w:t xml:space="preserve">”</w:t>
      </w:r>
      <w:r>
        <w:t xml:space="preserve"> </w:t>
      </w:r>
      <w:r>
        <w:t xml:space="preserve">is a rare example of a multimedia memorial exhibition about the Armenian genocide in the Russian context. A single case is also justified when it is critical in the sense described above: it allows theoretically significant propositions to be tested. It is precisely this testing function that constitutes its scientific value — representativeness is secondary here. Access to the exhibition and to its curators made it possible to conduct structured observation and an interview. This made the case both analytically valuable and practically feasible.</w:t>
      </w:r>
    </w:p>
    <w:bookmarkEnd w:id="20"/>
    <w:bookmarkStart w:id="21" w:name="Xca055b9b787e820ef698902a5065c6ccfab807e"/>
    <w:p>
      <w:pPr>
        <w:pStyle w:val="Heading2"/>
      </w:pPr>
      <w:r>
        <w:t xml:space="preserve">2.2 The Exhibition</w:t>
      </w:r>
      <w:r>
        <w:t xml:space="preserve"> </w:t>
      </w:r>
      <w:r>
        <w:t xml:space="preserve">“</w:t>
      </w:r>
      <w:r>
        <w:t xml:space="preserve">No to Genocide!</w:t>
      </w:r>
      <w:r>
        <w:t xml:space="preserve">”</w:t>
      </w:r>
      <w:r>
        <w:t xml:space="preserve">: Institutional Context and Spatial-Technological Organisation</w:t>
      </w:r>
    </w:p>
    <w:p>
      <w:pPr>
        <w:pStyle w:val="FirstParagraph"/>
      </w:pPr>
      <w:r>
        <w:t xml:space="preserve">The multimedia exposition</w:t>
      </w:r>
      <w:r>
        <w:t xml:space="preserve"> </w:t>
      </w:r>
      <w:r>
        <w:t xml:space="preserve">“</w:t>
      </w:r>
      <w:r>
        <w:t xml:space="preserve">No to Genocide!</w:t>
      </w:r>
      <w:r>
        <w:t xml:space="preserve">”</w:t>
      </w:r>
      <w:r>
        <w:t xml:space="preserve"> </w:t>
      </w:r>
      <w:r>
        <w:t xml:space="preserve">opened in 2021 in Rostov-on-Don. Three organisations were involved in its creation: the Don Union of Armenian Youth (DUAY), the Nakhichevan-on-Don Armenian community, and the Armenian Genocide Museum-Institute in Yerevan; the venue was the museum</w:t>
      </w:r>
      <w:r>
        <w:t xml:space="preserve"> </w:t>
      </w:r>
      <w:r>
        <w:t xml:space="preserve">“</w:t>
      </w:r>
      <w:r>
        <w:t xml:space="preserve">Russia — My History</w:t>
      </w:r>
      <w:r>
        <w:t xml:space="preserve">”</w:t>
      </w:r>
      <w:r>
        <w:t xml:space="preserve">. It is notable that the creation of the exhibition arose from the initiative of diaspora communities, and not from state structures from above. This is an important nuance, as it determines the position of the exhibition: it openly takes the side of the Armenian people.</w:t>
      </w:r>
    </w:p>
    <w:p>
      <w:pPr>
        <w:pStyle w:val="BodyText"/>
      </w:pPr>
      <w:r>
        <w:t xml:space="preserve">The venue of the exposition — the historical park</w:t>
      </w:r>
      <w:r>
        <w:t xml:space="preserve"> </w:t>
      </w:r>
      <w:r>
        <w:t xml:space="preserve">“</w:t>
      </w:r>
      <w:r>
        <w:t xml:space="preserve">Russia — My History</w:t>
      </w:r>
      <w:r>
        <w:t xml:space="preserve">”</w:t>
      </w:r>
      <w:r>
        <w:t xml:space="preserve"> </w:t>
      </w:r>
      <w:r>
        <w:t xml:space="preserve">— is a federal network of multimedia parks that covers dozens of Russian cities. The concept of these complexes is that the main instrument of presenting the material is multimedia technologies. In this sense, such a format is technologically ideal for the creation of the exposition</w:t>
      </w:r>
      <w:r>
        <w:t xml:space="preserve"> </w:t>
      </w:r>
      <w:r>
        <w:t xml:space="preserve">“</w:t>
      </w:r>
      <w:r>
        <w:t xml:space="preserve">No to Genocide!</w:t>
      </w:r>
      <w:r>
        <w:t xml:space="preserve">”</w:t>
      </w:r>
      <w:r>
        <w:t xml:space="preserve">. Placing an exhibition about the Armenian genocide precisely in this institution is itself a curatorial decision. It situates the memory of the genocide of the Armenian people within the frame of the Russian historical narrative and sets its reading through the prism of Russian–Armenian solidarity.</w:t>
      </w:r>
    </w:p>
    <w:p>
      <w:pPr>
        <w:pStyle w:val="BodyText"/>
      </w:pPr>
      <w:r>
        <w:t xml:space="preserve">Every year, from 2021 to 2024, the exposition was held in Rostov-on-Don, in open access for all visitors, during the period of the date of remembrance of the Armenian genocide. The organisers, however, did not stop there and launched the process of scaling the project up in other cities: in Saint Petersburg, Nizhny Novgorod, and Yekaterinburg, on the basis of the museum</w:t>
      </w:r>
      <w:r>
        <w:t xml:space="preserve"> </w:t>
      </w:r>
      <w:r>
        <w:t xml:space="preserve">“</w:t>
      </w:r>
      <w:r>
        <w:t xml:space="preserve">Russia — My History</w:t>
      </w:r>
      <w:r>
        <w:t xml:space="preserve">”</w:t>
      </w:r>
      <w:r>
        <w:t xml:space="preserve">. This geography covers several major Russian cities where the activity of Armenian communities is deeply developed. It indicates the project’s orientation simultaneously towards an Armenian audience and towards the Russian audience as a whole.</w:t>
      </w:r>
    </w:p>
    <w:p>
      <w:pPr>
        <w:pStyle w:val="BodyText"/>
      </w:pPr>
      <w:r>
        <w:t xml:space="preserve">According to the organisers, the history of the Armenian people is under threat, and the reputation of Armenians continues to be undermined by the Turkish–Azerbaijani alliance. They believe it is necessary to resist hostile propaganda, to promote Armenian interests and to defend historical truth. The curators expected the following effect on the visitor:</w:t>
      </w:r>
      <w:r>
        <w:t xml:space="preserve"> </w:t>
      </w:r>
      <w:r>
        <w:t xml:space="preserve">“</w:t>
      </w:r>
      <w:r>
        <w:t xml:space="preserve">the exposition is aimed at the rising of your souls and hearts</w:t>
      </w:r>
      <w:r>
        <w:t xml:space="preserve">”</w:t>
      </w:r>
      <w:r>
        <w:t xml:space="preserve"> </w:t>
      </w:r>
      <w:r>
        <w:t xml:space="preserve">— behind this slogan lies the desire of the organisers and curators to evoke in people the will to struggle and to work for the future of the Armenian people. The exhibition has several functions at once: it fixes the past, while addressing the present and calling for action. It is also characterised as</w:t>
      </w:r>
      <w:r>
        <w:t xml:space="preserve"> </w:t>
      </w:r>
      <w:r>
        <w:t xml:space="preserve">“</w:t>
      </w:r>
      <w:r>
        <w:t xml:space="preserve">a unique opportunity to bring the Armenian question to the attention of the entire country</w:t>
      </w:r>
      <w:r>
        <w:t xml:space="preserve">”</w:t>
      </w:r>
      <w:r>
        <w:t xml:space="preserve">.</w:t>
      </w:r>
    </w:p>
    <w:p>
      <w:pPr>
        <w:pStyle w:val="BodyText"/>
      </w:pPr>
      <w:r>
        <w:t xml:space="preserve">The curators and organisers built a linear route along which the visitor moves: forward along the walls, with no provision for free movement. Along the way are four consecutive halls, with no branches or additional halls.</w:t>
      </w:r>
    </w:p>
    <w:p>
      <w:pPr>
        <w:pStyle w:val="BodyText"/>
      </w:pPr>
      <w:r>
        <w:t xml:space="preserve">Lighting in the space is minimised. The only sources of light in the room are the spotlights illuminating the banners. The contrast between the completely dark space and the bright screens creates a particular effect by which the visitor finds themselves in a space where there is nothing other than the content of the exposition. As sound accompaniment, continuous background music plays on the territory of the exposition — melodies by composers dedicated to the Armenian genocide in the Ottoman Empire.</w:t>
      </w:r>
    </w:p>
    <w:p>
      <w:pPr>
        <w:pStyle w:val="BodyText"/>
      </w:pPr>
      <w:r>
        <w:t xml:space="preserve">At the entrance to the exposition the visitor sees two LED screens that display the visual symbolism. The first screen contains the symbolism of the exhibition: on a black background two elements are depicted. The</w:t>
      </w:r>
      <w:r>
        <w:t xml:space="preserve"> </w:t>
      </w:r>
      <w:r>
        <w:t xml:space="preserve">“</w:t>
      </w:r>
      <w:r>
        <w:t xml:space="preserve">wings</w:t>
      </w:r>
      <w:r>
        <w:t xml:space="preserve">”</w:t>
      </w:r>
      <w:r>
        <w:t xml:space="preserve"> </w:t>
      </w:r>
      <w:r>
        <w:t xml:space="preserve">stand for</w:t>
      </w:r>
      <w:r>
        <w:t xml:space="preserve"> </w:t>
      </w:r>
      <w:r>
        <w:t xml:space="preserve">“</w:t>
      </w:r>
      <w:r>
        <w:t xml:space="preserve">emancipation, freedom, recognition of the genocide</w:t>
      </w:r>
      <w:r>
        <w:t xml:space="preserve">”</w:t>
      </w:r>
      <w:r>
        <w:t xml:space="preserve">, and the</w:t>
      </w:r>
      <w:r>
        <w:t xml:space="preserve"> </w:t>
      </w:r>
      <w:r>
        <w:t xml:space="preserve">“</w:t>
      </w:r>
      <w:r>
        <w:t xml:space="preserve">thorn crown</w:t>
      </w:r>
      <w:r>
        <w:t xml:space="preserve">”</w:t>
      </w:r>
      <w:r>
        <w:t xml:space="preserve"> </w:t>
      </w:r>
      <w:r>
        <w:t xml:space="preserve">for</w:t>
      </w:r>
      <w:r>
        <w:t xml:space="preserve"> </w:t>
      </w:r>
      <w:r>
        <w:t xml:space="preserve">“</w:t>
      </w:r>
      <w:r>
        <w:t xml:space="preserve">martyrdom, mass exterminations</w:t>
      </w:r>
      <w:r>
        <w:t xml:space="preserve">”</w:t>
      </w:r>
      <w:r>
        <w:t xml:space="preserve"> </w:t>
      </w:r>
      <w:r>
        <w:t xml:space="preserve">— as the curators of the exhibition themselves describe it. This screen performs the function of a semiotic instruction: the visitor is taught to read the visual language of the exhibition before they begin to view it. The next screen,</w:t>
      </w:r>
      <w:r>
        <w:t xml:space="preserve"> </w:t>
      </w:r>
      <w:r>
        <w:t xml:space="preserve">“</w:t>
      </w:r>
      <w:r>
        <w:t xml:space="preserve">Contents</w:t>
      </w:r>
      <w:r>
        <w:t xml:space="preserve">”</w:t>
      </w:r>
      <w:r>
        <w:t xml:space="preserve">, presents a numbered list of the 11 thematic blocks shown on the LED screens, from</w:t>
      </w:r>
      <w:r>
        <w:t xml:space="preserve"> </w:t>
      </w:r>
      <w:r>
        <w:t xml:space="preserve">“</w:t>
      </w:r>
      <w:r>
        <w:t xml:space="preserve">The Russo-Turkish War of 1877–1878</w:t>
      </w:r>
      <w:r>
        <w:t xml:space="preserve">”</w:t>
      </w:r>
      <w:r>
        <w:t xml:space="preserve"> </w:t>
      </w:r>
      <w:r>
        <w:t xml:space="preserve">to</w:t>
      </w:r>
      <w:r>
        <w:t xml:space="preserve"> </w:t>
      </w:r>
      <w:r>
        <w:t xml:space="preserve">“</w:t>
      </w:r>
      <w:r>
        <w:t xml:space="preserve">Russia and the World Recognise and Condemn the Armenian Genocide</w:t>
      </w:r>
      <w:r>
        <w:t xml:space="preserve">”</w:t>
      </w:r>
      <w:r>
        <w:t xml:space="preserve">. The entire structure of the exposition is presented to the visitor at the very beginning of the route.</w:t>
      </w:r>
    </w:p>
    <w:p>
      <w:pPr>
        <w:pStyle w:val="BodyText"/>
      </w:pPr>
      <w:r>
        <w:t xml:space="preserve">At the entrance, a series of six vertical banners is arranged, with black-and-white portraits of historical and contemporary figures, politicians, and their quotations about the Armenian genocide. Among them are Pope John Paul II, Vladimir Putin, Catholicos Vazgen I, Fridtjof Nansen, Pope Francis, Anatole France, and other significant figures. The choice of these persons is principled: they are religious leaders, statesmen and public authorities of different epochs and countries. The banners are placed on both sides of the passageway, and the visitor physically passes through a corridor of</w:t>
      </w:r>
      <w:r>
        <w:t xml:space="preserve"> </w:t>
      </w:r>
      <w:r>
        <w:t xml:space="preserve">“</w:t>
      </w:r>
      <w:r>
        <w:t xml:space="preserve">authoritative voices</w:t>
      </w:r>
      <w:r>
        <w:t xml:space="preserve">”</w:t>
      </w:r>
      <w:r>
        <w:t xml:space="preserve"> </w:t>
      </w:r>
      <w:r>
        <w:t xml:space="preserve">before entering the main space of the exhibition.</w:t>
      </w:r>
    </w:p>
    <w:p>
      <w:pPr>
        <w:pStyle w:val="BodyText"/>
      </w:pPr>
      <w:r>
        <w:t xml:space="preserve">In the centre of the first hall a long sensor table is installed — the only element of the exhibition where the visitor is offered active physical interaction. On the surface of the table the flags of Russia and Armenia are displayed. Upon interaction with the surface of the sensor table, the image changes: the flags disappear and the surface is filled with forget-me-nots — the official symbol of the Armenian genocide. The screen displays an instruction:</w:t>
      </w:r>
      <w:r>
        <w:t xml:space="preserve"> </w:t>
      </w:r>
      <w:r>
        <w:t xml:space="preserve">“</w:t>
      </w:r>
      <w:r>
        <w:t xml:space="preserve">wave your hand</w:t>
      </w:r>
      <w:r>
        <w:t xml:space="preserve">”</w:t>
      </w:r>
      <w:r>
        <w:t xml:space="preserve">, and the visitor thereby changes the picture.</w:t>
      </w:r>
    </w:p>
    <w:p>
      <w:pPr>
        <w:pStyle w:val="BodyText"/>
      </w:pPr>
      <w:r>
        <w:t xml:space="preserve">The basis of the exposition consists of 11 thematic LED screens located along the perimeter of the halls along the route. Some of them are combined in pairs around one theme. In front of each LED screen a duplicating sensor table with the same content is installed, allowing the visitor to study the material in more detail.</w:t>
      </w:r>
    </w:p>
    <w:p>
      <w:pPr>
        <w:pStyle w:val="BodyText"/>
      </w:pPr>
      <w:r>
        <w:t xml:space="preserve">The structure of the exhibition is built chronologically. The themes successively cover the pre-history of the genocide: starting with the Russo-Turkish War of 1877–1878 and the Armenian reforms, and then the genocide itself: the massacres of 1894–1896, the events of 1915, the deportations and the destruction of the cultural heritage. The exposition is also built around a narrative of Russian–Armenian solidarity: fraternal aid to the suffering, Russian soldiers as eyewitnesses, Russian writers and public figures as witnesses. The route closes with a section on the recognition of the genocide; on this screen contemporary colour photographs of Russian statesmen at the Tsitsernakaberd memorial in Yerevan are placed. These are the only large colour images in the entire exposition, which is built predominantly on archival black-and-white material. The contrast between colour and black-and-white sets a visual border between the historical past and the actual present.</w:t>
      </w:r>
    </w:p>
    <w:p>
      <w:pPr>
        <w:pStyle w:val="BodyText"/>
      </w:pPr>
      <w:r>
        <w:t xml:space="preserve">Transitions between thematic blocks are organised through a separate technological element: every few seconds all the LED screens switch synchronously to a dark background with a single symbol — a forget-me-not or a thorn crown — and the title of the next theme. The pause lasts 5–7 seconds and covers the entire space of the hall at the same time. The visitor cannot continue to examine one screen while the others have already switched: the synchronicity of the change of frame sets a collective rhythm of perception, in which everyone present in the space finds themselves at the same point of the narrative simultaneously.</w:t>
      </w:r>
    </w:p>
    <w:p>
      <w:pPr>
        <w:pStyle w:val="BodyText"/>
      </w:pPr>
      <w:r>
        <w:t xml:space="preserve">The exhibition</w:t>
      </w:r>
      <w:r>
        <w:t xml:space="preserve"> </w:t>
      </w:r>
      <w:r>
        <w:t xml:space="preserve">“</w:t>
      </w:r>
      <w:r>
        <w:t xml:space="preserve">No to Genocide!</w:t>
      </w:r>
      <w:r>
        <w:t xml:space="preserve">”</w:t>
      </w:r>
      <w:r>
        <w:t xml:space="preserve"> </w:t>
      </w:r>
      <w:r>
        <w:t xml:space="preserve">represents a multimedia memorial project with a pronounced political position. Everything in the exposition — how the space is organised, what technologies are applied, how the material is presented — is built on a single principle. The linear route, the darkened halls, the simultaneous rhythm of transitions, and the sequence of the narrative content: from the origins of the historical tragedy to the recognition of the genocide. The combination of all these directs the visitor: they move along the prescribed route and arrive at the conclusion set by the authors.</w:t>
      </w:r>
    </w:p>
    <w:bookmarkEnd w:id="21"/>
    <w:bookmarkStart w:id="22" w:name="X37677c4df8fb459619a1a2214b36bde2c260024"/>
    <w:p>
      <w:pPr>
        <w:pStyle w:val="Heading2"/>
      </w:pPr>
      <w:r>
        <w:t xml:space="preserve">2.3 Method of Analysis: Multimodal Discourse Analysis</w:t>
      </w:r>
    </w:p>
    <w:p>
      <w:pPr>
        <w:pStyle w:val="FirstParagraph"/>
      </w:pPr>
      <w:r>
        <w:t xml:space="preserve">The exposition under study is a space in which several semiotic systems are organised simultaneously: archival photographs, typography, colour, spatial route, sound accompaniment, gestures, lighting regime, and interaction with technology. Meaning is born from the interaction of all these elements; for that reason, multimodal discourse analysis (MDA) has been chosen for the analysis of the exposition. This method is able to work with different semiotic systems at the same time.</w:t>
      </w:r>
    </w:p>
    <w:p>
      <w:pPr>
        <w:pStyle w:val="BodyText"/>
      </w:pPr>
      <w:r>
        <w:t xml:space="preserve">The basis of this method is the concept of the mode as a semiotic resource through which meaning is produced. Language is one mode, image another; space, sound, gesture, colour — each is a separate mode. Different modes have different possibilities for producing meaning: Kress and van Leeuwen describe this through the concept of affordances — what each mode is able and unable to express in a given culture at a given moment (Kress &amp; van Leeuwen, 2001, pp. 125, 132). Meaning arises in the way these possibilities are used and the way the modes interact with one another.</w:t>
      </w:r>
    </w:p>
    <w:p>
      <w:pPr>
        <w:pStyle w:val="BodyText"/>
      </w:pPr>
      <w:r>
        <w:t xml:space="preserve">The analysis of individual modes is not equivalent to the analysis of their joint work. If one considers an archival photograph in isolation from the text below it, a caption separately from its position on the screen, and the screen without the spatial context of the hall, much is lost. Precisely because the exhibition works as a single whole — in which image, text, sound and space act together — MDA is methodologically the precise instrument here. The method makes it possible to see what is shown and how this meaning emerges from the joining of different parts of the exposition.</w:t>
      </w:r>
    </w:p>
    <w:p>
      <w:pPr>
        <w:pStyle w:val="BodyText"/>
      </w:pPr>
      <w:r>
        <w:t xml:space="preserve">The operational basis of the analysis is constituted by three functions that are realised in any visual text simultaneously: representational, interactive and compositional. Each is responsible for a separate dimension of meaning-making. The representational level answers the question: what is depicted, and how are relations between the depicted participants constructed? Here a distinction is drawn between narrative and conceptual representations. Narrative representations are those in which there is an action or event between participants: vectors of movement, interaction, reaction. Conceptual representations are those in which participants are presented in a static, classifying or symbolic quality (Kress &amp; van Leeuwen, 2006, p. 45). On the exhibition</w:t>
      </w:r>
      <w:r>
        <w:t xml:space="preserve"> </w:t>
      </w:r>
      <w:r>
        <w:t xml:space="preserve">“</w:t>
      </w:r>
      <w:r>
        <w:t xml:space="preserve">No to Genocide!</w:t>
      </w:r>
      <w:r>
        <w:t xml:space="preserve">”</w:t>
      </w:r>
      <w:r>
        <w:t xml:space="preserve"> </w:t>
      </w:r>
      <w:r>
        <w:t xml:space="preserve">both types are present: archival photographs of refugees in movement are narrative representations, while official portraits of historical figures are conceptual representations. The choice between them is a curatorial decision that determines how the participants of the exhibition relate to one another and what role they play in the narrative.</w:t>
      </w:r>
    </w:p>
    <w:p>
      <w:pPr>
        <w:pStyle w:val="BodyText"/>
      </w:pPr>
      <w:r>
        <w:t xml:space="preserve">The interactive level answers the question of what relations are constructed between the image and the viewer. There are three key categories: contact, distance, and modality. Contact is determined by the direction of the gaze. When the depicted person looks directly at the viewer, this is a</w:t>
      </w:r>
      <w:r>
        <w:t xml:space="preserve"> </w:t>
      </w:r>
      <w:r>
        <w:t xml:space="preserve">“</w:t>
      </w:r>
      <w:r>
        <w:t xml:space="preserve">demand</w:t>
      </w:r>
      <w:r>
        <w:t xml:space="preserve">”</w:t>
      </w:r>
      <w:r>
        <w:t xml:space="preserve">:</w:t>
      </w:r>
      <w:r>
        <w:t xml:space="preserve"> </w:t>
      </w:r>
      <w:r>
        <w:t xml:space="preserve">“</w:t>
      </w:r>
      <w:r>
        <w:t xml:space="preserve">the participant’s gaze (and the gesture, if present) demands something from the viewer, demands that the viewer enter into some kind of imaginary relation with him or her</w:t>
      </w:r>
      <w:r>
        <w:t xml:space="preserve">”</w:t>
      </w:r>
      <w:r>
        <w:t xml:space="preserve"> </w:t>
      </w:r>
      <w:r>
        <w:t xml:space="preserve">(Kress &amp; van Leeuwen, 2006, p. 118). When the gaze is directed to the side, this is an</w:t>
      </w:r>
      <w:r>
        <w:t xml:space="preserve"> </w:t>
      </w:r>
      <w:r>
        <w:t xml:space="preserve">“</w:t>
      </w:r>
      <w:r>
        <w:t xml:space="preserve">offer</w:t>
      </w:r>
      <w:r>
        <w:t xml:space="preserve">”</w:t>
      </w:r>
      <w:r>
        <w:t xml:space="preserve">:</w:t>
      </w:r>
      <w:r>
        <w:t xml:space="preserve"> </w:t>
      </w:r>
      <w:r>
        <w:t xml:space="preserve">“</w:t>
      </w:r>
      <w:r>
        <w:t xml:space="preserve">it</w:t>
      </w:r>
      <w:r>
        <w:t xml:space="preserve"> </w:t>
      </w:r>
      <w:r>
        <w:t xml:space="preserve">‘</w:t>
      </w:r>
      <w:r>
        <w:t xml:space="preserve">offers</w:t>
      </w:r>
      <w:r>
        <w:t xml:space="preserve">’</w:t>
      </w:r>
      <w:r>
        <w:t xml:space="preserve"> </w:t>
      </w:r>
      <w:r>
        <w:t xml:space="preserve">the represented participants to the viewer as items of information, objects of contemplation, impersonally, as though they were specimens in a display case</w:t>
      </w:r>
      <w:r>
        <w:t xml:space="preserve">”</w:t>
      </w:r>
      <w:r>
        <w:t xml:space="preserve"> </w:t>
      </w:r>
      <w:r>
        <w:t xml:space="preserve">(Kress &amp; van Leeuwen, 2006, p. 119). In the exposition this distinction is analytically significant: most victims are depicted in long shot without direct gaze, whereas statesmen look directly at the viewer. These are systematically organised compositional decisions. Distance — close-up, medium or long shot — determines the degree of proximity and identification. Modality describes the degree of realism: archival documentary photography has high modality, stylised graphics low modality. The shift of modality between archival photographs and the symbolic graphics of the transitional screens is a semiotic choice.</w:t>
      </w:r>
    </w:p>
    <w:p>
      <w:pPr>
        <w:pStyle w:val="BodyText"/>
      </w:pPr>
      <w:r>
        <w:t xml:space="preserve">The compositional level answers the question of how the space of the image is organised and what this organises in the perception of the viewer. There are three categories: informational value, salience, and framing. Informational value is determined by the position of the element. On the horizontal axis:</w:t>
      </w:r>
      <w:r>
        <w:t xml:space="preserve"> </w:t>
      </w:r>
      <w:r>
        <w:t xml:space="preserve">“</w:t>
      </w:r>
      <w:r>
        <w:t xml:space="preserve">the elements placed on the left are presented as Given, the elements placed on the right as New. For something to be Given means that it is presented as something the viewer already knows, as a familiar and agreed-upon point of departure for the message. For something to be New means that it is presented as something which is not yet known, or perhaps not yet agreed upon by the viewer, hence as something to which the viewer must pay special attention</w:t>
      </w:r>
      <w:r>
        <w:t xml:space="preserve">”</w:t>
      </w:r>
      <w:r>
        <w:t xml:space="preserve"> </w:t>
      </w:r>
      <w:r>
        <w:t xml:space="preserve">(Kress &amp; van Leeuwen, 2006, p. 181). On the vertical axis — top as the</w:t>
      </w:r>
      <w:r>
        <w:t xml:space="preserve"> </w:t>
      </w:r>
      <w:r>
        <w:t xml:space="preserve">“</w:t>
      </w:r>
      <w:r>
        <w:t xml:space="preserve">ideal</w:t>
      </w:r>
      <w:r>
        <w:t xml:space="preserve">”</w:t>
      </w:r>
      <w:r>
        <w:t xml:space="preserve">, bottom as the</w:t>
      </w:r>
      <w:r>
        <w:t xml:space="preserve"> </w:t>
      </w:r>
      <w:r>
        <w:t xml:space="preserve">“</w:t>
      </w:r>
      <w:r>
        <w:t xml:space="preserve">real</w:t>
      </w:r>
      <w:r>
        <w:t xml:space="preserve">”</w:t>
      </w:r>
      <w:r>
        <w:t xml:space="preserve">:</w:t>
      </w:r>
      <w:r>
        <w:t xml:space="preserve"> </w:t>
      </w:r>
      <w:r>
        <w:t xml:space="preserve">“</w:t>
      </w:r>
      <w:r>
        <w:t xml:space="preserve">what has been placed on the top is presented as the Ideal… The Real is then opposed to this in that it presents more specific information (e.g. details), more</w:t>
      </w:r>
      <w:r>
        <w:t xml:space="preserve"> </w:t>
      </w:r>
      <w:r>
        <w:t xml:space="preserve">‘</w:t>
      </w:r>
      <w:r>
        <w:t xml:space="preserve">down-to-earth</w:t>
      </w:r>
      <w:r>
        <w:t xml:space="preserve">’</w:t>
      </w:r>
      <w:r>
        <w:t xml:space="preserve"> </w:t>
      </w:r>
      <w:r>
        <w:t xml:space="preserve">information (e.g. photographs as documentary evidence)</w:t>
      </w:r>
      <w:r>
        <w:t xml:space="preserve">”</w:t>
      </w:r>
      <w:r>
        <w:t xml:space="preserve"> </w:t>
      </w:r>
      <w:r>
        <w:t xml:space="preserve">(Kress &amp; van Leeuwen, 2006, p. 187). On the screens of the exhibition, typographic dates are placed at the top, photographic testimony below: the chronological frame as ideal, the documentation as real. Salience describes what dominates visually through size, colour and contrast. Red typographic elements on the screens of the exhibition dominate visually and set the affective tone. Framing describes how elements are separated from one another or joined together.</w:t>
      </w:r>
    </w:p>
    <w:p>
      <w:pPr>
        <w:pStyle w:val="BodyText"/>
      </w:pPr>
      <w:r>
        <w:t xml:space="preserve">To analyse the interaction between different semiotic systems within one communicative event, the conceptual apparatus of</w:t>
      </w:r>
      <w:r>
        <w:t xml:space="preserve"> </w:t>
      </w:r>
      <w:r>
        <w:rPr>
          <w:iCs/>
          <w:i/>
        </w:rPr>
        <w:t xml:space="preserve">Multimodal Discourse</w:t>
      </w:r>
      <w:r>
        <w:t xml:space="preserve"> </w:t>
      </w:r>
      <w:r>
        <w:t xml:space="preserve">is used (Kress &amp; van Leeuwen, 2001). The authors distinguish four strata of multimodal text production: discourse (what is depicted and what versions of reality are produced), design (how semiotic resources are organised to realise the discourse), production (material embodiment), and distribution. For the present research the first two are most relevant: discourse — what version of history and memory is constructed at the exhibition; design — how concrete semiotic decisions organise this version.</w:t>
      </w:r>
    </w:p>
    <w:p>
      <w:pPr>
        <w:pStyle w:val="BodyText"/>
      </w:pPr>
      <w:r>
        <w:t xml:space="preserve">The concept of intermodal coherence makes it possible to analyse how different modes on a single screen — text, image, colour, typography — either reinforce one another or create tension. On most screens of the exhibition the modes work coherently: text explains what the image shows. But on several screens a tension arises between them — there, where the heading promises a narrative of</w:t>
      </w:r>
      <w:r>
        <w:t xml:space="preserve"> </w:t>
      </w:r>
      <w:r>
        <w:t xml:space="preserve">“</w:t>
      </w:r>
      <w:r>
        <w:t xml:space="preserve">aid</w:t>
      </w:r>
      <w:r>
        <w:t xml:space="preserve">”</w:t>
      </w:r>
      <w:r>
        <w:t xml:space="preserve">, while the visual sequence shows predominantly death and suffering. Such points of incoherence are analytically valuable: they reveal curatorial choices that are not obvious.</w:t>
      </w:r>
    </w:p>
    <w:p>
      <w:pPr>
        <w:pStyle w:val="BodyText"/>
      </w:pPr>
      <w:r>
        <w:t xml:space="preserve">Structured observation at the exhibition was organised in accordance with the three levels of MDA. The observation protocol contains four analytical blocks for each element: representational (type of content, participants, narrative processes, linguistic register), interactive (contact, distance, modality), compositional (informational value, salience, framing), and a block of multimodal synthesis (coherence of modes, dominant mode, interactivity). Such a structure ensures systematicity: each element of the exhibition is considered through unified categories, which makes comparison between elements substantiated rather than intuitive.</w:t>
      </w:r>
    </w:p>
    <w:p>
      <w:pPr>
        <w:pStyle w:val="BodyText"/>
      </w:pPr>
      <w:r>
        <w:t xml:space="preserve">The question of curatorial decisions is the question of how meaning is produced: through which semiotic choices, in which organisation, with which effect. It cannot be answered by simply describing the content of the screens. MDA provides a systematic toolkit for the analysis of precisely the mechanisms of meaning-making — and it is this that makes it methodologically precise for the present study.</w:t>
      </w:r>
    </w:p>
    <w:bookmarkEnd w:id="22"/>
    <w:bookmarkStart w:id="23" w:name="X11621e5ea859550d44fe4552bf16dbb7d2b4722"/>
    <w:p>
      <w:pPr>
        <w:pStyle w:val="Heading2"/>
      </w:pPr>
      <w:r>
        <w:t xml:space="preserve">2.4 Data Collection Method: Semi-Structured Interview</w:t>
      </w:r>
    </w:p>
    <w:p>
      <w:pPr>
        <w:pStyle w:val="FirstParagraph"/>
      </w:pPr>
      <w:r>
        <w:t xml:space="preserve">The empirical base of the research is built on two sources of data. The first is structured observation at the exhibition, organised in accordance with the MDA protocol described in section 2.3. The second is a semi-structured interview with the curator of the exhibition. Both methods were applied sequentially: first observation, then interview. This sequence is fundamental. Observation records what is on the exhibition. The interview explains why it is precisely so. Curatorial decisions are visible in space, but the logic that stands behind them remains hidden. This is precisely why the interview is the second necessary layer of data.</w:t>
      </w:r>
    </w:p>
    <w:p>
      <w:pPr>
        <w:pStyle w:val="BodyText"/>
      </w:pPr>
      <w:r>
        <w:t xml:space="preserve">To collect data on curatorial decisions, the method of the semi-structured in-depth interview was chosen. The method presupposes a pre-prepared guide of questions, but the interview itself remains flexible: the interviewer can depart from the order of the conversation, ask follow-up questions, and build a dialogue around the answers. This is important for understanding curatorial decisions.</w:t>
      </w:r>
    </w:p>
    <w:p>
      <w:pPr>
        <w:pStyle w:val="BodyText"/>
      </w:pPr>
      <w:r>
        <w:t xml:space="preserve">The semi-structured interview makes it possible to understand how curators reflect on the decisions they have taken, what they single out as important, and what they take as self-evident. It is a conversation with a purpose:</w:t>
      </w:r>
      <w:r>
        <w:t xml:space="preserve"> </w:t>
      </w:r>
      <w:r>
        <w:t xml:space="preserve">“</w:t>
      </w:r>
      <w:r>
        <w:t xml:space="preserve">a semi-structured life world interview attempts to understand themes of the lived everyday world from the subjects’ own perspectives</w:t>
      </w:r>
      <w:r>
        <w:t xml:space="preserve">”</w:t>
      </w:r>
      <w:r>
        <w:t xml:space="preserve"> </w:t>
      </w:r>
      <w:r>
        <w:t xml:space="preserve">(Kvale &amp; Brinkmann, 2009, p. 27). Other methods, for example a structured survey, would not have been appropriate in this study, since it is difficult to anticipate in advance how the interview will unfold. The method is appropriate in a case study, since the research deals with a single exposition and requires understanding it from within. Mere observation of how the exhibition looks would leave many things unclear. The interview, in turn, makes it possible to understand what cannot be seen: the intentions of the curator, the external and internal constraints, and the compromises made.</w:t>
      </w:r>
    </w:p>
    <w:p>
      <w:pPr>
        <w:pStyle w:val="BodyText"/>
      </w:pPr>
      <w:r>
        <w:t xml:space="preserve">The interview guide was developed after the creation and completion of the observation protocol within the framework of the multimodal discourse analysis. Thanks to the observation it became clear which curatorial decisions had been taken, but their essence was not clear. The linear route, the synchronous transitions between screens, the choice of specific authorities for the banners, the only active element in the form of the sensor table at the entrance — all of this was recorded in the protocol, but not explained by it. The guide was built precisely around these gaps. The algorithm consisted of seven thematic blocks and 17 questions. The blocks covered the context and concept of the exposition, the choice of the venue, the selection of material, the interaction with the Armenian Genocide Museum-Institute in Yerevan and with the historical multimedia park</w:t>
      </w:r>
      <w:r>
        <w:t xml:space="preserve"> </w:t>
      </w:r>
      <w:r>
        <w:t xml:space="preserve">“</w:t>
      </w:r>
      <w:r>
        <w:t xml:space="preserve">Russia — My History</w:t>
      </w:r>
      <w:r>
        <w:t xml:space="preserve">”</w:t>
      </w:r>
      <w:r>
        <w:t xml:space="preserve">, the narrative and the choice of the persons depicted, and technological decisions. Some of the questions had a direct orientation (</w:t>
      </w:r>
      <w:r>
        <w:t xml:space="preserve">“</w:t>
      </w:r>
      <w:r>
        <w:t xml:space="preserve">who selected the materials for the exposition and on what principle?</w:t>
      </w:r>
      <w:r>
        <w:t xml:space="preserve">”</w:t>
      </w:r>
      <w:r>
        <w:t xml:space="preserve">), others were open (</w:t>
      </w:r>
      <w:r>
        <w:t xml:space="preserve">“</w:t>
      </w:r>
      <w:r>
        <w:t xml:space="preserve">what, in your view, turned out the way it was intended, and what did not?</w:t>
      </w:r>
      <w:r>
        <w:t xml:space="preserve">”</w:t>
      </w:r>
      <w:r>
        <w:t xml:space="preserve">), and some were specifically targeted at filling the observation gaps.</w:t>
      </w:r>
    </w:p>
    <w:p>
      <w:pPr>
        <w:pStyle w:val="BodyText"/>
      </w:pPr>
      <w:r>
        <w:t xml:space="preserve">The semi-structured interview was conducted with the curator of the exhibition — the principal organiser of the exposition from the side of the Don Union of Armenian Youth. The interviewee curated the creation of the exhibition from the very beginning: from the formation of the concept to the technical implementation. He knows the entire history of the project from within and took all key decisions together with the team. The interview was conducted in person over the course of an hour and was recorded with the curator’s consent. The guide was used rather as an orientation, in order to give the curator more room to open up. The order of the questions changed depending on the course of the conversation. In some questions the interviewee went beyond the questions themselves, and it was precisely there that valuable data could be obtained. After the recording, a full transcription of the interview was made. This made it possible to work with the data as text: to find key fragments, compare them with the observations from the protocol, and relate them to the theoretical concepts of the first chapter. The interview data are used in Chapter 3 as a third layer of analysis, alongside observation and theory.</w:t>
      </w:r>
    </w:p>
    <w:p>
      <w:pPr>
        <w:pStyle w:val="BodyText"/>
      </w:pPr>
      <w:r>
        <w:t xml:space="preserve">Nevertheless, there are limitations in the study, since the interview was conducted only once, with one curator, because access to the other organisers and curators is not available. This limitation is characteristic of a single-case study with limited access to the participants of the organisation.</w:t>
      </w:r>
    </w:p>
    <w:bookmarkEnd w:id="23"/>
    <w:bookmarkEnd w:id="24"/>
    <w:bookmarkStart w:id="31" w:name="X2c719da1df70f0ec28355973534cdf2dad8be4e"/>
    <w:p>
      <w:pPr>
        <w:pStyle w:val="Heading1"/>
      </w:pPr>
      <w:r>
        <w:t xml:space="preserve">CHAPTER 3. CURATORIAL DECISIONS AND THE PRODUCTION OF POLITICAL MEMORY</w:t>
      </w:r>
    </w:p>
    <w:bookmarkStart w:id="25" w:name="X58dfd2a386d720afae779e8246f8270ffea0840"/>
    <w:p>
      <w:pPr>
        <w:pStyle w:val="Heading2"/>
      </w:pPr>
      <w:r>
        <w:t xml:space="preserve">3.1 Chronology as a Narrative Frame: A Version of the Past Built by the Route</w:t>
      </w:r>
    </w:p>
    <w:p>
      <w:pPr>
        <w:pStyle w:val="FirstParagraph"/>
      </w:pPr>
      <w:r>
        <w:t xml:space="preserve">The first thing that becomes evident when one juxtaposes the observation data and the interview is that the exhibition does not present the genocide as a self-contained event. It is embedded in a longer chronological arc that unfolds from the Russo-Turkish War of 1877–1878 and the Armenian question at the Congress of Berlin, through the massacres of 1894–1896, the reforms and the First World War, the events of 1915, the deportations and the destruction of cultural heritage — and culminates in the recognition of the genocide by the Russian state and the Russian Orthodox Church in the 1990s–2010s. The eleven thematic screens are arranged in strict temporal sequence, and this sequence is not marked as one of several possible ways of telling the story: it is presented on a separate LED screen,</w:t>
      </w:r>
      <w:r>
        <w:t xml:space="preserve"> </w:t>
      </w:r>
      <w:r>
        <w:t xml:space="preserve">“</w:t>
      </w:r>
      <w:r>
        <w:t xml:space="preserve">Contents</w:t>
      </w:r>
      <w:r>
        <w:t xml:space="preserve">”</w:t>
      </w:r>
      <w:r>
        <w:t xml:space="preserve">, even before the visitor enters the main space — that is, as a natural and singular structure.</w:t>
      </w:r>
    </w:p>
    <w:p>
      <w:pPr>
        <w:pStyle w:val="BodyText"/>
      </w:pPr>
      <w:r>
        <w:t xml:space="preserve">This is the first and most fundamental curatorial decision: the genocide is placed in the regime of chronological narrative, rather than, for example, a thematic, biographical, or discussion-based one. Chronology here performs the work that Aleida Assmann describes when speaking of political memory: different versions of the past</w:t>
      </w:r>
      <w:r>
        <w:t xml:space="preserve"> </w:t>
      </w:r>
      <w:r>
        <w:t xml:space="preserve">“</w:t>
      </w:r>
      <w:r>
        <w:t xml:space="preserve">are reduced to one and fixed in material carriers… transmitted to subsequent generations</w:t>
      </w:r>
      <w:r>
        <w:t xml:space="preserve">”</w:t>
      </w:r>
      <w:r>
        <w:t xml:space="preserve"> </w:t>
      </w:r>
      <w:r>
        <w:t xml:space="preserve">(A. Assmann, 2010, p. 43). The chronological axis does exactly this: it transforms a potentially contested historiographic event into a linear sequence with a source, a climax, and a finale. The finale — and this is crucial — turns out to be not the genocide itself, but its international recognition. That is, structurally the narrative ends not with the catastrophe, but with its legal and moral</w:t>
      </w:r>
      <w:r>
        <w:t xml:space="preserve"> </w:t>
      </w:r>
      <w:r>
        <w:t xml:space="preserve">“</w:t>
      </w:r>
      <w:r>
        <w:t xml:space="preserve">closure</w:t>
      </w:r>
      <w:r>
        <w:t xml:space="preserve">”</w:t>
      </w:r>
      <w:r>
        <w:t xml:space="preserve"> </w:t>
      </w:r>
      <w:r>
        <w:t xml:space="preserve">through recognition by legitimate state and ecclesiastical institutions.</w:t>
      </w:r>
    </w:p>
    <w:p>
      <w:pPr>
        <w:pStyle w:val="BodyText"/>
      </w:pPr>
      <w:r>
        <w:t xml:space="preserve">This shift becomes visible in the interview almost by accident: speaking about the choice of the photograph of Vladimir Putin at the Tsitsernakaberd memorial, the curator explains that</w:t>
      </w:r>
      <w:r>
        <w:t xml:space="preserve"> </w:t>
      </w:r>
      <w:r>
        <w:t xml:space="preserve">“</w:t>
      </w:r>
      <w:r>
        <w:t xml:space="preserve">this is an exposition not only about the genocide of the Armenians, but also about interaction, cooperation, the help of Russia and the Russian people, as well as about Russian–Armenian relations</w:t>
      </w:r>
      <w:r>
        <w:t xml:space="preserve">”</w:t>
      </w:r>
      <w:r>
        <w:t xml:space="preserve">. The final section about recognition is not an additional plot but a structural load of the entire route. When asked whether the</w:t>
      </w:r>
      <w:r>
        <w:t xml:space="preserve"> </w:t>
      </w:r>
      <w:r>
        <w:t xml:space="preserve">“</w:t>
      </w:r>
      <w:r>
        <w:t xml:space="preserve">Russian</w:t>
      </w:r>
      <w:r>
        <w:t xml:space="preserve">”</w:t>
      </w:r>
      <w:r>
        <w:t xml:space="preserve"> </w:t>
      </w:r>
      <w:r>
        <w:t xml:space="preserve">plot — Russian soldier-witnesses, Russian writers, contemporary recognition — was an initial concept or emerged in the course of work, the curator answers unequivocally:</w:t>
      </w:r>
      <w:r>
        <w:t xml:space="preserve"> </w:t>
      </w:r>
      <w:r>
        <w:t xml:space="preserve">“</w:t>
      </w:r>
      <w:r>
        <w:t xml:space="preserve">this was the original concept on which the entire exhibition was built</w:t>
      </w:r>
      <w:r>
        <w:t xml:space="preserve">”</w:t>
      </w:r>
      <w:r>
        <w:t xml:space="preserve">. Chronology here is not a neutral</w:t>
      </w:r>
      <w:r>
        <w:t xml:space="preserve"> </w:t>
      </w:r>
      <w:r>
        <w:t xml:space="preserve">“</w:t>
      </w:r>
      <w:r>
        <w:t xml:space="preserve">principle of selection</w:t>
      </w:r>
      <w:r>
        <w:t xml:space="preserve">”</w:t>
      </w:r>
      <w:r>
        <w:t xml:space="preserve">, but a way of implanting the memory of the genocide into the context of the Russian national narrative.</w:t>
      </w:r>
    </w:p>
    <w:p>
      <w:pPr>
        <w:pStyle w:val="BodyText"/>
      </w:pPr>
      <w:r>
        <w:t xml:space="preserve">In Erll’s terms, this is conveniently described as a choice of a particular</w:t>
      </w:r>
      <w:r>
        <w:t xml:space="preserve"> </w:t>
      </w:r>
      <w:r>
        <w:t xml:space="preserve">“</w:t>
      </w:r>
      <w:r>
        <w:t xml:space="preserve">mode of remembering</w:t>
      </w:r>
      <w:r>
        <w:t xml:space="preserve">”</w:t>
      </w:r>
      <w:r>
        <w:t xml:space="preserve"> </w:t>
      </w:r>
      <w:r>
        <w:t xml:space="preserve">(Erll, 2008, pp. 14–15): the same fact can be told as trauma, as heroic resistance, as a crime against humanity, as religious martyrdom. The exhibition</w:t>
      </w:r>
      <w:r>
        <w:t xml:space="preserve"> </w:t>
      </w:r>
      <w:r>
        <w:t xml:space="preserve">“</w:t>
      </w:r>
      <w:r>
        <w:t xml:space="preserve">No to Genocide!</w:t>
      </w:r>
      <w:r>
        <w:t xml:space="preserve">”</w:t>
      </w:r>
      <w:r>
        <w:t xml:space="preserve"> </w:t>
      </w:r>
      <w:r>
        <w:t xml:space="preserve">combines several such modes, but joins them into a single axial construction —</w:t>
      </w:r>
      <w:r>
        <w:t xml:space="preserve"> </w:t>
      </w:r>
      <w:r>
        <w:t xml:space="preserve">“</w:t>
      </w:r>
      <w:r>
        <w:t xml:space="preserve">the solidarity of Russia and the Armenian people in the face of a historical tragedy</w:t>
      </w:r>
      <w:r>
        <w:t xml:space="preserve">”</w:t>
      </w:r>
      <w:r>
        <w:t xml:space="preserve">. This is visible already at the structural level: between the thematic blocks dedicated to the massacres proper (1894–1896, 1915), the screens</w:t>
      </w:r>
      <w:r>
        <w:t xml:space="preserve"> </w:t>
      </w:r>
      <w:r>
        <w:t xml:space="preserve">“</w:t>
      </w:r>
      <w:r>
        <w:t xml:space="preserve">Fraternal Aid to the Suffering</w:t>
      </w:r>
      <w:r>
        <w:t xml:space="preserve">”</w:t>
      </w:r>
      <w:r>
        <w:t xml:space="preserve">,</w:t>
      </w:r>
      <w:r>
        <w:t xml:space="preserve"> </w:t>
      </w:r>
      <w:r>
        <w:t xml:space="preserve">“</w:t>
      </w:r>
      <w:r>
        <w:t xml:space="preserve">The Russian Soldier — Eyewitness of the Genocide</w:t>
      </w:r>
      <w:r>
        <w:t xml:space="preserve">”</w:t>
      </w:r>
      <w:r>
        <w:t xml:space="preserve">,</w:t>
      </w:r>
      <w:r>
        <w:t xml:space="preserve"> </w:t>
      </w:r>
      <w:r>
        <w:t xml:space="preserve">“</w:t>
      </w:r>
      <w:r>
        <w:t xml:space="preserve">Refugees of the Genocide: Help of the Russian Authorities and Humanitarian Organisations</w:t>
      </w:r>
      <w:r>
        <w:t xml:space="preserve">”</w:t>
      </w:r>
      <w:r>
        <w:t xml:space="preserve">,</w:t>
      </w:r>
      <w:r>
        <w:t xml:space="preserve"> </w:t>
      </w:r>
      <w:r>
        <w:t xml:space="preserve">“</w:t>
      </w:r>
      <w:r>
        <w:t xml:space="preserve">The Armenian Genocide and Russian Literature</w:t>
      </w:r>
      <w:r>
        <w:t xml:space="preserve">”</w:t>
      </w:r>
      <w:r>
        <w:t xml:space="preserve">, and</w:t>
      </w:r>
      <w:r>
        <w:t xml:space="preserve"> </w:t>
      </w:r>
      <w:r>
        <w:t xml:space="preserve">“</w:t>
      </w:r>
      <w:r>
        <w:t xml:space="preserve">The Nakhichevan Armenian Refugee Aid Committee</w:t>
      </w:r>
      <w:r>
        <w:t xml:space="preserve">”</w:t>
      </w:r>
      <w:r>
        <w:t xml:space="preserve"> </w:t>
      </w:r>
      <w:r>
        <w:t xml:space="preserve">are placed. Seven of the eleven thematic blocks work, either centrally or peripherally, on precisely this plot.</w:t>
      </w:r>
    </w:p>
    <w:p>
      <w:pPr>
        <w:pStyle w:val="BodyText"/>
      </w:pPr>
      <w:r>
        <w:t xml:space="preserve">From the standpoint of memory studies, this composition has a precise theoretical name. The logic described by Tony Judt is applicable here: official memory was</w:t>
      </w:r>
      <w:r>
        <w:t xml:space="preserve"> </w:t>
      </w:r>
      <w:r>
        <w:t xml:space="preserve">“</w:t>
      </w:r>
      <w:r>
        <w:t xml:space="preserve">consistently built on a separation: that which was done</w:t>
      </w:r>
      <w:r>
        <w:t xml:space="preserve"> </w:t>
      </w:r>
      <w:r>
        <w:t xml:space="preserve">‘</w:t>
      </w:r>
      <w:r>
        <w:t xml:space="preserve">to us</w:t>
      </w:r>
      <w:r>
        <w:t xml:space="preserve">’</w:t>
      </w:r>
      <w:r>
        <w:t xml:space="preserve"> </w:t>
      </w:r>
      <w:r>
        <w:t xml:space="preserve">was openly recognised; that which</w:t>
      </w:r>
      <w:r>
        <w:t xml:space="preserve"> </w:t>
      </w:r>
      <w:r>
        <w:t xml:space="preserve">‘</w:t>
      </w:r>
      <w:r>
        <w:t xml:space="preserve">we did ourselves</w:t>
      </w:r>
      <w:r>
        <w:t xml:space="preserve">’</w:t>
      </w:r>
      <w:r>
        <w:t xml:space="preserve"> </w:t>
      </w:r>
      <w:r>
        <w:t xml:space="preserve">was systematically displaced</w:t>
      </w:r>
      <w:r>
        <w:t xml:space="preserve">”</w:t>
      </w:r>
      <w:r>
        <w:t xml:space="preserve"> </w:t>
      </w:r>
      <w:r>
        <w:t xml:space="preserve">(Judt, 1992, p. 89). The exhibition does not need to</w:t>
      </w:r>
      <w:r>
        <w:t xml:space="preserve"> </w:t>
      </w:r>
      <w:r>
        <w:t xml:space="preserve">“</w:t>
      </w:r>
      <w:r>
        <w:t xml:space="preserve">displace</w:t>
      </w:r>
      <w:r>
        <w:t xml:space="preserve">”</w:t>
      </w:r>
      <w:r>
        <w:t xml:space="preserve"> </w:t>
      </w:r>
      <w:r>
        <w:t xml:space="preserve">anything — the subject concerns another nation and another state. But compositionally it operates on a similar principle: the victim (the Armenian people) and the perpetrator (the Ottoman Empire, the Young Turk government) are entirely separated, and between them a third figure is placed — Russia — in the role of witness, defender, and ultimately of recognising subject. In Silverstone’s terms, this is an example of how the mediapolis distributes</w:t>
      </w:r>
      <w:r>
        <w:t xml:space="preserve"> </w:t>
      </w:r>
      <w:r>
        <w:t xml:space="preserve">“</w:t>
      </w:r>
      <w:r>
        <w:t xml:space="preserve">hospitality</w:t>
      </w:r>
      <w:r>
        <w:t xml:space="preserve">”</w:t>
      </w:r>
      <w:r>
        <w:t xml:space="preserve">: the voice of the Armenian catastrophe gains the right to be heard, but through mediation and within the framework of a narrative in which the platform already has its own role (Silverstone, 2007, p. 136).</w:t>
      </w:r>
    </w:p>
    <w:p>
      <w:pPr>
        <w:pStyle w:val="BodyText"/>
      </w:pPr>
      <w:r>
        <w:t xml:space="preserve">Here, too, what A. Assmann describes as the border between functional memory and storage memory is at work:</w:t>
      </w:r>
      <w:r>
        <w:t xml:space="preserve"> </w:t>
      </w:r>
      <w:r>
        <w:t xml:space="preserve">“</w:t>
      </w:r>
      <w:r>
        <w:t xml:space="preserve">without the mobility of the borders between functional and storage memory, cultural memory would have congealed into something fixed and absolute</w:t>
      </w:r>
      <w:r>
        <w:t xml:space="preserve">”</w:t>
      </w:r>
      <w:r>
        <w:t xml:space="preserve"> </w:t>
      </w:r>
      <w:r>
        <w:t xml:space="preserve">(A. Assmann, 2011, p. 130). The curators visibly shift this border. From the archive of the Armenian Genocide Museum-Institute in Yerevan they extract not only the canonical pictorial corpus (the photographs of Armin Wegner and Viktor Pichmann, the deportation documents, the images of concentration settlements) but also materials that resonate far more weakly in the international expositional tradition: the correspondence of Russian soldiers from the Caucasian front, eyewitness memoirs, the cover of the volume</w:t>
      </w:r>
      <w:r>
        <w:t xml:space="preserve"> </w:t>
      </w:r>
      <w:r>
        <w:rPr>
          <w:iCs/>
          <w:i/>
        </w:rPr>
        <w:t xml:space="preserve">Fraternal Aid</w:t>
      </w:r>
      <w:r>
        <w:t xml:space="preserve">, Tolstoy’s letter, the poems of Kulebyakin and Bryusov, and the documents of the Tatianinsky committee. These materials have long lain in the archives, but their transposition onto an LED screen in a museum complex with a five-million federal network of attendance is an act of translation from storage memory into functional: they become</w:t>
      </w:r>
      <w:r>
        <w:t xml:space="preserve"> </w:t>
      </w:r>
      <w:r>
        <w:t xml:space="preserve">“</w:t>
      </w:r>
      <w:r>
        <w:t xml:space="preserve">working</w:t>
      </w:r>
      <w:r>
        <w:t xml:space="preserve">”</w:t>
      </w:r>
      <w:r>
        <w:t xml:space="preserve"> </w:t>
      </w:r>
      <w:r>
        <w:t xml:space="preserve">elements of political memory once again, precisely in the version that it is advantageous to stabilise in the current geopolitical context.</w:t>
      </w:r>
    </w:p>
    <w:p>
      <w:pPr>
        <w:pStyle w:val="BodyText"/>
      </w:pPr>
      <w:r>
        <w:t xml:space="preserve">The chronological axis also operates at another level, visible only when observation is compared with theory. Williams writes of the memorial museum as a genre that holds</w:t>
      </w:r>
      <w:r>
        <w:t xml:space="preserve"> </w:t>
      </w:r>
      <w:r>
        <w:t xml:space="preserve">“</w:t>
      </w:r>
      <w:r>
        <w:t xml:space="preserve">an uneasy coexistence of reverent commemoration and critical interpretation</w:t>
      </w:r>
      <w:r>
        <w:t xml:space="preserve">”</w:t>
      </w:r>
      <w:r>
        <w:t xml:space="preserve"> </w:t>
      </w:r>
      <w:r>
        <w:t xml:space="preserve">(Williams, 2007, p. 8). Chronology is a way of dissolving this contradiction. If the event is unfolded as a process with an origin and a finale, the visitor has no need to occupy a complex position between mourning and interpretation: they are offered to follow an already marked path, at the end of which the moral becomes a political result —</w:t>
      </w:r>
      <w:r>
        <w:t xml:space="preserve"> </w:t>
      </w:r>
      <w:r>
        <w:t xml:space="preserve">“</w:t>
      </w:r>
      <w:r>
        <w:t xml:space="preserve">Russia and the world recognise and condemn</w:t>
      </w:r>
      <w:r>
        <w:t xml:space="preserve">”</w:t>
      </w:r>
      <w:r>
        <w:t xml:space="preserve">. In other words, chronology makes critical interpretation unnecessary: the visitor does not have to decide how to relate to what is shown, because the attitude is already built into the sequence of the screens itself.</w:t>
      </w:r>
    </w:p>
    <w:p>
      <w:pPr>
        <w:pStyle w:val="BodyText"/>
      </w:pPr>
      <w:r>
        <w:t xml:space="preserve">In sum, at the level of narrative the curatorial work consists of three linked decisions: (1) to set chronology as the structure, (2) to make the act of recognition the destination point, and (3) to distribute the</w:t>
      </w:r>
      <w:r>
        <w:t xml:space="preserve"> </w:t>
      </w:r>
      <w:r>
        <w:t xml:space="preserve">“</w:t>
      </w:r>
      <w:r>
        <w:t xml:space="preserve">Russian</w:t>
      </w:r>
      <w:r>
        <w:t xml:space="preserve">”</w:t>
      </w:r>
      <w:r>
        <w:t xml:space="preserve"> </w:t>
      </w:r>
      <w:r>
        <w:t xml:space="preserve">material along the entire axis in such a way that it is not a separate plot but forms the context for the central blocks on the massacres and deportations. These three decisions together construct the political memory of the genocide in its concrete version — the version of Russian–Armenian solidarity, legitimated through state recognition. All the subsequent sections examine how this narrative construction is supported by media, spatial, and affective means.</w:t>
      </w:r>
    </w:p>
    <w:bookmarkEnd w:id="25"/>
    <w:bookmarkStart w:id="26" w:name="Xb2af7d682b7a4d357c9083d8c67f1494ecb168d"/>
    <w:p>
      <w:pPr>
        <w:pStyle w:val="Heading2"/>
      </w:pPr>
      <w:r>
        <w:t xml:space="preserve">3.2 The Logic of Multimedia Formats: Affordances, Duplication, and the Limits of Interactivity</w:t>
      </w:r>
    </w:p>
    <w:p>
      <w:pPr>
        <w:pStyle w:val="FirstParagraph"/>
      </w:pPr>
      <w:r>
        <w:t xml:space="preserve">If the first section showed what is presented, this one focuses on how it is presented. Here Hjarvard’s concept of media logic is productively engaged: each medium possesses its own set of rules, formats, and affordances which</w:t>
      </w:r>
      <w:r>
        <w:t xml:space="preserve"> </w:t>
      </w:r>
      <w:r>
        <w:t xml:space="preserve">“</w:t>
      </w:r>
      <w:r>
        <w:t xml:space="preserve">other social institutions have to accommodate to</w:t>
      </w:r>
      <w:r>
        <w:t xml:space="preserve">”</w:t>
      </w:r>
      <w:r>
        <w:t xml:space="preserve"> </w:t>
      </w:r>
      <w:r>
        <w:t xml:space="preserve">(Hjarvard, 2008, p. 105). The exhibition</w:t>
      </w:r>
      <w:r>
        <w:t xml:space="preserve"> </w:t>
      </w:r>
      <w:r>
        <w:t xml:space="preserve">“</w:t>
      </w:r>
      <w:r>
        <w:t xml:space="preserve">No to Genocide!</w:t>
      </w:r>
      <w:r>
        <w:t xml:space="preserve">”</w:t>
      </w:r>
      <w:r>
        <w:t xml:space="preserve"> </w:t>
      </w:r>
      <w:r>
        <w:t xml:space="preserve">uses three main formats: the LED screen, the Kinect-controlled sensor table, and the textile banner with spotlight illumination. The juxtaposition of observation and interview shows that the choice of precisely these three formats was not a free design decision but a compromise between the technological infrastructure of the venue and the curatorial intent.</w:t>
      </w:r>
    </w:p>
    <w:p>
      <w:pPr>
        <w:pStyle w:val="BodyText"/>
      </w:pPr>
      <w:r>
        <w:t xml:space="preserve">The institution itself — the multimedia historical park</w:t>
      </w:r>
      <w:r>
        <w:t xml:space="preserve"> </w:t>
      </w:r>
      <w:r>
        <w:t xml:space="preserve">“</w:t>
      </w:r>
      <w:r>
        <w:t xml:space="preserve">Russia — My History</w:t>
      </w:r>
      <w:r>
        <w:t xml:space="preserve">”</w:t>
      </w:r>
      <w:r>
        <w:t xml:space="preserve"> </w:t>
      </w:r>
      <w:r>
        <w:t xml:space="preserve">— determines what is in principle available to the curators. In the interview this moment is sounded twice. First, the curator explains that the multimedia format was chosen because</w:t>
      </w:r>
      <w:r>
        <w:t xml:space="preserve"> </w:t>
      </w:r>
      <w:r>
        <w:t xml:space="preserve">“</w:t>
      </w:r>
      <w:r>
        <w:t xml:space="preserve">it is contemporary</w:t>
      </w:r>
      <w:r>
        <w:t xml:space="preserve">”</w:t>
      </w:r>
      <w:r>
        <w:t xml:space="preserve"> </w:t>
      </w:r>
      <w:r>
        <w:t xml:space="preserve">and because</w:t>
      </w:r>
      <w:r>
        <w:t xml:space="preserve"> </w:t>
      </w:r>
      <w:r>
        <w:t xml:space="preserve">“</w:t>
      </w:r>
      <w:r>
        <w:t xml:space="preserve">there are no large exhibits here, nothing, that is, it is simply a file that can be transferred</w:t>
      </w:r>
      <w:r>
        <w:t xml:space="preserve">”</w:t>
      </w:r>
      <w:r>
        <w:t xml:space="preserve"> </w:t>
      </w:r>
      <w:r>
        <w:t xml:space="preserve">— this allowed the exposition to be held in four cities: Rostov, Saint Petersburg, Nizhny Novgorod, Yekaterinburg. Then he himself acknowledges that</w:t>
      </w:r>
      <w:r>
        <w:t xml:space="preserve"> </w:t>
      </w:r>
      <w:r>
        <w:t xml:space="preserve">“</w:t>
      </w:r>
      <w:r>
        <w:t xml:space="preserve">another format was not considered at the historical park, well, because there, accordingly, it would not have been suitable</w:t>
      </w:r>
      <w:r>
        <w:t xml:space="preserve">”</w:t>
      </w:r>
      <w:r>
        <w:t xml:space="preserve">. In Hjarvard’s terms this is an example of direct mediatization: the activity of transmitting political memory not only uses the media but is performed through them, and outside this infrastructure it does not exist. The file which</w:t>
      </w:r>
      <w:r>
        <w:t xml:space="preserve"> </w:t>
      </w:r>
      <w:r>
        <w:t xml:space="preserve">“</w:t>
      </w:r>
      <w:r>
        <w:t xml:space="preserve">can be transferred</w:t>
      </w:r>
      <w:r>
        <w:t xml:space="preserve">”</w:t>
      </w:r>
      <w:r>
        <w:t xml:space="preserve"> </w:t>
      </w:r>
      <w:r>
        <w:t xml:space="preserve">is the very form of memory in which the exhibition exists operationally.</w:t>
      </w:r>
    </w:p>
    <w:p>
      <w:pPr>
        <w:pStyle w:val="BodyText"/>
      </w:pPr>
      <w:r>
        <w:t xml:space="preserve">The affordances of the LED screen determine two things. The first is mass scale and density of material. The curator stresses:</w:t>
      </w:r>
      <w:r>
        <w:t xml:space="preserve"> </w:t>
      </w:r>
      <w:r>
        <w:t xml:space="preserve">“</w:t>
      </w:r>
      <w:r>
        <w:t xml:space="preserve">thanks to the multimedia format we were able to fit such a volume of material that a traditional exhibition would not have given us</w:t>
      </w:r>
      <w:r>
        <w:t xml:space="preserve">”</w:t>
      </w:r>
      <w:r>
        <w:t xml:space="preserve">. Indeed, eleven thematic blocks with archival photographs, engravings, maps, diplomatic documents, portraits, fragments of literary works, and chronicle frames would have required, in a showcase layout, several hundred square metres. On the LED screens this material is condensed to one surface per theme. This is a technological affordance without which the version of the past described in § 3.1 could not have been told with such density of detail. The second is dynamics and automation. The LED screen is not static: it switches images on a timer, runs through archival photographs, and synchronously dims between blocks. This shifts the visitor’s position from that of a reader of a showcase (who decides for themselves how long to look) to that of a viewer (to whom a sequence is presented).</w:t>
      </w:r>
    </w:p>
    <w:p>
      <w:pPr>
        <w:pStyle w:val="BodyText"/>
      </w:pPr>
      <w:r>
        <w:t xml:space="preserve">The sensor tables are the second format which, as the interview shows, is the costliest:</w:t>
      </w:r>
      <w:r>
        <w:t xml:space="preserve"> </w:t>
      </w:r>
      <w:r>
        <w:t xml:space="preserve">“</w:t>
      </w:r>
      <w:r>
        <w:t xml:space="preserve">technically we worked on them for a very long time… we ourselves prepared all the files, not they, and we tried for a very long time to set them up</w:t>
      </w:r>
      <w:r>
        <w:t xml:space="preserve">”</w:t>
      </w:r>
      <w:r>
        <w:t xml:space="preserve">. At the same time, most of the sensor tables in the exhibition perform a duplicating function: they repeat the content of the LED screen in front of which they stand. To the interviewer’s direct question why duplication and not additional material, the curator answers:</w:t>
      </w:r>
      <w:r>
        <w:t xml:space="preserve"> </w:t>
      </w:r>
      <w:r>
        <w:t xml:space="preserve">“</w:t>
      </w:r>
      <w:r>
        <w:t xml:space="preserve">the exposition itself contains a fairly large volume of material, so additional information would already have been excessive… on the sensor table we placed information that duplicates, so that it would be convenient for the visitor to read, to dwell longer on certain moments. Since the LED screen is not always static and at some point they switch.</w:t>
      </w:r>
      <w:r>
        <w:t xml:space="preserve">”</w:t>
      </w:r>
    </w:p>
    <w:p>
      <w:pPr>
        <w:pStyle w:val="BodyText"/>
      </w:pPr>
      <w:r>
        <w:t xml:space="preserve">This explanation is pragmatic, but it carries an important conceptual consequence. The duplication solves a problem created by the very choice of affordances: the automatic switching of frames on the LED screen makes individual reading of text impossible. For the visitor to be able to read, a second screen is needed — static, tactile, controlled by hand. Here Manovich’s thesis is clearly visible:</w:t>
      </w:r>
      <w:r>
        <w:t xml:space="preserve"> </w:t>
      </w:r>
      <w:r>
        <w:t xml:space="preserve">“</w:t>
      </w:r>
      <w:r>
        <w:t xml:space="preserve">the interface shapes how the computer user conceives the computer itself. It also determines how users think of any media object accessed via a computer</w:t>
      </w:r>
      <w:r>
        <w:t xml:space="preserve">”</w:t>
      </w:r>
      <w:r>
        <w:t xml:space="preserve"> </w:t>
      </w:r>
      <w:r>
        <w:t xml:space="preserve">(Manovich, 2001, p. 76). The affordances of the LED screen (spectacularity, dynamics) make the affordance of sustained reading impossible; and to bring it back, the curators are forced to install a duplicating format. The result is a two-level construction: the</w:t>
      </w:r>
      <w:r>
        <w:t xml:space="preserve"> </w:t>
      </w:r>
      <w:r>
        <w:t xml:space="preserve">“</w:t>
      </w:r>
      <w:r>
        <w:t xml:space="preserve">spectacle</w:t>
      </w:r>
      <w:r>
        <w:t xml:space="preserve">”</w:t>
      </w:r>
      <w:r>
        <w:t xml:space="preserve"> </w:t>
      </w:r>
      <w:r>
        <w:t xml:space="preserve">is presented on the LED screen, while the</w:t>
      </w:r>
      <w:r>
        <w:t xml:space="preserve"> </w:t>
      </w:r>
      <w:r>
        <w:t xml:space="preserve">“</w:t>
      </w:r>
      <w:r>
        <w:t xml:space="preserve">text</w:t>
      </w:r>
      <w:r>
        <w:t xml:space="preserve">”</w:t>
      </w:r>
      <w:r>
        <w:t xml:space="preserve"> </w:t>
      </w:r>
      <w:r>
        <w:t xml:space="preserve">is presented on the sensor table. This doubling is not provided for by the concept; it is imposed by the logic of the medium itself.</w:t>
      </w:r>
    </w:p>
    <w:p>
      <w:pPr>
        <w:pStyle w:val="BodyText"/>
      </w:pPr>
      <w:r>
        <w:t xml:space="preserve">At the same time, the sensor table at the entrance — the only one — breaks the logic of duplication. Here Kinect control is used not to repeat material already shown but to produce an event: the visitor passes their hand above the surface, and the flags of Russia and Armenia turn into a field of forget-me-nots — the official symbol of the genocide. The curator describes this decision as his own:</w:t>
      </w:r>
      <w:r>
        <w:t xml:space="preserve"> </w:t>
      </w:r>
      <w:r>
        <w:t xml:space="preserve">“</w:t>
      </w:r>
      <w:r>
        <w:t xml:space="preserve">this was my idea, because there, in the original… roughly the same story, that is, you pass your hand and you get a different material, and we thought it would be great if we used that as well</w:t>
      </w:r>
      <w:r>
        <w:t xml:space="preserve">”</w:t>
      </w:r>
      <w:r>
        <w:t xml:space="preserve">. Analytically, this element works differently from all the others: it switches the visitor from a mode of observation into a mode of performative action. This is the only point in the entire route where the visitor literally</w:t>
      </w:r>
      <w:r>
        <w:t xml:space="preserve"> </w:t>
      </w:r>
      <w:r>
        <w:t xml:space="preserve">“</w:t>
      </w:r>
      <w:r>
        <w:t xml:space="preserve">produces</w:t>
      </w:r>
      <w:r>
        <w:t xml:space="preserve">”</w:t>
      </w:r>
      <w:r>
        <w:t xml:space="preserve"> </w:t>
      </w:r>
      <w:r>
        <w:t xml:space="preserve">political meaning — turning the state-political (the flags) into the memorial (the forget-me-nots) by their own gesture.</w:t>
      </w:r>
    </w:p>
    <w:p>
      <w:pPr>
        <w:pStyle w:val="BodyText"/>
      </w:pPr>
      <w:r>
        <w:t xml:space="preserve">In Kress and van Leeuwen’s terminology this element is interactively unique: the</w:t>
      </w:r>
      <w:r>
        <w:t xml:space="preserve"> </w:t>
      </w:r>
      <w:r>
        <w:t xml:space="preserve">“</w:t>
      </w:r>
      <w:r>
        <w:t xml:space="preserve">act of demand</w:t>
      </w:r>
      <w:r>
        <w:t xml:space="preserve">”</w:t>
      </w:r>
      <w:r>
        <w:t xml:space="preserve"> </w:t>
      </w:r>
      <w:r>
        <w:t xml:space="preserve">is here addressed not from the image to the viewer (as on the portraits with a direct gaze) but from the instruction to the viewer’s body —</w:t>
      </w:r>
      <w:r>
        <w:t xml:space="preserve"> </w:t>
      </w:r>
      <w:r>
        <w:t xml:space="preserve">“</w:t>
      </w:r>
      <w:r>
        <w:t xml:space="preserve">wave your hand</w:t>
      </w:r>
      <w:r>
        <w:t xml:space="preserve">”</w:t>
      </w:r>
      <w:r>
        <w:t xml:space="preserve"> </w:t>
      </w:r>
      <w:r>
        <w:t xml:space="preserve">(Kress &amp; van Leeuwen, 2006, p. 118). And precisely here a curious tension arises: the only truly interactive element is located at the very beginning of the route, before the main narrative part. The rest of the exhibition is a regime of passive observation. If we describe this in Sharon Macdonald’s terms, then</w:t>
      </w:r>
      <w:r>
        <w:t xml:space="preserve"> </w:t>
      </w:r>
      <w:r>
        <w:t xml:space="preserve">“</w:t>
      </w:r>
      <w:r>
        <w:t xml:space="preserve">the activity of the visitor</w:t>
      </w:r>
      <w:r>
        <w:t xml:space="preserve">”</w:t>
      </w:r>
      <w:r>
        <w:t xml:space="preserve"> </w:t>
      </w:r>
      <w:r>
        <w:t xml:space="preserve">turns out to be localised in the zone of initiation; further on they move through the exhibition as already</w:t>
      </w:r>
      <w:r>
        <w:t xml:space="preserve"> </w:t>
      </w:r>
      <w:r>
        <w:t xml:space="preserve">“</w:t>
      </w:r>
      <w:r>
        <w:t xml:space="preserve">initiated</w:t>
      </w:r>
      <w:r>
        <w:t xml:space="preserve">”</w:t>
      </w:r>
      <w:r>
        <w:t xml:space="preserve"> </w:t>
      </w:r>
      <w:r>
        <w:t xml:space="preserve">but not active subjects (Macdonald, 2007, p. 157).</w:t>
      </w:r>
    </w:p>
    <w:p>
      <w:pPr>
        <w:pStyle w:val="BodyText"/>
      </w:pPr>
      <w:r>
        <w:t xml:space="preserve">The third format — the textile banner with quotations from authoritative figures — at first glance is the most traditional and contradicts the general multimedia logic. But the interview shows that the banners appeared not as a curatorial idea but as a reaction to an infrastructural constraint:</w:t>
      </w:r>
      <w:r>
        <w:t xml:space="preserve"> </w:t>
      </w:r>
      <w:r>
        <w:t xml:space="preserve">“</w:t>
      </w:r>
      <w:r>
        <w:t xml:space="preserve">they have these spots… when we removed them, the hall turned out bare, and they have these special light bulbs that highlight them, and we realised we had to do something</w:t>
      </w:r>
      <w:r>
        <w:t xml:space="preserve">”</w:t>
      </w:r>
      <w:r>
        <w:t xml:space="preserve">. That is, the space had already been equipped for banners with quotations</w:t>
      </w:r>
      <w:r>
        <w:t xml:space="preserve"> </w:t>
      </w:r>
      <w:r>
        <w:t xml:space="preserve">“</w:t>
      </w:r>
      <w:r>
        <w:t xml:space="preserve">by default</w:t>
      </w:r>
      <w:r>
        <w:t xml:space="preserve">”</w:t>
      </w:r>
      <w:r>
        <w:t xml:space="preserve"> </w:t>
      </w:r>
      <w:r>
        <w:t xml:space="preserve">(probably, in the standard exposition of the park — Shoigu, Medvedev, etc.), and the curators had to fit into this infrastructure. This is an example of indirect mediatization in Hjarvard’s sense: content is formatted by the existing media conventions of the venue, even if the curators themselves did not choose this channel (Hjarvard, 2008, p. 114).</w:t>
      </w:r>
    </w:p>
    <w:p>
      <w:pPr>
        <w:pStyle w:val="BodyText"/>
      </w:pPr>
      <w:r>
        <w:t xml:space="preserve">Observation records that the final set of persons on the banners combines different registers of authority: religious (Pope John Paul II, Pope Francis, Catholicos Vazgen I), state (Putin), scientific/humanitarian (Nansen), and literary (Anatole France). In the terminology of Kress and van Leeuwen’s compositional analysis this works as a</w:t>
      </w:r>
      <w:r>
        <w:t xml:space="preserve"> </w:t>
      </w:r>
      <w:r>
        <w:t xml:space="preserve">“</w:t>
      </w:r>
      <w:r>
        <w:t xml:space="preserve">corridor of demands</w:t>
      </w:r>
      <w:r>
        <w:t xml:space="preserve">”</w:t>
      </w:r>
      <w:r>
        <w:t xml:space="preserve">: the visitor is presented with faces, most of which look either to the side of the camera (offer — as in the archival portraits), or directly (demand of solidarity — as Putin does). The curator explains the logic of the selection as follows:</w:t>
      </w:r>
      <w:r>
        <w:t xml:space="preserve"> </w:t>
      </w:r>
      <w:r>
        <w:t xml:space="preserve">“</w:t>
      </w:r>
      <w:r>
        <w:t xml:space="preserve">we tried to take more from Russia, but since few from Russia had spoken about it, from the official figures — Putin, the patriarch, someone else — we simply took the rest of the world leaders, historically important figures, who in their own words confirmed that, yes, the fact of the genocide is undeniable</w:t>
      </w:r>
      <w:r>
        <w:t xml:space="preserve">”</w:t>
      </w:r>
      <w:r>
        <w:t xml:space="preserve">.</w:t>
      </w:r>
    </w:p>
    <w:p>
      <w:pPr>
        <w:pStyle w:val="BodyText"/>
      </w:pPr>
      <w:r>
        <w:t xml:space="preserve">Here an interesting convergence of two logics is visible. On the one hand — the media logic of the banner: by its very construction it requires a short phrase and a photograph of a face, so only public figures with ready-made statements are suitable. On the other hand — the narrative logic of the exhibition:</w:t>
      </w:r>
      <w:r>
        <w:t xml:space="preserve"> </w:t>
      </w:r>
      <w:r>
        <w:t xml:space="preserve">“</w:t>
      </w:r>
      <w:r>
        <w:t xml:space="preserve">Russianness</w:t>
      </w:r>
      <w:r>
        <w:t xml:space="preserve">”</w:t>
      </w:r>
      <w:r>
        <w:t xml:space="preserve"> </w:t>
      </w:r>
      <w:r>
        <w:t xml:space="preserve">is prioritised, but the Russian political and cultural establishment has spoken little about the genocide. As a result, the format itself pushes towards a compromise: to</w:t>
      </w:r>
      <w:r>
        <w:t xml:space="preserve"> </w:t>
      </w:r>
      <w:r>
        <w:t xml:space="preserve">“</w:t>
      </w:r>
      <w:r>
        <w:t xml:space="preserve">fill in</w:t>
      </w:r>
      <w:r>
        <w:t xml:space="preserve">”</w:t>
      </w:r>
      <w:r>
        <w:t xml:space="preserve"> </w:t>
      </w:r>
      <w:r>
        <w:t xml:space="preserve">the Russian voice with international voices. The banners are therefore not simply a showcase of authoritative opinions but an infrastructural–narrative compromise, in which global factual support functions as a substitute for the missing internal voice.</w:t>
      </w:r>
    </w:p>
    <w:p>
      <w:pPr>
        <w:pStyle w:val="BodyText"/>
      </w:pPr>
      <w:r>
        <w:t xml:space="preserve">The conclusion of this section can be formulated as follows. The choice of media formats in the exhibition</w:t>
      </w:r>
      <w:r>
        <w:t xml:space="preserve"> </w:t>
      </w:r>
      <w:r>
        <w:t xml:space="preserve">“</w:t>
      </w:r>
      <w:r>
        <w:t xml:space="preserve">No to Genocide!</w:t>
      </w:r>
      <w:r>
        <w:t xml:space="preserve">”</w:t>
      </w:r>
      <w:r>
        <w:t xml:space="preserve"> </w:t>
      </w:r>
      <w:r>
        <w:t xml:space="preserve">cannot be reduced to a technological decision: each format carries its own constraints and its own semantic logic. The LED screen makes it possible to densify material and to keep rhythm, but deprives the visitor of text; the sensor table returns the text, but in the overwhelming majority of cases only duplicates what has already been shown; the banners inherit the infrastructure of the venue and therefore push towards a particular rhetoric of authority. The only fully</w:t>
      </w:r>
      <w:r>
        <w:t xml:space="preserve"> </w:t>
      </w:r>
      <w:r>
        <w:t xml:space="preserve">“</w:t>
      </w:r>
      <w:r>
        <w:t xml:space="preserve">active</w:t>
      </w:r>
      <w:r>
        <w:t xml:space="preserve">”</w:t>
      </w:r>
      <w:r>
        <w:t xml:space="preserve"> </w:t>
      </w:r>
      <w:r>
        <w:t xml:space="preserve">element — the entrance sensor table with the transformation of flags into forget-me-nots — turns out to be simultaneously the most semantically loaded: it is through this element that politics is transformed into memory by the gesture of the visitor’s own body.</w:t>
      </w:r>
    </w:p>
    <w:bookmarkEnd w:id="26"/>
    <w:bookmarkStart w:id="27" w:name="X2a681d69d737b3dd1fb7f5108985822cf1cd9a8"/>
    <w:p>
      <w:pPr>
        <w:pStyle w:val="Heading2"/>
      </w:pPr>
      <w:r>
        <w:t xml:space="preserve">3.3 Space, Light, and Rhythm: The Visitor as an Object of Programming</w:t>
      </w:r>
    </w:p>
    <w:p>
      <w:pPr>
        <w:pStyle w:val="FirstParagraph"/>
      </w:pPr>
      <w:r>
        <w:t xml:space="preserve">If media formats determine in what form the material reaches the visitor, then the spatial organisation determines in what state this visitor is in at the moment of perception. This level of curatorial work corresponds directly to what Sharon Macdonald calls the spatial area of the museum experience:</w:t>
      </w:r>
      <w:r>
        <w:t xml:space="preserve"> </w:t>
      </w:r>
      <w:r>
        <w:t xml:space="preserve">“</w:t>
      </w:r>
      <w:r>
        <w:t xml:space="preserve">how people negotiate their way through museums and galleries can have considerable implications for how they relate to and interpret exhibition content</w:t>
      </w:r>
      <w:r>
        <w:t xml:space="preserve">”</w:t>
      </w:r>
      <w:r>
        <w:t xml:space="preserve"> </w:t>
      </w:r>
      <w:r>
        <w:t xml:space="preserve">(Macdonald, 2007, p. 157). In the exhibition</w:t>
      </w:r>
      <w:r>
        <w:t xml:space="preserve"> </w:t>
      </w:r>
      <w:r>
        <w:t xml:space="preserve">“</w:t>
      </w:r>
      <w:r>
        <w:t xml:space="preserve">No to Genocide!</w:t>
      </w:r>
      <w:r>
        <w:t xml:space="preserve">”</w:t>
      </w:r>
      <w:r>
        <w:t xml:space="preserve"> </w:t>
      </w:r>
      <w:r>
        <w:t xml:space="preserve">this</w:t>
      </w:r>
      <w:r>
        <w:t xml:space="preserve"> </w:t>
      </w:r>
      <w:r>
        <w:t xml:space="preserve">“</w:t>
      </w:r>
      <w:r>
        <w:t xml:space="preserve">negotiation</w:t>
      </w:r>
      <w:r>
        <w:t xml:space="preserve">”</w:t>
      </w:r>
      <w:r>
        <w:t xml:space="preserve"> </w:t>
      </w:r>
      <w:r>
        <w:t xml:space="preserve">is programmed very strictly — and precisely this strictness constitutes the principal curatorial choice.</w:t>
      </w:r>
    </w:p>
    <w:p>
      <w:pPr>
        <w:pStyle w:val="BodyText"/>
      </w:pPr>
      <w:r>
        <w:t xml:space="preserve">The route is linear, with no branches. Four halls, movement</w:t>
      </w:r>
      <w:r>
        <w:t xml:space="preserve"> </w:t>
      </w:r>
      <w:r>
        <w:t xml:space="preserve">“</w:t>
      </w:r>
      <w:r>
        <w:t xml:space="preserve">forward along the walls</w:t>
      </w:r>
      <w:r>
        <w:t xml:space="preserve">”</w:t>
      </w:r>
      <w:r>
        <w:t xml:space="preserve">, and no return is foreseen by the logic of the flow. This decision is directly discussed in the interview: to the question of whether the possibility of letting the visitor choose the route had been considered, the curator answers categorically:</w:t>
      </w:r>
      <w:r>
        <w:t xml:space="preserve"> </w:t>
      </w:r>
      <w:r>
        <w:t xml:space="preserve">“</w:t>
      </w:r>
      <w:r>
        <w:t xml:space="preserve">rather not, because the policy of the museum</w:t>
      </w:r>
      <w:r>
        <w:t xml:space="preserve"> </w:t>
      </w:r>
      <w:r>
        <w:t xml:space="preserve">‘</w:t>
      </w:r>
      <w:r>
        <w:t xml:space="preserve">Russia — My History</w:t>
      </w:r>
      <w:r>
        <w:t xml:space="preserve">’</w:t>
      </w:r>
      <w:r>
        <w:t xml:space="preserve"> </w:t>
      </w:r>
      <w:r>
        <w:t xml:space="preserve">does not envisage such a format</w:t>
      </w:r>
      <w:r>
        <w:t xml:space="preserve">”</w:t>
      </w:r>
      <w:r>
        <w:t xml:space="preserve">. In other words, linearity is an institutional constraint of the venue. But precisely because it coincided with the narrative intention, neither side had any reason to contest it. The chronological sequence of the screens (§ 3.1) and the linear route of the hall form a structural isomorphism: time unfolds in the same way as space — without alternatives, without bypass, without the possibility of moving to the end without passing through the middle.</w:t>
      </w:r>
    </w:p>
    <w:p>
      <w:pPr>
        <w:pStyle w:val="BodyText"/>
      </w:pPr>
      <w:r>
        <w:t xml:space="preserve">This is, in its pure form, what Tony Bennett describes as the</w:t>
      </w:r>
      <w:r>
        <w:t xml:space="preserve"> </w:t>
      </w:r>
      <w:r>
        <w:t xml:space="preserve">“</w:t>
      </w:r>
      <w:r>
        <w:t xml:space="preserve">exhibitionary complex</w:t>
      </w:r>
      <w:r>
        <w:t xml:space="preserve">”</w:t>
      </w:r>
      <w:r>
        <w:t xml:space="preserve"> </w:t>
      </w:r>
      <w:r>
        <w:t xml:space="preserve">— a space where power operates not through coercion but through the voluntary complicity of the viewer in the established order of things (Bennett, 1988). The visitor walks along the route themselves, pauses themselves, reads themselves — but the possible scenarios of this</w:t>
      </w:r>
      <w:r>
        <w:t xml:space="preserve"> </w:t>
      </w:r>
      <w:r>
        <w:t xml:space="preserve">“</w:t>
      </w:r>
      <w:r>
        <w:t xml:space="preserve">themselves</w:t>
      </w:r>
      <w:r>
        <w:t xml:space="preserve">”</w:t>
      </w:r>
      <w:r>
        <w:t xml:space="preserve"> </w:t>
      </w:r>
      <w:r>
        <w:t xml:space="preserve">are set by the architecture. Erll’s logic is also engaged here: the past has no fixed form and is each time reassembled in the act of remembrance (Erll, 2008, p. 14). In the space of the exhibition this act of reassembly is set as a procedure: you enter, read the quotations of the authorities, activate the sensor table with the flags and the forget-me-nots, walk past the eleven thematic screens in chronological order, and exit through the section on recognition. You have no opportunity to</w:t>
      </w:r>
      <w:r>
        <w:t xml:space="preserve"> </w:t>
      </w:r>
      <w:r>
        <w:t xml:space="preserve">“</w:t>
      </w:r>
      <w:r>
        <w:t xml:space="preserve">reassemble</w:t>
      </w:r>
      <w:r>
        <w:t xml:space="preserve">”</w:t>
      </w:r>
      <w:r>
        <w:t xml:space="preserve"> </w:t>
      </w:r>
      <w:r>
        <w:t xml:space="preserve">the past otherwise — for example, to come first to the recognition and then roll back to the origins, or to begin with the cultural genocide and end with the Russo-Turkish War.</w:t>
      </w:r>
    </w:p>
    <w:p>
      <w:pPr>
        <w:pStyle w:val="BodyText"/>
      </w:pPr>
      <w:r>
        <w:t xml:space="preserve">The light regime is added to the spatial structure. Observation records full darkening along the entire route and only spot lighting of the screens and banners. The curator explains this as a standard practice of the venue:</w:t>
      </w:r>
      <w:r>
        <w:t xml:space="preserve"> </w:t>
      </w:r>
      <w:r>
        <w:t xml:space="preserve">“</w:t>
      </w:r>
      <w:r>
        <w:t xml:space="preserve">in general, all the exhibitions/expositions at the museum</w:t>
      </w:r>
      <w:r>
        <w:t xml:space="preserve"> </w:t>
      </w:r>
      <w:r>
        <w:t xml:space="preserve">‘</w:t>
      </w:r>
      <w:r>
        <w:t xml:space="preserve">Russia — My History</w:t>
      </w:r>
      <w:r>
        <w:t xml:space="preserve">’</w:t>
      </w:r>
      <w:r>
        <w:t xml:space="preserve"> </w:t>
      </w:r>
      <w:r>
        <w:t xml:space="preserve">are conducted with such lighting and musical accompaniment</w:t>
      </w:r>
      <w:r>
        <w:t xml:space="preserve">”</w:t>
      </w:r>
      <w:r>
        <w:t xml:space="preserve">. Here again the infrastructure and the intention work together. The darkening does two things. First, it physically cuts the visitor off from the</w:t>
      </w:r>
      <w:r>
        <w:t xml:space="preserve"> </w:t>
      </w:r>
      <w:r>
        <w:t xml:space="preserve">“</w:t>
      </w:r>
      <w:r>
        <w:t xml:space="preserve">ordinary world</w:t>
      </w:r>
      <w:r>
        <w:t xml:space="preserve">”</w:t>
      </w:r>
      <w:r>
        <w:t xml:space="preserve">: there are no windows in the hall, no daylight, no orientation points unrelated to the content of the exhibition. Second, it turns each illuminated screen into the sole source of attention: the contrast between the darkness of the hall and the bright LED surfaces makes it technically impossible to</w:t>
      </w:r>
      <w:r>
        <w:t xml:space="preserve"> </w:t>
      </w:r>
      <w:r>
        <w:t xml:space="preserve">“</w:t>
      </w:r>
      <w:r>
        <w:t xml:space="preserve">overcome</w:t>
      </w:r>
      <w:r>
        <w:t xml:space="preserve">”</w:t>
      </w:r>
      <w:r>
        <w:t xml:space="preserve"> </w:t>
      </w:r>
      <w:r>
        <w:t xml:space="preserve">them and look away. In Kress and van Leeuwen’s terminology this works as the maximisation of salience at the level of the entire space rather than of a single image (Kress &amp; van Leeuwen, 2006, p. 201): the dominant element becomes the one that shines, and the entire hall shines only with the thematic screens.</w:t>
      </w:r>
    </w:p>
    <w:p>
      <w:pPr>
        <w:pStyle w:val="BodyText"/>
      </w:pPr>
      <w:r>
        <w:t xml:space="preserve">To light is added sound. As background, a single Armenian melody dedicated to the genocide is played in a continuous loop. The curator describes its effect as follows:</w:t>
      </w:r>
      <w:r>
        <w:t xml:space="preserve"> </w:t>
      </w:r>
      <w:r>
        <w:t xml:space="preserve">“</w:t>
      </w:r>
      <w:r>
        <w:t xml:space="preserve">you know, it is just one song that is constantly played. But it fit very well and does not create a feeling of tediousness</w:t>
      </w:r>
      <w:r>
        <w:t xml:space="preserve">”</w:t>
      </w:r>
      <w:r>
        <w:t xml:space="preserve">. From the theoretical point of view this is an interesting characterisation. What in an ordinary listening situation would become</w:t>
      </w:r>
      <w:r>
        <w:t xml:space="preserve"> </w:t>
      </w:r>
      <w:r>
        <w:t xml:space="preserve">“</w:t>
      </w:r>
      <w:r>
        <w:t xml:space="preserve">tediousness</w:t>
      </w:r>
      <w:r>
        <w:t xml:space="preserve">”</w:t>
      </w:r>
      <w:r>
        <w:t xml:space="preserve"> </w:t>
      </w:r>
      <w:r>
        <w:t xml:space="preserve">is, in the conditions of the exhibition, transformed into an even affective floor. Hoskins describes the memorial media environment as one where</w:t>
      </w:r>
      <w:r>
        <w:t xml:space="preserve"> </w:t>
      </w:r>
      <w:r>
        <w:t xml:space="preserve">“</w:t>
      </w:r>
      <w:r>
        <w:t xml:space="preserve">successfully staging historical authenticity for today’s audiences requires digital technology… exhibits teem with digital media as they surround their visitors with re-mastered photos, sound recordings, and film footage</w:t>
      </w:r>
      <w:r>
        <w:t xml:space="preserve">”</w:t>
      </w:r>
      <w:r>
        <w:t xml:space="preserve"> </w:t>
      </w:r>
      <w:r>
        <w:t xml:space="preserve">(Kansteiner, in Hoskins, 2018, p. 118). The looped music plays the same role here: it creates an even emotional floor on which each individual image works with greater force than it would in a neutral sound environment.</w:t>
      </w:r>
    </w:p>
    <w:p>
      <w:pPr>
        <w:pStyle w:val="BodyText"/>
      </w:pPr>
      <w:r>
        <w:t xml:space="preserve">Finally, the third element of spatial programming is the synchronous transitional screens. Every few seconds, all eleven LED screens switch simultaneously to a dark background with a single symbol (a forget-me-not or a thorn crown) and the title of the next theme. This pause lasts 5–7 seconds and covers the entire space at the same time. Analytically, this is the most unusual spatial device of the exhibition, and in the interview it is hardly commented upon — the curator explains the logic of the symbols (</w:t>
      </w:r>
      <w:r>
        <w:t xml:space="preserve">“</w:t>
      </w:r>
      <w:r>
        <w:t xml:space="preserve">the forget-me-not — the striving for life; the barbed wire, the thorn crown — blood</w:t>
      </w:r>
      <w:r>
        <w:t xml:space="preserve">”</w:t>
      </w:r>
      <w:r>
        <w:t xml:space="preserve">), but does not describe synchronicity as a separate decision. However, observation records that precisely the synchronicity produces a collective effect: the visitor cannot</w:t>
      </w:r>
      <w:r>
        <w:t xml:space="preserve"> </w:t>
      </w:r>
      <w:r>
        <w:t xml:space="preserve">“</w:t>
      </w:r>
      <w:r>
        <w:t xml:space="preserve">linger</w:t>
      </w:r>
      <w:r>
        <w:t xml:space="preserve">”</w:t>
      </w:r>
      <w:r>
        <w:t xml:space="preserve"> </w:t>
      </w:r>
      <w:r>
        <w:t xml:space="preserve">on one screen while the others have already switched, and all who are in the hall at the same time find themselves at the same point of the narrative at the same moment.</w:t>
      </w:r>
    </w:p>
    <w:p>
      <w:pPr>
        <w:pStyle w:val="BodyText"/>
      </w:pPr>
      <w:r>
        <w:t xml:space="preserve">In Sharon Macdonald’s terms, this is a sample of</w:t>
      </w:r>
      <w:r>
        <w:t xml:space="preserve"> </w:t>
      </w:r>
      <w:r>
        <w:t xml:space="preserve">“</w:t>
      </w:r>
      <w:r>
        <w:t xml:space="preserve">sociality</w:t>
      </w:r>
      <w:r>
        <w:t xml:space="preserve">”</w:t>
      </w:r>
      <w:r>
        <w:t xml:space="preserve"> </w:t>
      </w:r>
      <w:r>
        <w:t xml:space="preserve">of the museum experience in its strong form (Macdonald, 2007, p. 149): the synchronous transitions transform individual reading into a collective ritual. Visitors share the rhythm imposed by the space, and in this sense the exhibition operates by a logic closest to that described by Pierre Nora as a</w:t>
      </w:r>
      <w:r>
        <w:t xml:space="preserve"> </w:t>
      </w:r>
      <w:r>
        <w:t xml:space="preserve">“</w:t>
      </w:r>
      <w:r>
        <w:t xml:space="preserve">site of memory</w:t>
      </w:r>
      <w:r>
        <w:t xml:space="preserve">”</w:t>
      </w:r>
      <w:r>
        <w:t xml:space="preserve"> </w:t>
      </w:r>
      <w:r>
        <w:t xml:space="preserve">— an artificial compensating mechanism in which the lost</w:t>
      </w:r>
      <w:r>
        <w:t xml:space="preserve"> </w:t>
      </w:r>
      <w:r>
        <w:t xml:space="preserve">“</w:t>
      </w:r>
      <w:r>
        <w:t xml:space="preserve">milieu of memory</w:t>
      </w:r>
      <w:r>
        <w:t xml:space="preserve">”</w:t>
      </w:r>
      <w:r>
        <w:t xml:space="preserve"> </w:t>
      </w:r>
      <w:r>
        <w:t xml:space="preserve">is recreated through ritualised procedures (Nora, 2008, p. 19). When all the screens simultaneously dim to the lone image of the thorn crown, what occurs is something that otherwise happens only in formal rituals: the space imposes a single affective state on all those present.</w:t>
      </w:r>
    </w:p>
    <w:p>
      <w:pPr>
        <w:pStyle w:val="BodyText"/>
      </w:pPr>
      <w:r>
        <w:t xml:space="preserve">Here one of the deep effects of mediatization becomes clearly visible. If the exhibition had used the traditional format of showcase and individual captions, such a synchronous rhythm would have been technically unattainable: each visitor would have moved at their own pace, and a shared ritual frame would not have arisen at all. It is precisely the digital infrastructure — a system of synchronised LED panels under unified control — that makes possible the collective rhythm which a traditional memorial exposition cannot produce. This is exactly the</w:t>
      </w:r>
      <w:r>
        <w:t xml:space="preserve"> </w:t>
      </w:r>
      <w:r>
        <w:t xml:space="preserve">“</w:t>
      </w:r>
      <w:r>
        <w:t xml:space="preserve">media logic</w:t>
      </w:r>
      <w:r>
        <w:t xml:space="preserve">”</w:t>
      </w:r>
      <w:r>
        <w:t xml:space="preserve"> </w:t>
      </w:r>
      <w:r>
        <w:t xml:space="preserve">that Hjarvard speaks of as the medium’s own form: technology not only transmits the content but also produces the social form in which this content is perceived (Hjarvard, 2008, p. 113).</w:t>
      </w:r>
    </w:p>
    <w:p>
      <w:pPr>
        <w:pStyle w:val="BodyText"/>
      </w:pPr>
      <w:r>
        <w:t xml:space="preserve">Here a question important for the research arises: in what way exactly does this spatial and medial construction shape the political effect? Briefly: it eliminates distance. The linear route, the darkening, the continuous music, the synchronous pauses — each of these elements on its own might be a neutral design choice. Together they create a regime in which the visitor has neither the physical nor the temporal nor the affective opportunity to assume a critical position towards what is shown. Williams describes this as the principled tension of the memorial genre —</w:t>
      </w:r>
      <w:r>
        <w:t xml:space="preserve"> </w:t>
      </w:r>
      <w:r>
        <w:t xml:space="preserve">“</w:t>
      </w:r>
      <w:r>
        <w:t xml:space="preserve">non-evaluative mourning and critical interpretation</w:t>
      </w:r>
      <w:r>
        <w:t xml:space="preserve">”</w:t>
      </w:r>
      <w:r>
        <w:t xml:space="preserve"> </w:t>
      </w:r>
      <w:r>
        <w:t xml:space="preserve">(Williams, 2007, p. 8); in the case of</w:t>
      </w:r>
      <w:r>
        <w:t xml:space="preserve"> </w:t>
      </w:r>
      <w:r>
        <w:t xml:space="preserve">“</w:t>
      </w:r>
      <w:r>
        <w:t xml:space="preserve">No to Genocide!</w:t>
      </w:r>
      <w:r>
        <w:t xml:space="preserve">”</w:t>
      </w:r>
      <w:r>
        <w:t xml:space="preserve"> </w:t>
      </w:r>
      <w:r>
        <w:t xml:space="preserve">this tension is resolved in favour of the former: critical interpretation is constructively impossible, because the space leaves neither physical nor cognitive room for it.</w:t>
      </w:r>
    </w:p>
    <w:bookmarkEnd w:id="27"/>
    <w:bookmarkStart w:id="28" w:name="X25f7c062f137b9566dac8345a8599a5fdef7489"/>
    <w:p>
      <w:pPr>
        <w:pStyle w:val="Heading2"/>
      </w:pPr>
      <w:r>
        <w:t xml:space="preserve">3.4 Voices of Testimony: Hierarchy of Authorities and Distribution of Visibility</w:t>
      </w:r>
    </w:p>
    <w:p>
      <w:pPr>
        <w:pStyle w:val="FirstParagraph"/>
      </w:pPr>
      <w:r>
        <w:t xml:space="preserve">The next level of analysis concerns who at the exhibition is endowed with the right to a voice, and who is not. This problematic was introduced in Chapter 1 through Silverstone’s concept of the mediapolis: a mediatized space is</w:t>
      </w:r>
      <w:r>
        <w:t xml:space="preserve"> </w:t>
      </w:r>
      <w:r>
        <w:t xml:space="preserve">“</w:t>
      </w:r>
      <w:r>
        <w:t xml:space="preserve">a place where some subjects acquire visibility and the right to speak, while others remain invisible and unheard</w:t>
      </w:r>
      <w:r>
        <w:t xml:space="preserve">”</w:t>
      </w:r>
      <w:r>
        <w:t xml:space="preserve"> </w:t>
      </w:r>
      <w:r>
        <w:t xml:space="preserve">(Silverstone, 2007, p. 136). On the exhibition</w:t>
      </w:r>
      <w:r>
        <w:t xml:space="preserve"> </w:t>
      </w:r>
      <w:r>
        <w:t xml:space="preserve">“</w:t>
      </w:r>
      <w:r>
        <w:t xml:space="preserve">No to Genocide!</w:t>
      </w:r>
      <w:r>
        <w:t xml:space="preserve">”</w:t>
      </w:r>
      <w:r>
        <w:t xml:space="preserve"> </w:t>
      </w:r>
      <w:r>
        <w:t xml:space="preserve">this hierarchy can be read on several levels, and it is organised in a more complex way than may at first appear.</w:t>
      </w:r>
    </w:p>
    <w:p>
      <w:pPr>
        <w:pStyle w:val="BodyText"/>
      </w:pPr>
      <w:r>
        <w:t xml:space="preserve">The most visible level is that of the authoritative speakers on the banners of the entrance zone. Here the voice belongs to public figures: the Pope, the President, the Catholicos, Nansen, a writer, a public figure. Their words are not information about the genocide but the legitimation of the very possibility of speaking about it. In Kress and van Leeuwen’s analytics this is an example of conceptual representation: the figures are presented as symbolic bearers of authority, static, in medium shot, in most cases without a direct gaze — an</w:t>
      </w:r>
      <w:r>
        <w:t xml:space="preserve"> </w:t>
      </w:r>
      <w:r>
        <w:t xml:space="preserve">“</w:t>
      </w:r>
      <w:r>
        <w:t xml:space="preserve">offer</w:t>
      </w:r>
      <w:r>
        <w:t xml:space="preserve">”</w:t>
      </w:r>
      <w:r>
        <w:t xml:space="preserve"> </w:t>
      </w:r>
      <w:r>
        <w:t xml:space="preserve">to the viewer as</w:t>
      </w:r>
      <w:r>
        <w:t xml:space="preserve"> </w:t>
      </w:r>
      <w:r>
        <w:t xml:space="preserve">“</w:t>
      </w:r>
      <w:r>
        <w:t xml:space="preserve">objects of contemplation</w:t>
      </w:r>
      <w:r>
        <w:t xml:space="preserve">”</w:t>
      </w:r>
      <w:r>
        <w:t xml:space="preserve"> </w:t>
      </w:r>
      <w:r>
        <w:t xml:space="preserve">(Kress &amp; van Leeuwen, 2006, p. 119). The exception is Putin: his portrait on the banner and the very same Putin — the only large colour photograph of the entire exhibition in the final section — is no longer an</w:t>
      </w:r>
      <w:r>
        <w:t xml:space="preserve"> </w:t>
      </w:r>
      <w:r>
        <w:t xml:space="preserve">“</w:t>
      </w:r>
      <w:r>
        <w:t xml:space="preserve">offer</w:t>
      </w:r>
      <w:r>
        <w:t xml:space="preserve">”</w:t>
      </w:r>
      <w:r>
        <w:t xml:space="preserve"> </w:t>
      </w:r>
      <w:r>
        <w:t xml:space="preserve">but a</w:t>
      </w:r>
      <w:r>
        <w:t xml:space="preserve"> </w:t>
      </w:r>
      <w:r>
        <w:t xml:space="preserve">“</w:t>
      </w:r>
      <w:r>
        <w:t xml:space="preserve">demand</w:t>
      </w:r>
      <w:r>
        <w:t xml:space="preserve">”</w:t>
      </w:r>
      <w:r>
        <w:t xml:space="preserve">: a direct gaze, addressed to the contemporary, obliging the viewer to accept the proposed position.</w:t>
      </w:r>
    </w:p>
    <w:p>
      <w:pPr>
        <w:pStyle w:val="BodyText"/>
      </w:pPr>
      <w:r>
        <w:t xml:space="preserve">The second level is the Russian voice within the thematic screens themselves. Here speak not only statesmen but also figures of cultural and military authority: Tolstoy (the letter to the editor of</w:t>
      </w:r>
      <w:r>
        <w:t xml:space="preserve"> </w:t>
      </w:r>
      <w:r>
        <w:rPr>
          <w:iCs/>
          <w:i/>
        </w:rPr>
        <w:t xml:space="preserve">Fraternal Aid</w:t>
      </w:r>
      <w:r>
        <w:t xml:space="preserve">), Bryusov (the compiler of</w:t>
      </w:r>
      <w:r>
        <w:t xml:space="preserve"> </w:t>
      </w:r>
      <w:r>
        <w:rPr>
          <w:iCs/>
          <w:i/>
        </w:rPr>
        <w:t xml:space="preserve">The Poetry of Armenia</w:t>
      </w:r>
      <w:r>
        <w:t xml:space="preserve">), Gorodetsky, the military poet Kulebyakin, the rank-and-file Russian soldiers of the Caucasian front. This is a structurally important voice: it closes the testimonial position. The archival photographs of the victims (Armin Wegner, Viktor Pichmann) themselves document the event, but they are visual, silent, and have no author in the frame. The voice that certifies what is seen is always external to the victim — and in the exhibition this voice is systematically distributed among Russian witnesses.</w:t>
      </w:r>
    </w:p>
    <w:p>
      <w:pPr>
        <w:pStyle w:val="BodyText"/>
      </w:pPr>
      <w:r>
        <w:t xml:space="preserve">This decision is deliberate. The curator confirms that</w:t>
      </w:r>
      <w:r>
        <w:t xml:space="preserve"> </w:t>
      </w:r>
      <w:r>
        <w:t xml:space="preserve">“</w:t>
      </w:r>
      <w:r>
        <w:t xml:space="preserve">the Russian–Armenian theme — Russian soldier-witnesses, Russian writers, contemporary recognition — was the original concept on which everything in the exhibition was built</w:t>
      </w:r>
      <w:r>
        <w:t xml:space="preserve">”</w:t>
      </w:r>
      <w:r>
        <w:t xml:space="preserve">. Moreover, in the interview he explains why precisely from this angle the project on the platform</w:t>
      </w:r>
      <w:r>
        <w:t xml:space="preserve"> </w:t>
      </w:r>
      <w:r>
        <w:t xml:space="preserve">“</w:t>
      </w:r>
      <w:r>
        <w:t xml:space="preserve">Russia — My History</w:t>
      </w:r>
      <w:r>
        <w:t xml:space="preserve">”</w:t>
      </w:r>
      <w:r>
        <w:t xml:space="preserve"> </w:t>
      </w:r>
      <w:r>
        <w:t xml:space="preserve">was possible at all:</w:t>
      </w:r>
      <w:r>
        <w:t xml:space="preserve"> </w:t>
      </w:r>
      <w:r>
        <w:t xml:space="preserve">“</w:t>
      </w:r>
      <w:r>
        <w:t xml:space="preserve">the historical park</w:t>
      </w:r>
      <w:r>
        <w:t xml:space="preserve"> </w:t>
      </w:r>
      <w:r>
        <w:t xml:space="preserve">‘</w:t>
      </w:r>
      <w:r>
        <w:t xml:space="preserve">Russia — My History</w:t>
      </w:r>
      <w:r>
        <w:t xml:space="preserve">’</w:t>
      </w:r>
      <w:r>
        <w:t xml:space="preserve"> </w:t>
      </w:r>
      <w:r>
        <w:t xml:space="preserve">is, after all, about the history of Russia, so we thought it would be great to tell about the participation of Russia, and about the participation of Russia precisely in the elimination of the consequences of the genocide</w:t>
      </w:r>
      <w:r>
        <w:t xml:space="preserve">”</w:t>
      </w:r>
      <w:r>
        <w:t xml:space="preserve">. In other words,</w:t>
      </w:r>
      <w:r>
        <w:t xml:space="preserve"> </w:t>
      </w:r>
      <w:r>
        <w:t xml:space="preserve">“</w:t>
      </w:r>
      <w:r>
        <w:t xml:space="preserve">Russianness</w:t>
      </w:r>
      <w:r>
        <w:t xml:space="preserve">”</w:t>
      </w:r>
      <w:r>
        <w:t xml:space="preserve"> </w:t>
      </w:r>
      <w:r>
        <w:t xml:space="preserve">is not an ideological load added to the content, but the condition on which the content received the right to be shown at all.</w:t>
      </w:r>
    </w:p>
    <w:p>
      <w:pPr>
        <w:pStyle w:val="BodyText"/>
      </w:pPr>
      <w:r>
        <w:t xml:space="preserve">Here a mechanism that A. Assmann describes as the asymmetry between institutions and the content of memory is exposed:</w:t>
      </w:r>
      <w:r>
        <w:t xml:space="preserve"> </w:t>
      </w:r>
      <w:r>
        <w:t xml:space="preserve">“</w:t>
      </w:r>
      <w:r>
        <w:t xml:space="preserve">institutions stand above, and the content of memory below, so memory has to rise up in order to enter the field of attention of the institutions, which in turn prepare cultural memory for subsequent assimilation</w:t>
      </w:r>
      <w:r>
        <w:t xml:space="preserve">”</w:t>
      </w:r>
      <w:r>
        <w:t xml:space="preserve"> </w:t>
      </w:r>
      <w:r>
        <w:t xml:space="preserve">(A. Assmann, 2011, p. 150). In our case this is literally visible: the memory of the Armenian genocide existed as material in the archive of the Yerevan museum-institute, and in order to enter the institutional field of the Russian multimedia park it had to be</w:t>
      </w:r>
      <w:r>
        <w:t xml:space="preserve"> </w:t>
      </w:r>
      <w:r>
        <w:t xml:space="preserve">“</w:t>
      </w:r>
      <w:r>
        <w:t xml:space="preserve">prepared</w:t>
      </w:r>
      <w:r>
        <w:t xml:space="preserve">”</w:t>
      </w:r>
      <w:r>
        <w:t xml:space="preserve"> </w:t>
      </w:r>
      <w:r>
        <w:t xml:space="preserve">through the inclusion of a Russian testimonial voice. This is the curatorial</w:t>
      </w:r>
      <w:r>
        <w:t xml:space="preserve"> </w:t>
      </w:r>
      <w:r>
        <w:t xml:space="preserve">“</w:t>
      </w:r>
      <w:r>
        <w:t xml:space="preserve">translation</w:t>
      </w:r>
      <w:r>
        <w:t xml:space="preserve">”</w:t>
      </w:r>
      <w:r>
        <w:t xml:space="preserve"> </w:t>
      </w:r>
      <w:r>
        <w:t xml:space="preserve">of cultural memory into political memory: the addition of a voice which, for the present institutional frame, is legitimating.</w:t>
      </w:r>
    </w:p>
    <w:p>
      <w:pPr>
        <w:pStyle w:val="BodyText"/>
      </w:pPr>
      <w:r>
        <w:t xml:space="preserve">The third level is the voice of the victims. And here the distribution of visibility is organised most subtly. The victims at the exhibition are present almost exclusively as images and not as speaking subjects. The archival photographs of Wegner and Pichmann — group shots of the dead, exhausted children, deportees — are silent testimonies of bodies. The MDA protocol systematically records the same interactive pattern: the victims are depicted in long or medium shot, without direct gaze (offer), without individualisation. The only exception is the frames with children, where a direct look into the camera is encountered; the observation protocol marks this as</w:t>
      </w:r>
      <w:r>
        <w:t xml:space="preserve"> </w:t>
      </w:r>
      <w:r>
        <w:t xml:space="preserve">“</w:t>
      </w:r>
      <w:r>
        <w:t xml:space="preserve">the most affectively charged moment of the entire exhibition: a child looks directly at the viewer through 100 years</w:t>
      </w:r>
      <w:r>
        <w:t xml:space="preserve">”</w:t>
      </w:r>
      <w:r>
        <w:t xml:space="preserve">.</w:t>
      </w:r>
    </w:p>
    <w:p>
      <w:pPr>
        <w:pStyle w:val="BodyText"/>
      </w:pPr>
      <w:r>
        <w:t xml:space="preserve">This asymmetry is not a defect of the exhibition but its structural characteristic. Silverstone warns that mediatization can</w:t>
      </w:r>
      <w:r>
        <w:t xml:space="preserve"> </w:t>
      </w:r>
      <w:r>
        <w:t xml:space="preserve">“</w:t>
      </w:r>
      <w:r>
        <w:t xml:space="preserve">both strengthen presence and reduce the subject to an image of a victim without voice</w:t>
      </w:r>
      <w:r>
        <w:t xml:space="preserve">”</w:t>
      </w:r>
      <w:r>
        <w:t xml:space="preserve"> </w:t>
      </w:r>
      <w:r>
        <w:t xml:space="preserve">(see § 1.4). In our case both variants are realised at once: the victims receive the highest visual density of presence (the emotional peak of the exposition — the screen</w:t>
      </w:r>
      <w:r>
        <w:t xml:space="preserve"> </w:t>
      </w:r>
      <w:r>
        <w:t xml:space="preserve">“</w:t>
      </w:r>
      <w:r>
        <w:t xml:space="preserve">Crime against Humanity and Civilisation</w:t>
      </w:r>
      <w:r>
        <w:t xml:space="preserve">”</w:t>
      </w:r>
      <w:r>
        <w:t xml:space="preserve"> </w:t>
      </w:r>
      <w:r>
        <w:t xml:space="preserve">— is dedicated to them alone), but they receive it precisely as bodies, and not as voices. Their</w:t>
      </w:r>
      <w:r>
        <w:t xml:space="preserve"> </w:t>
      </w:r>
      <w:r>
        <w:t xml:space="preserve">“</w:t>
      </w:r>
      <w:r>
        <w:t xml:space="preserve">voice</w:t>
      </w:r>
      <w:r>
        <w:t xml:space="preserve">”</w:t>
      </w:r>
      <w:r>
        <w:t xml:space="preserve"> </w:t>
      </w:r>
      <w:r>
        <w:t xml:space="preserve">is delegated — to Russian soldiers, Tolstoy, Bryusov, Lemkin. To use Erll’s distinction, this is an example of how the cultural memory of the victim is transmitted through</w:t>
      </w:r>
      <w:r>
        <w:t xml:space="preserve"> </w:t>
      </w:r>
      <w:r>
        <w:t xml:space="preserve">“</w:t>
      </w:r>
      <w:r>
        <w:t xml:space="preserve">medial externalisation</w:t>
      </w:r>
      <w:r>
        <w:t xml:space="preserve">”</w:t>
      </w:r>
      <w:r>
        <w:t xml:space="preserve"> </w:t>
      </w:r>
      <w:r>
        <w:t xml:space="preserve">in a form chosen not by the victim themselves but by mediators (Erll, 2008, pp. 12–13).</w:t>
      </w:r>
    </w:p>
    <w:p>
      <w:pPr>
        <w:pStyle w:val="BodyText"/>
      </w:pPr>
      <w:r>
        <w:t xml:space="preserve">The fourth — separate — voice belongs exclusively to Armenian subjects of action: the heroes of the Van self-defence (Aram Manukian), the Nakhichevan Armenian community, the figures of the diaspora. Their function in the narrative is fundamentally different from that of the victims: they show Armenians not as objects of tragedy but as active participants in their own history. The thematic block</w:t>
      </w:r>
      <w:r>
        <w:t xml:space="preserve"> </w:t>
      </w:r>
      <w:r>
        <w:t xml:space="preserve">“</w:t>
      </w:r>
      <w:r>
        <w:t xml:space="preserve">The Self-Defence of the Armenians of the City of Van in 1915</w:t>
      </w:r>
      <w:r>
        <w:t xml:space="preserve">”</w:t>
      </w:r>
      <w:r>
        <w:t xml:space="preserve"> </w:t>
      </w:r>
      <w:r>
        <w:t xml:space="preserve">is the</w:t>
      </w:r>
      <w:r>
        <w:t xml:space="preserve"> </w:t>
      </w:r>
      <w:r>
        <w:t xml:space="preserve">“</w:t>
      </w:r>
      <w:r>
        <w:t xml:space="preserve">loudest</w:t>
      </w:r>
      <w:r>
        <w:t xml:space="preserve">”</w:t>
      </w:r>
      <w:r>
        <w:t xml:space="preserve"> </w:t>
      </w:r>
      <w:r>
        <w:t xml:space="preserve">screen of the entire exhibition in terms of typography: a gigantic inscription in red against white across half of the surface. The MDA protocol records that</w:t>
      </w:r>
      <w:r>
        <w:t xml:space="preserve"> </w:t>
      </w:r>
      <w:r>
        <w:t xml:space="preserve">“</w:t>
      </w:r>
      <w:r>
        <w:t xml:space="preserve">the resistance literally</w:t>
      </w:r>
      <w:r>
        <w:t xml:space="preserve"> </w:t>
      </w:r>
      <w:r>
        <w:t xml:space="preserve">‘</w:t>
      </w:r>
      <w:r>
        <w:t xml:space="preserve">shouts</w:t>
      </w:r>
      <w:r>
        <w:t xml:space="preserve">’</w:t>
      </w:r>
      <w:r>
        <w:t xml:space="preserve">”</w:t>
      </w:r>
      <w:r>
        <w:t xml:space="preserve">. Here an important compensation is visible: against the general logic in which the Armenian voice is delegated to a Russian witness, there is one block where Armenian subjecthood is presented in its maximally active, heroic form. This does not contradict the overall composition — it complements it, because the block on self-defence is placed between the photographs of the victims and the section on recognition, and thereby inscribes the</w:t>
      </w:r>
      <w:r>
        <w:t xml:space="preserve"> </w:t>
      </w:r>
      <w:r>
        <w:t xml:space="preserve">“</w:t>
      </w:r>
      <w:r>
        <w:t xml:space="preserve">acting Armenian</w:t>
      </w:r>
      <w:r>
        <w:t xml:space="preserve">”</w:t>
      </w:r>
      <w:r>
        <w:t xml:space="preserve"> </w:t>
      </w:r>
      <w:r>
        <w:t xml:space="preserve">into the trajectory from tragedy to legal victory.</w:t>
      </w:r>
    </w:p>
    <w:p>
      <w:pPr>
        <w:pStyle w:val="BodyText"/>
      </w:pPr>
      <w:r>
        <w:t xml:space="preserve">Finally, there are voices that are absent from the exhibition. Among them is the voice of the Turkish and Azerbaijani narratives (which is explicable, given the character of the case), but also the voice of the Armenian diaspora in other countries, the voice of contemporary Armenian historians and writers beyond the already mentioned figures of the late 19th and early 20th centuries, the voice of international human rights organisations, the voice of current memory studies. This is not a criticism — the exhibition is not obliged to be an encyclopaedia — but in the logic of the mediapolis it is important to record that absent voices are not</w:t>
      </w:r>
      <w:r>
        <w:t xml:space="preserve"> </w:t>
      </w:r>
      <w:r>
        <w:t xml:space="preserve">“</w:t>
      </w:r>
      <w:r>
        <w:t xml:space="preserve">background</w:t>
      </w:r>
      <w:r>
        <w:t xml:space="preserve">”</w:t>
      </w:r>
      <w:r>
        <w:t xml:space="preserve"> </w:t>
      </w:r>
      <w:r>
        <w:t xml:space="preserve">but part of the construction of memory. Those who speak and those who were not invited to speak together form a single structure.</w:t>
      </w:r>
    </w:p>
    <w:p>
      <w:pPr>
        <w:pStyle w:val="BodyText"/>
      </w:pPr>
      <w:r>
        <w:t xml:space="preserve">In sum, the system of voices at the exhibition is organised as a four-level hierarchy: (1) legitimating international authorities (the banners), (2) Russian witnesses as the certifying instance (Tolstoy, Bryusov, the soldiers, the diplomats), (3) silent Armenian victims (photographic documentation), (4) active Armenian subjects in localised episodes (the Van self-defence, the Nakhichevan community). This structure does not distribute visibility by chance: it positions the speakers in such a way that the resulting version of memory receives simultaneously international, Russian, humanitarian, and properly Armenian support. Each level covers a particular weakness of the previous one, and together they create a construction that is difficult to contest from any single position.</w:t>
      </w:r>
    </w:p>
    <w:bookmarkEnd w:id="28"/>
    <w:bookmarkStart w:id="29" w:name="X9b09c8627d624f631e670a9101f1af0edea888a"/>
    <w:p>
      <w:pPr>
        <w:pStyle w:val="Heading2"/>
      </w:pPr>
      <w:r>
        <w:t xml:space="preserve">3.5 Affect and Symbol: Emotional Strategies of the Politics of Recognition</w:t>
      </w:r>
    </w:p>
    <w:p>
      <w:pPr>
        <w:pStyle w:val="FirstParagraph"/>
      </w:pPr>
      <w:r>
        <w:t xml:space="preserve">In parallel with the distribution of voices, another, more subtle layer of curatorial work operates at the exhibition — the affective layer. It includes the choice of colour, symbolism, typography, and the fragments on which attention is held. In Erll’s terminology this is the level at which</w:t>
      </w:r>
      <w:r>
        <w:t xml:space="preserve"> </w:t>
      </w:r>
      <w:r>
        <w:t xml:space="preserve">“</w:t>
      </w:r>
      <w:r>
        <w:t xml:space="preserve">the past acquires a particular quality and a particular meaning in the present</w:t>
      </w:r>
      <w:r>
        <w:t xml:space="preserve">”</w:t>
      </w:r>
      <w:r>
        <w:t xml:space="preserve"> </w:t>
      </w:r>
      <w:r>
        <w:t xml:space="preserve">(Erll, 2008, p. 14): not what exactly happens in the image, but with what emotional intonation it is placed there.</w:t>
      </w:r>
    </w:p>
    <w:p>
      <w:pPr>
        <w:pStyle w:val="BodyText"/>
      </w:pPr>
      <w:r>
        <w:t xml:space="preserve">The most systematic affective technique is the work with colour. The exhibition is built predominantly on black-and-white archival material. Against this background three colour accents stand out, each performing its own function. The first is red, which is overlaid on the black-and-white engravings in the block</w:t>
      </w:r>
      <w:r>
        <w:t xml:space="preserve"> </w:t>
      </w:r>
      <w:r>
        <w:t xml:space="preserve">“</w:t>
      </w:r>
      <w:r>
        <w:t xml:space="preserve">The Massacre of the Armenians in the Ottoman Empire 1894–1896</w:t>
      </w:r>
      <w:r>
        <w:t xml:space="preserve">”</w:t>
      </w:r>
      <w:r>
        <w:t xml:space="preserve">. The observation protocol records this as follows:</w:t>
      </w:r>
      <w:r>
        <w:t xml:space="preserve"> </w:t>
      </w:r>
      <w:r>
        <w:t xml:space="preserve">“</w:t>
      </w:r>
      <w:r>
        <w:t xml:space="preserve">the red overlay on the engravings is the strongest visual dominant. The red literally</w:t>
      </w:r>
      <w:r>
        <w:t xml:space="preserve"> </w:t>
      </w:r>
      <w:r>
        <w:t xml:space="preserve">‘</w:t>
      </w:r>
      <w:r>
        <w:t xml:space="preserve">colours</w:t>
      </w:r>
      <w:r>
        <w:t xml:space="preserve">’</w:t>
      </w:r>
      <w:r>
        <w:t xml:space="preserve"> </w:t>
      </w:r>
      <w:r>
        <w:t xml:space="preserve">the black-and-white history in the colour of blood</w:t>
      </w:r>
      <w:r>
        <w:t xml:space="preserve">”</w:t>
      </w:r>
      <w:r>
        <w:t xml:space="preserve">. Here Kress and van Leeuwen’s distinction between low and high modality is clearly visible (Kress &amp; van Leeuwen, 2006, p. 153): a 19th-century engraving has medium modality — it is an</w:t>
      </w:r>
      <w:r>
        <w:t xml:space="preserve"> </w:t>
      </w:r>
      <w:r>
        <w:t xml:space="preserve">“</w:t>
      </w:r>
      <w:r>
        <w:t xml:space="preserve">illustration</w:t>
      </w:r>
      <w:r>
        <w:t xml:space="preserve">”</w:t>
      </w:r>
      <w:r>
        <w:t xml:space="preserve">, not</w:t>
      </w:r>
      <w:r>
        <w:t xml:space="preserve"> </w:t>
      </w:r>
      <w:r>
        <w:t xml:space="preserve">“</w:t>
      </w:r>
      <w:r>
        <w:t xml:space="preserve">evidence</w:t>
      </w:r>
      <w:r>
        <w:t xml:space="preserve">”</w:t>
      </w:r>
      <w:r>
        <w:t xml:space="preserve">; the red overlay adds to it a third semiotic layer, which does not clarify the factual side but marks affect. This is not documentation, it is an interpretive gesture: the curator does not simply show the engraving, they colour it, setting the viewer’s attitude in advance.</w:t>
      </w:r>
    </w:p>
    <w:p>
      <w:pPr>
        <w:pStyle w:val="BodyText"/>
      </w:pPr>
      <w:r>
        <w:t xml:space="preserve">The second colour accent is red in the typography of dates and headings. On most screens the large year markers —</w:t>
      </w:r>
      <w:r>
        <w:t xml:space="preserve"> </w:t>
      </w:r>
      <w:r>
        <w:t xml:space="preserve">“</w:t>
      </w:r>
      <w:r>
        <w:t xml:space="preserve">1877–1878</w:t>
      </w:r>
      <w:r>
        <w:t xml:space="preserve">”</w:t>
      </w:r>
      <w:r>
        <w:t xml:space="preserve">,</w:t>
      </w:r>
      <w:r>
        <w:t xml:space="preserve"> </w:t>
      </w:r>
      <w:r>
        <w:t xml:space="preserve">“</w:t>
      </w:r>
      <w:r>
        <w:t xml:space="preserve">1894–1896</w:t>
      </w:r>
      <w:r>
        <w:t xml:space="preserve">”</w:t>
      </w:r>
      <w:r>
        <w:t xml:space="preserve">,</w:t>
      </w:r>
      <w:r>
        <w:t xml:space="preserve"> </w:t>
      </w:r>
      <w:r>
        <w:t xml:space="preserve">“</w:t>
      </w:r>
      <w:r>
        <w:t xml:space="preserve">1914–1916</w:t>
      </w:r>
      <w:r>
        <w:t xml:space="preserve">”</w:t>
      </w:r>
      <w:r>
        <w:t xml:space="preserve">,</w:t>
      </w:r>
      <w:r>
        <w:t xml:space="preserve"> </w:t>
      </w:r>
      <w:r>
        <w:t xml:space="preserve">“</w:t>
      </w:r>
      <w:r>
        <w:t xml:space="preserve">1915</w:t>
      </w:r>
      <w:r>
        <w:t xml:space="preserve">”</w:t>
      </w:r>
      <w:r>
        <w:t xml:space="preserve">,</w:t>
      </w:r>
      <w:r>
        <w:t xml:space="preserve"> </w:t>
      </w:r>
      <w:r>
        <w:t xml:space="preserve">“</w:t>
      </w:r>
      <w:r>
        <w:t xml:space="preserve">1897</w:t>
      </w:r>
      <w:r>
        <w:t xml:space="preserve">”</w:t>
      </w:r>
      <w:r>
        <w:t xml:space="preserve">,</w:t>
      </w:r>
      <w:r>
        <w:t xml:space="preserve"> </w:t>
      </w:r>
      <w:r>
        <w:t xml:space="preserve">“</w:t>
      </w:r>
      <w:r>
        <w:t xml:space="preserve">1912/2008</w:t>
      </w:r>
      <w:r>
        <w:t xml:space="preserve">”</w:t>
      </w:r>
      <w:r>
        <w:t xml:space="preserve"> </w:t>
      </w:r>
      <w:r>
        <w:t xml:space="preserve">— are given in red, usually in the maximally large typeface. Chronology in this sense is not a neutral navigational grid but affective marking, emphasising every nodal event. This is an example of what Erll calls</w:t>
      </w:r>
      <w:r>
        <w:t xml:space="preserve"> </w:t>
      </w:r>
      <w:r>
        <w:t xml:space="preserve">“</w:t>
      </w:r>
      <w:r>
        <w:t xml:space="preserve">mnemonic symbols</w:t>
      </w:r>
      <w:r>
        <w:t xml:space="preserve">”</w:t>
      </w:r>
      <w:r>
        <w:t xml:space="preserve">: the date in itself does not refer to content; it marks the very fact of the existence of remembrance of that content (Rigney, 2004, p. 387).</w:t>
      </w:r>
    </w:p>
    <w:p>
      <w:pPr>
        <w:pStyle w:val="BodyText"/>
      </w:pPr>
      <w:r>
        <w:t xml:space="preserve">The third colour accent operates differently and pertains to the very end of the route. The large colour photograph of Putin at the Tsitsernakaberd memorial in Yerevan is the only large-format colour image in the entire exposition. The MDA protocol records:</w:t>
      </w:r>
      <w:r>
        <w:t xml:space="preserve"> </w:t>
      </w:r>
      <w:r>
        <w:t xml:space="preserve">“</w:t>
      </w:r>
      <w:r>
        <w:t xml:space="preserve">the contrast with the black-and-white archive is the maximum salience of contemporary recognition</w:t>
      </w:r>
      <w:r>
        <w:t xml:space="preserve">”</w:t>
      </w:r>
      <w:r>
        <w:t xml:space="preserve">. The curator in the interview explains this decision as deliberate:</w:t>
      </w:r>
      <w:r>
        <w:t xml:space="preserve"> </w:t>
      </w:r>
      <w:r>
        <w:t xml:space="preserve">“</w:t>
      </w:r>
      <w:r>
        <w:t xml:space="preserve">the photograph of Vladimir Putin was used on the slide about the recognition of the Armenian genocide by Russia</w:t>
      </w:r>
      <w:r>
        <w:t xml:space="preserve">”</w:t>
      </w:r>
      <w:r>
        <w:t xml:space="preserve">. Analytically, what works here is not the fact of colour as such, but its placement in the finale. Black-and-white is the</w:t>
      </w:r>
      <w:r>
        <w:t xml:space="preserve"> </w:t>
      </w:r>
      <w:r>
        <w:t xml:space="preserve">“</w:t>
      </w:r>
      <w:r>
        <w:t xml:space="preserve">past</w:t>
      </w:r>
      <w:r>
        <w:t xml:space="preserve">”</w:t>
      </w:r>
      <w:r>
        <w:t xml:space="preserve">, colour is the</w:t>
      </w:r>
      <w:r>
        <w:t xml:space="preserve"> </w:t>
      </w:r>
      <w:r>
        <w:t xml:space="preserve">“</w:t>
      </w:r>
      <w:r>
        <w:t xml:space="preserve">present</w:t>
      </w:r>
      <w:r>
        <w:t xml:space="preserve">”</w:t>
      </w:r>
      <w:r>
        <w:t xml:space="preserve">. The transition from black-and-white documentation to a colour photograph of the head of state at the memorial visually closes the narrative arc: the story is closed not by the catastrophe but by its current political recognition. This is, in pure form, what Sodaro describes as the fourth, undeclared function of the memorial museum —</w:t>
      </w:r>
      <w:r>
        <w:t xml:space="preserve"> </w:t>
      </w:r>
      <w:r>
        <w:t xml:space="preserve">“</w:t>
      </w:r>
      <w:r>
        <w:t xml:space="preserve">the legitimation of the current political regime</w:t>
      </w:r>
      <w:r>
        <w:t xml:space="preserve">”</w:t>
      </w:r>
      <w:r>
        <w:t xml:space="preserve"> </w:t>
      </w:r>
      <w:r>
        <w:t xml:space="preserve">(Sodaro, 2018, p. 180). The colour photograph of the head of state in the finale is not only a memorial gesture, it is a political act of building</w:t>
      </w:r>
      <w:r>
        <w:t xml:space="preserve"> </w:t>
      </w:r>
      <w:r>
        <w:t xml:space="preserve">“</w:t>
      </w:r>
      <w:r>
        <w:t xml:space="preserve">the recognising Russia</w:t>
      </w:r>
      <w:r>
        <w:t xml:space="preserve">”</w:t>
      </w:r>
      <w:r>
        <w:t xml:space="preserve"> </w:t>
      </w:r>
      <w:r>
        <w:t xml:space="preserve">into the narrative of memory.</w:t>
      </w:r>
    </w:p>
    <w:p>
      <w:pPr>
        <w:pStyle w:val="BodyText"/>
      </w:pPr>
      <w:r>
        <w:t xml:space="preserve">The second systematic technique is the symbolism. The curator describes this as the decision of</w:t>
      </w:r>
      <w:r>
        <w:t xml:space="preserve"> </w:t>
      </w:r>
      <w:r>
        <w:t xml:space="preserve">“</w:t>
      </w:r>
      <w:r>
        <w:t xml:space="preserve">our team</w:t>
      </w:r>
      <w:r>
        <w:t xml:space="preserve">”</w:t>
      </w:r>
      <w:r>
        <w:t xml:space="preserve">:</w:t>
      </w:r>
      <w:r>
        <w:t xml:space="preserve"> </w:t>
      </w:r>
      <w:r>
        <w:t xml:space="preserve">“</w:t>
      </w:r>
      <w:r>
        <w:t xml:space="preserve">on some slides there is a forget-me-not, where the striving for life is, where the blood is, this barbed wire — the thorn crown</w:t>
      </w:r>
      <w:r>
        <w:t xml:space="preserve">”</w:t>
      </w:r>
      <w:r>
        <w:t xml:space="preserve">. The observation protocol records a separate element — the transitional screen between themes, on which one of the two symbols and the title of the next section is shown. These transitional screens have a double function. Technically they set the rhythm (see § 3.3). Semantically they work as a</w:t>
      </w:r>
      <w:r>
        <w:t xml:space="preserve"> </w:t>
      </w:r>
      <w:r>
        <w:t xml:space="preserve">“</w:t>
      </w:r>
      <w:r>
        <w:t xml:space="preserve">zero point</w:t>
      </w:r>
      <w:r>
        <w:t xml:space="preserve">”</w:t>
      </w:r>
      <w:r>
        <w:t xml:space="preserve"> </w:t>
      </w:r>
      <w:r>
        <w:t xml:space="preserve">between narrative blocks: a dark background, an isolated symbol, a minimum of text. The forget-me-not is the official international symbol of the Armenian genocide (placed in the logo of the centennial anniversary in 2015); the thorn crown is a symbol that appeals to Christian martyrdom.</w:t>
      </w:r>
    </w:p>
    <w:p>
      <w:pPr>
        <w:pStyle w:val="BodyText"/>
      </w:pPr>
      <w:r>
        <w:t xml:space="preserve">Here an interesting coupling of affective and narrative registers is visible. The forget-me-not works within the secular memorial tradition and is linked to the contemporary act of recognition. The thorn crown works within the religious tradition and links the Armenian genocide to Christian suffering. The choice of both symbols is not an aesthetic decision but a way of addressing two different audiences: those who read the exhibition in a secular memorial key and those who perceive it as a story of martyrdom. The curator notes that among the guests of the exhibition were</w:t>
      </w:r>
      <w:r>
        <w:t xml:space="preserve"> </w:t>
      </w:r>
      <w:r>
        <w:t xml:space="preserve">“</w:t>
      </w:r>
      <w:r>
        <w:t xml:space="preserve">a delegation from the Krasnodar region… the guys from Anapa… the mayor of Yerevan</w:t>
      </w:r>
      <w:r>
        <w:t xml:space="preserve">”</w:t>
      </w:r>
      <w:r>
        <w:t xml:space="preserve"> </w:t>
      </w:r>
      <w:r>
        <w:t xml:space="preserve">— in other words, a heterogeneous audience. The double symbolism ensures resonance with its different segments.</w:t>
      </w:r>
    </w:p>
    <w:p>
      <w:pPr>
        <w:pStyle w:val="BodyText"/>
      </w:pPr>
      <w:r>
        <w:t xml:space="preserve">The third technique is the</w:t>
      </w:r>
      <w:r>
        <w:t xml:space="preserve"> </w:t>
      </w:r>
      <w:r>
        <w:t xml:space="preserve">“</w:t>
      </w:r>
      <w:r>
        <w:t xml:space="preserve">before/after</w:t>
      </w:r>
      <w:r>
        <w:t xml:space="preserve">”</w:t>
      </w:r>
      <w:r>
        <w:t xml:space="preserve"> </w:t>
      </w:r>
      <w:r>
        <w:t xml:space="preserve">structure. The thematic block</w:t>
      </w:r>
      <w:r>
        <w:t xml:space="preserve"> </w:t>
      </w:r>
      <w:r>
        <w:t xml:space="preserve">“</w:t>
      </w:r>
      <w:r>
        <w:t xml:space="preserve">The Destruction of the Cultural Heritage of the Western Armenians</w:t>
      </w:r>
      <w:r>
        <w:t xml:space="preserve">”</w:t>
      </w:r>
      <w:r>
        <w:t xml:space="preserve"> </w:t>
      </w:r>
      <w:r>
        <w:t xml:space="preserve">is built on the juxtaposition of photographs of Armenian churches and monasteries at two points in time:</w:t>
      </w:r>
      <w:r>
        <w:t xml:space="preserve"> </w:t>
      </w:r>
      <w:r>
        <w:t xml:space="preserve">“</w:t>
      </w:r>
      <w:r>
        <w:t xml:space="preserve">before</w:t>
      </w:r>
      <w:r>
        <w:t xml:space="preserve">”</w:t>
      </w:r>
      <w:r>
        <w:t xml:space="preserve"> </w:t>
      </w:r>
      <w:r>
        <w:t xml:space="preserve">(1912–1915, the buildings intact) and</w:t>
      </w:r>
      <w:r>
        <w:t xml:space="preserve"> </w:t>
      </w:r>
      <w:r>
        <w:t xml:space="preserve">“</w:t>
      </w:r>
      <w:r>
        <w:t xml:space="preserve">after</w:t>
      </w:r>
      <w:r>
        <w:t xml:space="preserve">”</w:t>
      </w:r>
      <w:r>
        <w:t xml:space="preserve"> </w:t>
      </w:r>
      <w:r>
        <w:t xml:space="preserve">(1972–2008, ruins). Here there is neither a direct depiction of violence nor scenes of deportation; the viewer sees only the rupture. Analytically this is a rare example of how</w:t>
      </w:r>
      <w:r>
        <w:t xml:space="preserve"> </w:t>
      </w:r>
      <w:r>
        <w:t xml:space="preserve">“</w:t>
      </w:r>
      <w:r>
        <w:t xml:space="preserve">cultural genocide</w:t>
      </w:r>
      <w:r>
        <w:t xml:space="preserve">”</w:t>
      </w:r>
      <w:r>
        <w:t xml:space="preserve"> </w:t>
      </w:r>
      <w:r>
        <w:t xml:space="preserve">(in Lemkin’s definition, cited on the screen itself) can be shown without scenes of killing. In Kress and van Leeuwen’s terminology this works as a</w:t>
      </w:r>
      <w:r>
        <w:t xml:space="preserve"> </w:t>
      </w:r>
      <w:r>
        <w:t xml:space="preserve">“</w:t>
      </w:r>
      <w:r>
        <w:t xml:space="preserve">narrative produced through montage</w:t>
      </w:r>
      <w:r>
        <w:t xml:space="preserve">”</w:t>
      </w:r>
      <w:r>
        <w:t xml:space="preserve"> </w:t>
      </w:r>
      <w:r>
        <w:t xml:space="preserve">— different frames in a compositional pair produce a meaning that neither of them carries alone (Kress &amp; van Leeuwen, 2001, p. 105). This is perhaps the most</w:t>
      </w:r>
      <w:r>
        <w:t xml:space="preserve"> </w:t>
      </w:r>
      <w:r>
        <w:t xml:space="preserve">“</w:t>
      </w:r>
      <w:r>
        <w:t xml:space="preserve">subtle</w:t>
      </w:r>
      <w:r>
        <w:t xml:space="preserve">”</w:t>
      </w:r>
      <w:r>
        <w:t xml:space="preserve"> </w:t>
      </w:r>
      <w:r>
        <w:t xml:space="preserve">affective strategy of the exhibition: destruction is presented here not as an event but as a result stopped in time, and the effect is achieved through the viewer’s effort of reconstructing the</w:t>
      </w:r>
      <w:r>
        <w:t xml:space="preserve"> </w:t>
      </w:r>
      <w:r>
        <w:t xml:space="preserve">“</w:t>
      </w:r>
      <w:r>
        <w:t xml:space="preserve">interval</w:t>
      </w:r>
      <w:r>
        <w:t xml:space="preserve">”</w:t>
      </w:r>
      <w:r>
        <w:t xml:space="preserve">.</w:t>
      </w:r>
    </w:p>
    <w:p>
      <w:pPr>
        <w:pStyle w:val="BodyText"/>
      </w:pPr>
      <w:r>
        <w:t xml:space="preserve">Finally, a special affective technique is the focus on children. From the general archival corpus the curator and the team select particular types of frame: group portraits of orphans in the block</w:t>
      </w:r>
      <w:r>
        <w:t xml:space="preserve"> </w:t>
      </w:r>
      <w:r>
        <w:t xml:space="preserve">“</w:t>
      </w:r>
      <w:r>
        <w:t xml:space="preserve">Fraternal Aid</w:t>
      </w:r>
      <w:r>
        <w:t xml:space="preserve">”</w:t>
      </w:r>
      <w:r>
        <w:t xml:space="preserve"> </w:t>
      </w:r>
      <w:r>
        <w:t xml:space="preserve">(1897), photographs of children in the concentration settlements of Ras al-Ayn and Deir ez-Zor (Wegner, 1915), child portraits of refugees at Mount Ararat (1915). The observation protocol notes that in several of these frames the child’s direct gaze into the camera is encountered — that very</w:t>
      </w:r>
      <w:r>
        <w:t xml:space="preserve"> </w:t>
      </w:r>
      <w:r>
        <w:t xml:space="preserve">“</w:t>
      </w:r>
      <w:r>
        <w:t xml:space="preserve">demand</w:t>
      </w:r>
      <w:r>
        <w:t xml:space="preserve">”</w:t>
      </w:r>
      <w:r>
        <w:t xml:space="preserve"> </w:t>
      </w:r>
      <w:r>
        <w:t xml:space="preserve">in Kress and van Leeuwen’s sense. This is a deliberate choice: the curator mentions in the interview that</w:t>
      </w:r>
      <w:r>
        <w:t xml:space="preserve"> </w:t>
      </w:r>
      <w:r>
        <w:t xml:space="preserve">“</w:t>
      </w:r>
      <w:r>
        <w:t xml:space="preserve">the restrictions were only on certain frames where the bestial killings of Armenians were depicted, since the exhibition envisages visits not only by adults but also by children/teenagers</w:t>
      </w:r>
      <w:r>
        <w:t xml:space="preserve">”</w:t>
      </w:r>
      <w:r>
        <w:t xml:space="preserve">. In other words, the direct frame of violence is removed from the exposition, and its place is taken by frames with child victims — a format that retains the maximum possible affective load while preserving ethical acceptability.</w:t>
      </w:r>
    </w:p>
    <w:p>
      <w:pPr>
        <w:pStyle w:val="BodyText"/>
      </w:pPr>
      <w:r>
        <w:t xml:space="preserve">This decision is well described through Williams’s concept of the limited</w:t>
      </w:r>
      <w:r>
        <w:t xml:space="preserve"> </w:t>
      </w:r>
      <w:r>
        <w:t xml:space="preserve">“</w:t>
      </w:r>
      <w:r>
        <w:t xml:space="preserve">evidentiary corpus</w:t>
      </w:r>
      <w:r>
        <w:t xml:space="preserve">”</w:t>
      </w:r>
      <w:r>
        <w:t xml:space="preserve"> </w:t>
      </w:r>
      <w:r>
        <w:t xml:space="preserve">of memorial museums:</w:t>
      </w:r>
      <w:r>
        <w:t xml:space="preserve"> </w:t>
      </w:r>
      <w:r>
        <w:t xml:space="preserve">“</w:t>
      </w:r>
      <w:r>
        <w:t xml:space="preserve">organised violence destroys the traces of its existence… every surviving object carries a special evidentiary weight</w:t>
      </w:r>
      <w:r>
        <w:t xml:space="preserve">”</w:t>
      </w:r>
      <w:r>
        <w:t xml:space="preserve"> </w:t>
      </w:r>
      <w:r>
        <w:t xml:space="preserve">(Williams, 2007, p. 25). The curators work with the material that has survived and at the same time with the constraints of what can be shown to the public, including schoolchildren. The choice of child images is a compromise between these two requirements, and this compromise itself carries meaning: the memory of the genocide on the exhibition is presented not through a shocking visualisation of killings, but through the faces of those who could not be saved in time.</w:t>
      </w:r>
    </w:p>
    <w:p>
      <w:pPr>
        <w:pStyle w:val="BodyText"/>
      </w:pPr>
      <w:r>
        <w:t xml:space="preserve">In sum, the affective strategies work towards the same task as the narrative architecture and the distribution of voices: to make the history of the genocide</w:t>
      </w:r>
      <w:r>
        <w:t xml:space="preserve"> </w:t>
      </w:r>
      <w:r>
        <w:t xml:space="preserve">“</w:t>
      </w:r>
      <w:r>
        <w:t xml:space="preserve">readable</w:t>
      </w:r>
      <w:r>
        <w:t xml:space="preserve">”</w:t>
      </w:r>
      <w:r>
        <w:t xml:space="preserve"> </w:t>
      </w:r>
      <w:r>
        <w:t xml:space="preserve">within the current political frame. The red colours the past, the colour photograph in the finale closes the present, the symbolism links secular and religious registers, the</w:t>
      </w:r>
      <w:r>
        <w:t xml:space="preserve"> </w:t>
      </w:r>
      <w:r>
        <w:t xml:space="preserve">“</w:t>
      </w:r>
      <w:r>
        <w:t xml:space="preserve">before/after</w:t>
      </w:r>
      <w:r>
        <w:t xml:space="preserve">”</w:t>
      </w:r>
      <w:r>
        <w:t xml:space="preserve"> </w:t>
      </w:r>
      <w:r>
        <w:t xml:space="preserve">montage proves destruction without showing the scene of destruction, and the faces of children hold affect at the edge of ethical acceptability. All these techniques together constitute what Sodaro calls the work of the memorial museum at several levels at once:</w:t>
      </w:r>
      <w:r>
        <w:t xml:space="preserve"> </w:t>
      </w:r>
      <w:r>
        <w:t xml:space="preserve">“</w:t>
      </w:r>
      <w:r>
        <w:t xml:space="preserve">the preservation of the truth about the past, the memorial recognition of the victims, moral education</w:t>
      </w:r>
      <w:r>
        <w:t xml:space="preserve">”</w:t>
      </w:r>
      <w:r>
        <w:t xml:space="preserve"> </w:t>
      </w:r>
      <w:r>
        <w:t xml:space="preserve">— and, tacitly,</w:t>
      </w:r>
      <w:r>
        <w:t xml:space="preserve"> </w:t>
      </w:r>
      <w:r>
        <w:t xml:space="preserve">“</w:t>
      </w:r>
      <w:r>
        <w:t xml:space="preserve">the legitimation of the current political regime</w:t>
      </w:r>
      <w:r>
        <w:t xml:space="preserve">”</w:t>
      </w:r>
      <w:r>
        <w:t xml:space="preserve"> </w:t>
      </w:r>
      <w:r>
        <w:t xml:space="preserve">(Sodaro, 2018, p. 180).</w:t>
      </w:r>
    </w:p>
    <w:bookmarkEnd w:id="29"/>
    <w:bookmarkStart w:id="30" w:name="Xd814f418d07be3af7d85e553be14359a39f6367"/>
    <w:p>
      <w:pPr>
        <w:pStyle w:val="Heading2"/>
      </w:pPr>
      <w:r>
        <w:t xml:space="preserve">3.6 Curatorial Compromises: The Constraints of the Venue and the Limits of Visitor Participation</w:t>
      </w:r>
    </w:p>
    <w:p>
      <w:pPr>
        <w:pStyle w:val="FirstParagraph"/>
      </w:pPr>
      <w:r>
        <w:t xml:space="preserve">Any curatorial project is a series of compromises between intention, available material, technology, and institutional context. The third item of the research framework —</w:t>
      </w:r>
      <w:r>
        <w:t xml:space="preserve"> </w:t>
      </w:r>
      <w:r>
        <w:t xml:space="preserve">“</w:t>
      </w:r>
      <w:r>
        <w:t xml:space="preserve">what tensions and trade-offs the curators navigated</w:t>
      </w:r>
      <w:r>
        <w:t xml:space="preserve">”</w:t>
      </w:r>
      <w:r>
        <w:t xml:space="preserve"> </w:t>
      </w:r>
      <w:r>
        <w:t xml:space="preserve">— is examined separately, because the compromises do not reduce to particular decisions but run through the entire exposition. On the basis of a juxtaposition of observation and interview, four main tensions can be identified.</w:t>
      </w:r>
    </w:p>
    <w:p>
      <w:pPr>
        <w:pStyle w:val="BodyText"/>
      </w:pPr>
      <w:r>
        <w:t xml:space="preserve">The first tension is between the</w:t>
      </w:r>
      <w:r>
        <w:t xml:space="preserve"> </w:t>
      </w:r>
      <w:r>
        <w:t xml:space="preserve">“</w:t>
      </w:r>
      <w:r>
        <w:t xml:space="preserve">Russian</w:t>
      </w:r>
      <w:r>
        <w:t xml:space="preserve">”</w:t>
      </w:r>
      <w:r>
        <w:t xml:space="preserve"> </w:t>
      </w:r>
      <w:r>
        <w:t xml:space="preserve">concept and the density of the Armenian material. Originally, as the curator explains, the exhibition was conceived as a story</w:t>
      </w:r>
      <w:r>
        <w:t xml:space="preserve"> </w:t>
      </w:r>
      <w:r>
        <w:t xml:space="preserve">“</w:t>
      </w:r>
      <w:r>
        <w:t xml:space="preserve">around Russia’s participation</w:t>
      </w:r>
      <w:r>
        <w:t xml:space="preserve">”</w:t>
      </w:r>
      <w:r>
        <w:t xml:space="preserve">, primarily through the plot of the Tatianinsky committee and the aid to orphans. But</w:t>
      </w:r>
      <w:r>
        <w:t xml:space="preserve"> </w:t>
      </w:r>
      <w:r>
        <w:t xml:space="preserve">“</w:t>
      </w:r>
      <w:r>
        <w:t xml:space="preserve">when we began to unfold the theme, we realised that it did not work around Russia… we tried to stay around Russia’s participation, in order not to deviate conceptually from what the historical park does</w:t>
      </w:r>
      <w:r>
        <w:t xml:space="preserve">”</w:t>
      </w:r>
      <w:r>
        <w:t xml:space="preserve">. As a result — a compromise:</w:t>
      </w:r>
      <w:r>
        <w:t xml:space="preserve"> </w:t>
      </w:r>
      <w:r>
        <w:t xml:space="preserve">“</w:t>
      </w:r>
      <w:r>
        <w:t xml:space="preserve">we realised that not everything could be done that way, and we decided that we would tell it chronologically</w:t>
      </w:r>
      <w:r>
        <w:t xml:space="preserve">”</w:t>
      </w:r>
      <w:r>
        <w:t xml:space="preserve">. This episode is analytically very valuable. It shows that the chronological principle, which we described in § 3.1 as the structural support of the entire exhibition, was adopted not as the original design but as a way out of an impasse: the</w:t>
      </w:r>
      <w:r>
        <w:t xml:space="preserve"> </w:t>
      </w:r>
      <w:r>
        <w:t xml:space="preserve">“</w:t>
      </w:r>
      <w:r>
        <w:t xml:space="preserve">Russian</w:t>
      </w:r>
      <w:r>
        <w:t xml:space="preserve">”</w:t>
      </w:r>
      <w:r>
        <w:t xml:space="preserve"> </w:t>
      </w:r>
      <w:r>
        <w:t xml:space="preserve">concept could not hold the entire story, and chronology became the solution that allowed everything to be shown while keeping the</w:t>
      </w:r>
      <w:r>
        <w:t xml:space="preserve"> </w:t>
      </w:r>
      <w:r>
        <w:t xml:space="preserve">“</w:t>
      </w:r>
      <w:r>
        <w:t xml:space="preserve">Russian</w:t>
      </w:r>
      <w:r>
        <w:t xml:space="preserve">”</w:t>
      </w:r>
      <w:r>
        <w:t xml:space="preserve"> </w:t>
      </w:r>
      <w:r>
        <w:t xml:space="preserve">plot at the centre of attention. This is an example of what Terry Smith calls</w:t>
      </w:r>
      <w:r>
        <w:t xml:space="preserve"> </w:t>
      </w:r>
      <w:r>
        <w:t xml:space="preserve">“</w:t>
      </w:r>
      <w:r>
        <w:t xml:space="preserve">curatorial thinking… deeply embedded in the practice of actually mounting the exhibition</w:t>
      </w:r>
      <w:r>
        <w:t xml:space="preserve">”</w:t>
      </w:r>
      <w:r>
        <w:t xml:space="preserve"> </w:t>
      </w:r>
      <w:r>
        <w:t xml:space="preserve">(Smith, 2012, p. 12): the concept was formed not before the work but in the course of it.</w:t>
      </w:r>
    </w:p>
    <w:p>
      <w:pPr>
        <w:pStyle w:val="BodyText"/>
      </w:pPr>
      <w:r>
        <w:t xml:space="preserve">The second tension is between the authorship of the diaspora curators and the control of the museum</w:t>
      </w:r>
      <w:r>
        <w:t xml:space="preserve"> </w:t>
      </w:r>
      <w:r>
        <w:t xml:space="preserve">“</w:t>
      </w:r>
      <w:r>
        <w:t xml:space="preserve">Russia — My History</w:t>
      </w:r>
      <w:r>
        <w:t xml:space="preserve">”</w:t>
      </w:r>
      <w:r>
        <w:t xml:space="preserve">. In the interview this plot sounds softly but distinctly:</w:t>
      </w:r>
      <w:r>
        <w:t xml:space="preserve"> </w:t>
      </w:r>
      <w:r>
        <w:t xml:space="preserve">“</w:t>
      </w:r>
      <w:r>
        <w:t xml:space="preserve">they reviewed it, they participated in the process very actively, there were no really difficult problems, in general they were very loyal and helpful</w:t>
      </w:r>
      <w:r>
        <w:t xml:space="preserve">”</w:t>
      </w:r>
      <w:r>
        <w:t xml:space="preserve">; and at the same time:</w:t>
      </w:r>
      <w:r>
        <w:t xml:space="preserve"> </w:t>
      </w:r>
      <w:r>
        <w:t xml:space="preserve">“</w:t>
      </w:r>
      <w:r>
        <w:t xml:space="preserve">the restrictions were only on certain frames where the bestial killings of Armenians were depicted, since the exhibition envisages visits not only by adults but also by children/teenagers</w:t>
      </w:r>
      <w:r>
        <w:t xml:space="preserve">”</w:t>
      </w:r>
      <w:r>
        <w:t xml:space="preserve">. Here what Aleida Assmann describes as the institutional work with memory is at play:</w:t>
      </w:r>
      <w:r>
        <w:t xml:space="preserve"> </w:t>
      </w:r>
      <w:r>
        <w:t xml:space="preserve">“</w:t>
      </w:r>
      <w:r>
        <w:t xml:space="preserve">institutions are above, and the content of memory is below</w:t>
      </w:r>
      <w:r>
        <w:t xml:space="preserve">”</w:t>
      </w:r>
      <w:r>
        <w:t xml:space="preserve"> </w:t>
      </w:r>
      <w:r>
        <w:t xml:space="preserve">(A. Assmann, 2011, p. 150). The museum did not edit the concept but filtered the material. This filtering is not censorship in the strong sense, but a compromise characteristic of the genre between documentary character and the ethics of public display. Williams describes this compromise as the structural contradiction of the memorial genre between</w:t>
      </w:r>
      <w:r>
        <w:t xml:space="preserve"> </w:t>
      </w:r>
      <w:r>
        <w:t xml:space="preserve">“</w:t>
      </w:r>
      <w:r>
        <w:t xml:space="preserve">reverent commemoration and critical interpretation</w:t>
      </w:r>
      <w:r>
        <w:t xml:space="preserve">”</w:t>
      </w:r>
      <w:r>
        <w:t xml:space="preserve"> </w:t>
      </w:r>
      <w:r>
        <w:t xml:space="preserve">(Williams, 2007, p. 8); the frames of</w:t>
      </w:r>
      <w:r>
        <w:t xml:space="preserve"> </w:t>
      </w:r>
      <w:r>
        <w:t xml:space="preserve">“</w:t>
      </w:r>
      <w:r>
        <w:t xml:space="preserve">the bestial killings</w:t>
      </w:r>
      <w:r>
        <w:t xml:space="preserve">”</w:t>
      </w:r>
      <w:r>
        <w:t xml:space="preserve"> </w:t>
      </w:r>
      <w:r>
        <w:t xml:space="preserve">are the point where documentary certification runs into the norm of public spectacle, and the curators had to look for a way around it — through child portraits, through engravings with red overlays, through the</w:t>
      </w:r>
      <w:r>
        <w:t xml:space="preserve"> </w:t>
      </w:r>
      <w:r>
        <w:t xml:space="preserve">“</w:t>
      </w:r>
      <w:r>
        <w:t xml:space="preserve">before/after</w:t>
      </w:r>
      <w:r>
        <w:t xml:space="preserve">”</w:t>
      </w:r>
      <w:r>
        <w:t xml:space="preserve"> </w:t>
      </w:r>
      <w:r>
        <w:t xml:space="preserve">of the cultural genocide.</w:t>
      </w:r>
    </w:p>
    <w:p>
      <w:pPr>
        <w:pStyle w:val="BodyText"/>
      </w:pPr>
      <w:r>
        <w:t xml:space="preserve">The third tension is between the declared interactivity of the multimedia format and the factually passive role of the visitor. This was discussed in § 3.2: the only fully active element is located at the entrance zone; the remaining sensor tables duplicate the LED screens. The curator explains this pragmatically —</w:t>
      </w:r>
      <w:r>
        <w:t xml:space="preserve"> </w:t>
      </w:r>
      <w:r>
        <w:t xml:space="preserve">“</w:t>
      </w:r>
      <w:r>
        <w:t xml:space="preserve">additional information would already have been excessive</w:t>
      </w:r>
      <w:r>
        <w:t xml:space="preserve">”</w:t>
      </w:r>
      <w:r>
        <w:t xml:space="preserve"> </w:t>
      </w:r>
      <w:r>
        <w:t xml:space="preserve">— but at the same time acknowledges:</w:t>
      </w:r>
      <w:r>
        <w:t xml:space="preserve"> </w:t>
      </w:r>
      <w:r>
        <w:t xml:space="preserve">“</w:t>
      </w:r>
      <w:r>
        <w:t xml:space="preserve">was the possibility of giving the visitor a more active role, for instance, choosing the route, discussed? — Rather not, because the policy of the museum</w:t>
      </w:r>
      <w:r>
        <w:t xml:space="preserve"> </w:t>
      </w:r>
      <w:r>
        <w:t xml:space="preserve">‘</w:t>
      </w:r>
      <w:r>
        <w:t xml:space="preserve">Russia — My History</w:t>
      </w:r>
      <w:r>
        <w:t xml:space="preserve">’</w:t>
      </w:r>
      <w:r>
        <w:t xml:space="preserve"> </w:t>
      </w:r>
      <w:r>
        <w:t xml:space="preserve">does not envisage such a format</w:t>
      </w:r>
      <w:r>
        <w:t xml:space="preserve">”</w:t>
      </w:r>
      <w:r>
        <w:t xml:space="preserve">. Here the contradiction that Kansteiner described is exposed: the digitisation of memorial space does not mean the transfer of power over the narrative,</w:t>
      </w:r>
      <w:r>
        <w:t xml:space="preserve"> </w:t>
      </w:r>
      <w:r>
        <w:t xml:space="preserve">“</w:t>
      </w:r>
      <w:r>
        <w:t xml:space="preserve">visitors are cast in relatively passive roles</w:t>
      </w:r>
      <w:r>
        <w:t xml:space="preserve">”</w:t>
      </w:r>
      <w:r>
        <w:t xml:space="preserve"> </w:t>
      </w:r>
      <w:r>
        <w:t xml:space="preserve">(Kansteiner, in Hoskins, 2018, p. 118). In the exhibition</w:t>
      </w:r>
      <w:r>
        <w:t xml:space="preserve"> </w:t>
      </w:r>
      <w:r>
        <w:t xml:space="preserve">“</w:t>
      </w:r>
      <w:r>
        <w:t xml:space="preserve">No to Genocide!</w:t>
      </w:r>
      <w:r>
        <w:t xml:space="preserve">”</w:t>
      </w:r>
      <w:r>
        <w:t xml:space="preserve"> </w:t>
      </w:r>
      <w:r>
        <w:t xml:space="preserve">this contradiction has a concrete explanation: interactivity is limited by the policy of the venue and, in a certain sense, by the character of the topic. The genocide does not lend itself to a choice of route (</w:t>
      </w:r>
      <w:r>
        <w:t xml:space="preserve">“</w:t>
      </w:r>
      <w:r>
        <w:t xml:space="preserve">tell it differently</w:t>
      </w:r>
      <w:r>
        <w:t xml:space="preserve">”</w:t>
      </w:r>
      <w:r>
        <w:t xml:space="preserve">) or to branching versions (</w:t>
      </w:r>
      <w:r>
        <w:t xml:space="preserve">“</w:t>
      </w:r>
      <w:r>
        <w:t xml:space="preserve">what if…</w:t>
      </w:r>
      <w:r>
        <w:t xml:space="preserve">”</w:t>
      </w:r>
      <w:r>
        <w:t xml:space="preserve">). This explains why even a technologically powerful multimedia environment is here reduced to a form close to a controlled presentation.</w:t>
      </w:r>
    </w:p>
    <w:p>
      <w:pPr>
        <w:pStyle w:val="BodyText"/>
      </w:pPr>
      <w:r>
        <w:t xml:space="preserve">The fourth tension is between the political function of recognition and the universalist humanitarian register. The curator formulates the original motive of the project as twofold:</w:t>
      </w:r>
      <w:r>
        <w:t xml:space="preserve"> </w:t>
      </w:r>
      <w:r>
        <w:t xml:space="preserve">“</w:t>
      </w:r>
      <w:r>
        <w:t xml:space="preserve">the history of the Armenian people is under threat… the reputation of the Armenians continues to be undermined by the Turkish–Azerbaijani alliance</w:t>
      </w:r>
      <w:r>
        <w:t xml:space="preserve">”</w:t>
      </w:r>
      <w:r>
        <w:t xml:space="preserve"> </w:t>
      </w:r>
      <w:r>
        <w:t xml:space="preserve">(the declaration cited in § 2.2), and at the same time —</w:t>
      </w:r>
      <w:r>
        <w:t xml:space="preserve"> </w:t>
      </w:r>
      <w:r>
        <w:t xml:space="preserve">“</w:t>
      </w:r>
      <w:r>
        <w:t xml:space="preserve">the fact of the genocide is undeniable</w:t>
      </w:r>
      <w:r>
        <w:t xml:space="preserve">”</w:t>
      </w:r>
      <w:r>
        <w:t xml:space="preserve"> </w:t>
      </w:r>
      <w:r>
        <w:t xml:space="preserve">(interview). In other words, the exhibition has both a narrow political address (the defence of the Armenian position in the current geopolitical conflict) and a universalist one — the presentation of the genocide as a</w:t>
      </w:r>
      <w:r>
        <w:t xml:space="preserve"> </w:t>
      </w:r>
      <w:r>
        <w:t xml:space="preserve">“</w:t>
      </w:r>
      <w:r>
        <w:t xml:space="preserve">crime against humanity</w:t>
      </w:r>
      <w:r>
        <w:t xml:space="preserve">”</w:t>
      </w:r>
      <w:r>
        <w:t xml:space="preserve"> </w:t>
      </w:r>
      <w:r>
        <w:t xml:space="preserve">in Lemkin’s terms. At the level of the exposition, these two registers are combined but not entirely fused: the thematic block</w:t>
      </w:r>
      <w:r>
        <w:t xml:space="preserve"> </w:t>
      </w:r>
      <w:r>
        <w:t xml:space="preserve">“</w:t>
      </w:r>
      <w:r>
        <w:t xml:space="preserve">Russia and the World Recognise and Condemn the Armenian Genocide</w:t>
      </w:r>
      <w:r>
        <w:t xml:space="preserve">”</w:t>
      </w:r>
      <w:r>
        <w:t xml:space="preserve"> </w:t>
      </w:r>
      <w:r>
        <w:t xml:space="preserve">works rather in the political register (the 1995 resolution of the State Duma, the portrait of Putin at the memorial), while the block</w:t>
      </w:r>
      <w:r>
        <w:t xml:space="preserve"> </w:t>
      </w:r>
      <w:r>
        <w:t xml:space="preserve">“</w:t>
      </w:r>
      <w:r>
        <w:t xml:space="preserve">Crime against Humanity and Civilisation</w:t>
      </w:r>
      <w:r>
        <w:t xml:space="preserve">”</w:t>
      </w:r>
      <w:r>
        <w:t xml:space="preserve"> </w:t>
      </w:r>
      <w:r>
        <w:t xml:space="preserve">works in the universalist register (the photographs of Wegner and Pichmann, the citation of Lemkin, the juridical register). The curators do not try to convert one into the other; they leave both layers side by side, and thus different visitors gain the possibility of</w:t>
      </w:r>
      <w:r>
        <w:t xml:space="preserve"> </w:t>
      </w:r>
      <w:r>
        <w:t xml:space="preserve">“</w:t>
      </w:r>
      <w:r>
        <w:t xml:space="preserve">reading</w:t>
      </w:r>
      <w:r>
        <w:t xml:space="preserve">”</w:t>
      </w:r>
      <w:r>
        <w:t xml:space="preserve"> </w:t>
      </w:r>
      <w:r>
        <w:t xml:space="preserve">the exhibition from different positions.</w:t>
      </w:r>
    </w:p>
    <w:p>
      <w:pPr>
        <w:pStyle w:val="BodyText"/>
      </w:pPr>
      <w:r>
        <w:t xml:space="preserve">To these four tensions another, hidden one is added — between authorship and cooperation. The curator repeatedly emphasises in the interview that conceptual help was provided by the Armenian Genocide Museum-Institute in Yerevan:</w:t>
      </w:r>
      <w:r>
        <w:t xml:space="preserve"> </w:t>
      </w:r>
      <w:r>
        <w:t xml:space="preserve">“</w:t>
      </w:r>
      <w:r>
        <w:t xml:space="preserve">they are experienced in this respect; they gave us the actual concept, that is, they said:</w:t>
      </w:r>
      <w:r>
        <w:t xml:space="preserve"> </w:t>
      </w:r>
      <w:r>
        <w:t xml:space="preserve">‘</w:t>
      </w:r>
      <w:r>
        <w:t xml:space="preserve">Guys, let us tell about this, and this, and this</w:t>
      </w:r>
      <w:r>
        <w:t xml:space="preserve">’</w:t>
      </w:r>
      <w:r>
        <w:t xml:space="preserve">”</w:t>
      </w:r>
      <w:r>
        <w:t xml:space="preserve">. At the same time —</w:t>
      </w:r>
      <w:r>
        <w:t xml:space="preserve"> </w:t>
      </w:r>
      <w:r>
        <w:t xml:space="preserve">“</w:t>
      </w:r>
      <w:r>
        <w:t xml:space="preserve">they simply gave us raw material, and some chapters were in Armenian… we processed it ourselves, and our guys processed it, not some specialists</w:t>
      </w:r>
      <w:r>
        <w:t xml:space="preserve">”</w:t>
      </w:r>
      <w:r>
        <w:t xml:space="preserve">. That is, the content is partially imported, while the form is fully developed by the local team of DUAY. This is a rare but important case: the canonical Yerevan narrative of the genocide met the media infrastructure of the Russian multimedia park, and the curators found themselves in the position of translators between two institutional logics. In this sense every decision described in the previous sections — from chronology to the choice of Putin in the finale — is not a</w:t>
      </w:r>
      <w:r>
        <w:t xml:space="preserve"> </w:t>
      </w:r>
      <w:r>
        <w:t xml:space="preserve">“</w:t>
      </w:r>
      <w:r>
        <w:t xml:space="preserve">choice from equal alternatives</w:t>
      </w:r>
      <w:r>
        <w:t xml:space="preserve">”</w:t>
      </w:r>
      <w:r>
        <w:t xml:space="preserve"> </w:t>
      </w:r>
      <w:r>
        <w:t xml:space="preserve">but a decision under conditions where the alternatives are already constrained by the material, by the venue, and by the topic.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2026-05-15T13:49:05Z</dcterms:created>
  <dcterms:modified xsi:type="dcterms:W3CDTF">2026-05-15T13:49:05Z</dcterms:modified>
</cp:coreProperties>
</file>

<file path=docProps/custom.xml><?xml version="1.0" encoding="utf-8"?>
<Properties xmlns="http://schemas.openxmlformats.org/officeDocument/2006/custom-properties" xmlns:vt="http://schemas.openxmlformats.org/officeDocument/2006/docPropsVTypes"/>
</file>