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hapter-1.-theoretical-framework"/>
    <w:p>
      <w:pPr>
        <w:pStyle w:val="Heading1"/>
      </w:pPr>
      <w:r>
        <w:t xml:space="preserve">CHAPTER 1. THEORETICAL FRAMEWORK</w:t>
      </w:r>
    </w:p>
    <w:p>
      <w:pPr>
        <w:pStyle w:val="FirstParagraph"/>
      </w:pPr>
      <w:r>
        <w:t xml:space="preserve">This chapter develops the conceptual apparatus that the empirical analysis of the multimedia exhibition</w:t>
      </w:r>
      <w:r>
        <w:t xml:space="preserve"> </w:t>
      </w:r>
      <w:r>
        <w:t xml:space="preserve">“</w:t>
      </w:r>
      <w:r>
        <w:t xml:space="preserve">No to Genocide!</w:t>
      </w:r>
      <w:r>
        <w:t xml:space="preserve">”</w:t>
      </w:r>
      <w:r>
        <w:t xml:space="preserve"> </w:t>
      </w:r>
      <w:r>
        <w:t xml:space="preserve">will rely on. The framework is built in six steps, each corresponding to one section. Section 1.1 introduces the concept of mediatization and explains why it is needed to understand curatorial work as taking place inside, and not above, the media environment. Section 1.2 moves from media to memory, treating remembrance as a cultural and social process rather than a neutral transmission of facts. Section 1.3 narrows the focus to political memory and shows how institutional choices stabilize one version of the past at the expense of others. Section 1.4 examines what happens to memory in the digital condition and explains why the museum today is itself a mediatized form of memory politics. Section 1.5 situates the museum as both a medial and a political form. Section 1.6 brings these threads together at the level where this study operates — the level of concrete curatorial decisions. Throughout the chapter, each concept is followed by an explicit statement of why it matters for this research and how it will be used in the analysis of</w:t>
      </w:r>
      <w:r>
        <w:t xml:space="preserve"> </w:t>
      </w:r>
      <w:r>
        <w:t xml:space="preserve">“</w:t>
      </w:r>
      <w:r>
        <w:t xml:space="preserve">No to Genocide!</w:t>
      </w:r>
      <w:r>
        <w:t xml:space="preserve">”</w:t>
      </w:r>
      <w:r>
        <w:t xml:space="preserve">.</w:t>
      </w:r>
    </w:p>
    <w:bookmarkStart w:id="20" w:name="the-mediatization-of-culture"/>
    <w:p>
      <w:pPr>
        <w:pStyle w:val="Heading2"/>
      </w:pPr>
      <w:r>
        <w:t xml:space="preserve">1.1 The Mediatization of Culture</w:t>
      </w:r>
    </w:p>
    <w:p>
      <w:pPr>
        <w:pStyle w:val="FirstParagraph"/>
      </w:pPr>
      <w:r>
        <w:t xml:space="preserve">Contemporary cultural processes are increasingly described through the concept of</w:t>
      </w:r>
      <w:r>
        <w:t xml:space="preserve"> </w:t>
      </w:r>
      <w:r>
        <w:t xml:space="preserve">“</w:t>
      </w:r>
      <w:r>
        <w:t xml:space="preserve">mediatization</w:t>
      </w:r>
      <w:r>
        <w:t xml:space="preserve">”</w:t>
      </w:r>
      <w:r>
        <w:t xml:space="preserve">, which captures the fundamental changes that take place in society under the influence of media, and especially digital media (Hjarvard, 2008). The concept was elaborated in detail by Stig Hjarvard, who defined it as the central category of a theory that explains the growing and changing role of media in culture and society (Hjarvard, 2008, p. 105). For Hjarvard, the mediatization of society is the process by which society becomes increasingly subordinate to the media and their logic, or comes to depend on them (Hjarvard, 2008, p. 113).</w:t>
      </w:r>
    </w:p>
    <w:p>
      <w:pPr>
        <w:pStyle w:val="BodyText"/>
      </w:pPr>
      <w:r>
        <w:rPr>
          <w:bCs/>
          <w:b/>
        </w:rPr>
        <w:t xml:space="preserve">Hjarvard’s concept of mediatization is important for this research because it allows us to refuse the common-sense view of an exhibition as a neutral</w:t>
      </w:r>
      <w:r>
        <w:rPr>
          <w:bCs/>
          <w:b/>
        </w:rPr>
        <w:t xml:space="preserve"> </w:t>
      </w:r>
      <w:r>
        <w:rPr>
          <w:bCs/>
          <w:b/>
        </w:rPr>
        <w:t xml:space="preserve">“</w:t>
      </w:r>
      <w:r>
        <w:rPr>
          <w:bCs/>
          <w:b/>
        </w:rPr>
        <w:t xml:space="preserve">container</w:t>
      </w:r>
      <w:r>
        <w:rPr>
          <w:bCs/>
          <w:b/>
        </w:rPr>
        <w:t xml:space="preserve">”</w:t>
      </w:r>
      <w:r>
        <w:rPr>
          <w:bCs/>
          <w:b/>
        </w:rPr>
        <w:t xml:space="preserve"> </w:t>
      </w:r>
      <w:r>
        <w:rPr>
          <w:bCs/>
          <w:b/>
        </w:rPr>
        <w:t xml:space="preserve">for content.</w:t>
      </w:r>
      <w:r>
        <w:t xml:space="preserve"> </w:t>
      </w:r>
      <w:r>
        <w:t xml:space="preserve">If we accepted that view, the empirical analysis in Chapter 3 would simply describe what the exhibition shows and then, separately, what technologies it uses. The concept of mediatization forbids this separation. It claims that the curatorial work on</w:t>
      </w:r>
      <w:r>
        <w:t xml:space="preserve"> </w:t>
      </w:r>
      <w:r>
        <w:t xml:space="preserve">“</w:t>
      </w:r>
      <w:r>
        <w:t xml:space="preserve">No to Genocide!</w:t>
      </w:r>
      <w:r>
        <w:t xml:space="preserve">”</w:t>
      </w:r>
      <w:r>
        <w:t xml:space="preserve"> </w:t>
      </w:r>
      <w:r>
        <w:t xml:space="preserve">unfolds inside a media environment that has a logic of its own, and that this logic shapes the very form of political memory that the exhibition produces. Concretely, this means that when we look at choices such as the linear route, the LED screens, the sensor tables, or the synchronised transitions between thematic blocks, we read them not as decorative wrappers around an already finished memory but as constitutive elements of that memory.</w:t>
      </w:r>
    </w:p>
    <w:p>
      <w:pPr>
        <w:pStyle w:val="BodyText"/>
      </w:pPr>
      <w:r>
        <w:t xml:space="preserve">Hjarvard also describes media as an institution with its own</w:t>
      </w:r>
      <w:r>
        <w:t xml:space="preserve"> </w:t>
      </w:r>
      <w:r>
        <w:t xml:space="preserve">“</w:t>
      </w:r>
      <w:r>
        <w:t xml:space="preserve">logic</w:t>
      </w:r>
      <w:r>
        <w:t xml:space="preserve">”</w:t>
      </w:r>
      <w:r>
        <w:t xml:space="preserve"> </w:t>
      </w:r>
      <w:r>
        <w:t xml:space="preserve">— a set of rules, formats, technological and organisational principles — to which other institutions have to adapt:</w:t>
      </w:r>
      <w:r>
        <w:t xml:space="preserve"> </w:t>
      </w:r>
      <w:r>
        <w:t xml:space="preserve">“</w:t>
      </w:r>
      <w:r>
        <w:t xml:space="preserve">Mediatization is to be considered a double-sided process of high modernity in which the media on the one hand emerge as an independent institution with a logic of its own that other social institutions have to accommodate to. On the other hand, media simultaneously become an integrated part of other institutions like politics, work, family, and religion as more and more of these institutional activities are performed through both interactive and mass media</w:t>
      </w:r>
      <w:r>
        <w:t xml:space="preserve">”</w:t>
      </w:r>
      <w:r>
        <w:t xml:space="preserve"> </w:t>
      </w:r>
      <w:r>
        <w:t xml:space="preserve">(Hjarvard, 2008, p. 105).</w:t>
      </w:r>
      <w:r>
        <w:t xml:space="preserve"> </w:t>
      </w:r>
      <w:r>
        <w:rPr>
          <w:bCs/>
          <w:b/>
        </w:rPr>
        <w:t xml:space="preserve">The notion of media logic applies to this research because it gives us a precise way of asking what the multimedia format makes possible and what it makes impossible.</w:t>
      </w:r>
      <w:r>
        <w:t xml:space="preserve"> </w:t>
      </w:r>
      <w:r>
        <w:t xml:space="preserve">A curator who decides to place a quotation on a tissue banner, an archival photograph on a looped LED screen, or a textual commentary on a sensor table is not just choosing a</w:t>
      </w:r>
      <w:r>
        <w:t xml:space="preserve"> </w:t>
      </w:r>
      <w:r>
        <w:t xml:space="preserve">“</w:t>
      </w:r>
      <w:r>
        <w:t xml:space="preserve">channel</w:t>
      </w:r>
      <w:r>
        <w:t xml:space="preserve">”</w:t>
      </w:r>
      <w:r>
        <w:t xml:space="preserve">: they are entering a logic in which each format has its own affordances and its own constraints. The analysis will use this idea to read each curatorial decision as a negotiated outcome between the curator’s intent and the media logic of the platform</w:t>
      </w:r>
      <w:r>
        <w:t xml:space="preserve"> </w:t>
      </w:r>
      <w:r>
        <w:t xml:space="preserve">“</w:t>
      </w:r>
      <w:r>
        <w:t xml:space="preserve">Russia — My History</w:t>
      </w:r>
      <w:r>
        <w:t xml:space="preserve">”</w:t>
      </w:r>
      <w:r>
        <w:t xml:space="preserve">.</w:t>
      </w:r>
    </w:p>
    <w:p>
      <w:pPr>
        <w:pStyle w:val="BodyText"/>
      </w:pPr>
      <w:r>
        <w:t xml:space="preserve">Hjarvard further distinguishes two forms of mediatization, direct (strong) and indirect (weak), which differ in the degree to which media intervene in an activity (Hjarvard, 2008, p. 114). Direct mediatization occurs when a previously non-mediated activity is transformed into a mediated one — when media become a necessary interface for carrying it out. Indirect mediatization is more subtle: the activity is not replaced, but its form, content or organisation comes under the influence of media symbols and mechanisms. The classic example is politicians who adapt their speech to television formats (Hjarvard, 2008, p. 114–115).</w:t>
      </w:r>
      <w:r>
        <w:t xml:space="preserve"> </w:t>
      </w:r>
      <w:r>
        <w:rPr>
          <w:bCs/>
          <w:b/>
        </w:rPr>
        <w:t xml:space="preserve">This distinction is important for the present study because it allows us to describe two distinct ways in which the</w:t>
      </w:r>
      <w:r>
        <w:rPr>
          <w:bCs/>
          <w:b/>
        </w:rPr>
        <w:t xml:space="preserve"> </w:t>
      </w:r>
      <w:r>
        <w:rPr>
          <w:bCs/>
          <w:b/>
        </w:rPr>
        <w:t xml:space="preserve">“</w:t>
      </w:r>
      <w:r>
        <w:rPr>
          <w:bCs/>
          <w:b/>
        </w:rPr>
        <w:t xml:space="preserve">No to Genocide!</w:t>
      </w:r>
      <w:r>
        <w:rPr>
          <w:bCs/>
          <w:b/>
        </w:rPr>
        <w:t xml:space="preserve">”</w:t>
      </w:r>
      <w:r>
        <w:rPr>
          <w:bCs/>
          <w:b/>
        </w:rPr>
        <w:t xml:space="preserve"> </w:t>
      </w:r>
      <w:r>
        <w:rPr>
          <w:bCs/>
          <w:b/>
        </w:rPr>
        <w:t xml:space="preserve">exhibition is mediatized at once.</w:t>
      </w:r>
      <w:r>
        <w:t xml:space="preserve"> </w:t>
      </w:r>
      <w:r>
        <w:t xml:space="preserve">On the one hand, the very existence of the project depends on the LED-screen infrastructure of</w:t>
      </w:r>
      <w:r>
        <w:t xml:space="preserve"> </w:t>
      </w:r>
      <w:r>
        <w:t xml:space="preserve">“</w:t>
      </w:r>
      <w:r>
        <w:t xml:space="preserve">Russia — My History</w:t>
      </w:r>
      <w:r>
        <w:t xml:space="preserve">”</w:t>
      </w:r>
      <w:r>
        <w:t xml:space="preserve">; without that interface the exhibition does not exist (direct mediatization). On the other hand, decisions about how to talk about the genocide — short captions instead of long texts, thematic blocks instead of continuous narrative, symbolic transitions instead of explanatory pauses — are shaped by the conventions of digital exhibition design that the curators inherit rather than invent (indirect mediatization). In Chapter 3 these two forms will not be treated as alternatives but as layers that operate simultaneously, with indirect mediatization dominating at the level of formatting and direct mediatization dominating at the level of infrastructure.</w:t>
      </w:r>
    </w:p>
    <w:p>
      <w:pPr>
        <w:pStyle w:val="BodyText"/>
      </w:pPr>
      <w:r>
        <w:t xml:space="preserve">The contemporary scale of these processes has been described as</w:t>
      </w:r>
      <w:r>
        <w:t xml:space="preserve"> </w:t>
      </w:r>
      <w:r>
        <w:rPr>
          <w:bCs/>
          <w:b/>
        </w:rPr>
        <w:t xml:space="preserve">deep mediatization</w:t>
      </w:r>
      <w:r>
        <w:t xml:space="preserve"> </w:t>
      </w:r>
      <w:r>
        <w:t xml:space="preserve">by Andreas Hepp. Deep mediatization captures the fact that mediatization today covers all levels of social life and cannot be confined to particular spheres. Hepp identifies five quantitative trends that characterise this stage: the growing variety of digital devices, their increasing connectedness, their omnipresence, the acceleration of technical innovation, and the conversion of everyday life into data (Hepp, 2020, p. 40).</w:t>
      </w:r>
      <w:r>
        <w:t xml:space="preserve"> </w:t>
      </w:r>
      <w:r>
        <w:rPr>
          <w:bCs/>
          <w:b/>
        </w:rPr>
        <w:t xml:space="preserve">Hepp’s notion of deep mediatization is important for this research because it explains why we cannot analyse the content and the technology of the exhibition as separate layers.</w:t>
      </w:r>
      <w:r>
        <w:t xml:space="preserve"> </w:t>
      </w:r>
      <w:r>
        <w:t xml:space="preserve">In a deeply mediatized environment, digital tools and cultural production are not joined retroactively; they are entangled from the start. Applied to</w:t>
      </w:r>
      <w:r>
        <w:t xml:space="preserve"> </w:t>
      </w:r>
      <w:r>
        <w:t xml:space="preserve">“</w:t>
      </w:r>
      <w:r>
        <w:t xml:space="preserve">No to Genocide!</w:t>
      </w:r>
      <w:r>
        <w:t xml:space="preserve">”</w:t>
      </w:r>
      <w:r>
        <w:t xml:space="preserve">, this means that the question is not</w:t>
      </w:r>
      <w:r>
        <w:t xml:space="preserve"> </w:t>
      </w:r>
      <w:r>
        <w:t xml:space="preserve">“</w:t>
      </w:r>
      <w:r>
        <w:t xml:space="preserve">how do digital technologies transmit a memory about the genocide?</w:t>
      </w:r>
      <w:r>
        <w:t xml:space="preserve">”</w:t>
      </w:r>
      <w:r>
        <w:t xml:space="preserve"> </w:t>
      </w:r>
      <w:r>
        <w:t xml:space="preserve">but</w:t>
      </w:r>
      <w:r>
        <w:t xml:space="preserve"> </w:t>
      </w:r>
      <w:r>
        <w:t xml:space="preserve">“</w:t>
      </w:r>
      <w:r>
        <w:t xml:space="preserve">what version of memory becomes possible inside this particular digitally saturated environment?</w:t>
      </w:r>
      <w:r>
        <w:t xml:space="preserve">”</w:t>
      </w:r>
      <w:r>
        <w:t xml:space="preserve">.</w:t>
      </w:r>
    </w:p>
    <w:p>
      <w:pPr>
        <w:pStyle w:val="BodyText"/>
      </w:pPr>
      <w:r>
        <w:t xml:space="preserve">Hepp also rethinks Hjarvard’s idea of a single, uniform</w:t>
      </w:r>
      <w:r>
        <w:t xml:space="preserve"> </w:t>
      </w:r>
      <w:r>
        <w:t xml:space="preserve">“</w:t>
      </w:r>
      <w:r>
        <w:t xml:space="preserve">media logic</w:t>
      </w:r>
      <w:r>
        <w:t xml:space="preserve">”</w:t>
      </w:r>
      <w:r>
        <w:t xml:space="preserve">. He argues that mediatization should not be understood as the gradual penetration of one common logic into all spheres of life (Hepp, 2013, p. 46). Instead, Hepp proposes the concept of</w:t>
      </w:r>
      <w:r>
        <w:t xml:space="preserve"> </w:t>
      </w:r>
      <w:r>
        <w:rPr>
          <w:bCs/>
          <w:b/>
        </w:rPr>
        <w:t xml:space="preserve">molding forces of media</w:t>
      </w:r>
      <w:r>
        <w:t xml:space="preserve">, which only become concrete in specific contexts, and the concept of</w:t>
      </w:r>
      <w:r>
        <w:t xml:space="preserve"> </w:t>
      </w:r>
      <w:r>
        <w:rPr>
          <w:bCs/>
          <w:b/>
        </w:rPr>
        <w:t xml:space="preserve">mediatized worlds</w:t>
      </w:r>
      <w:r>
        <w:t xml:space="preserve"> </w:t>
      </w:r>
      <w:r>
        <w:t xml:space="preserve">— small life-worlds where media become the main way of producing and sustaining meaning. By media culture, he therefore means mediatized culture; and media cultures, more broadly, are cultures of mediatization that become concrete in particular mediatized worlds (Hepp, 2013, p. 69).</w:t>
      </w:r>
      <w:r>
        <w:t xml:space="preserve"> </w:t>
      </w:r>
      <w:r>
        <w:rPr>
          <w:bCs/>
          <w:b/>
        </w:rPr>
        <w:t xml:space="preserve">Hepp’s reformulation is important for this research because it warns us against imposing on the exhibition some abstract</w:t>
      </w:r>
      <w:r>
        <w:rPr>
          <w:bCs/>
          <w:b/>
        </w:rPr>
        <w:t xml:space="preserve"> </w:t>
      </w:r>
      <w:r>
        <w:rPr>
          <w:bCs/>
          <w:b/>
        </w:rPr>
        <w:t xml:space="preserve">“</w:t>
      </w:r>
      <w:r>
        <w:rPr>
          <w:bCs/>
          <w:b/>
        </w:rPr>
        <w:t xml:space="preserve">logic of digital media</w:t>
      </w:r>
      <w:r>
        <w:rPr>
          <w:bCs/>
          <w:b/>
        </w:rPr>
        <w:t xml:space="preserve">”</w:t>
      </w:r>
      <w:r>
        <w:rPr>
          <w:bCs/>
          <w:b/>
        </w:rPr>
        <w:t xml:space="preserve"> </w:t>
      </w:r>
      <w:r>
        <w:rPr>
          <w:bCs/>
          <w:b/>
        </w:rPr>
        <w:t xml:space="preserve">and pushes us instead to reconstruct the specific mediatized world that</w:t>
      </w:r>
      <w:r>
        <w:rPr>
          <w:bCs/>
          <w:b/>
        </w:rPr>
        <w:t xml:space="preserve"> </w:t>
      </w:r>
      <w:r>
        <w:rPr>
          <w:bCs/>
          <w:b/>
        </w:rPr>
        <w:t xml:space="preserve">“</w:t>
      </w:r>
      <w:r>
        <w:rPr>
          <w:bCs/>
          <w:b/>
        </w:rPr>
        <w:t xml:space="preserve">No to Genocide!</w:t>
      </w:r>
      <w:r>
        <w:rPr>
          <w:bCs/>
          <w:b/>
        </w:rPr>
        <w:t xml:space="preserve">”</w:t>
      </w:r>
      <w:r>
        <w:rPr>
          <w:bCs/>
          <w:b/>
        </w:rPr>
        <w:t xml:space="preserve"> </w:t>
      </w:r>
      <w:r>
        <w:rPr>
          <w:bCs/>
          <w:b/>
        </w:rPr>
        <w:t xml:space="preserve">constitutes.</w:t>
      </w:r>
      <w:r>
        <w:t xml:space="preserve"> </w:t>
      </w:r>
      <w:r>
        <w:t xml:space="preserve">In the analysis, this concept will be operationalised by asking which formats, conventions and routines are at work in this particular exhibition — not what digital media</w:t>
      </w:r>
      <w:r>
        <w:t xml:space="preserve"> </w:t>
      </w:r>
      <w:r>
        <w:t xml:space="preserve">“</w:t>
      </w:r>
      <w:r>
        <w:t xml:space="preserve">always</w:t>
      </w:r>
      <w:r>
        <w:t xml:space="preserve">”</w:t>
      </w:r>
      <w:r>
        <w:t xml:space="preserve"> </w:t>
      </w:r>
      <w:r>
        <w:t xml:space="preserve">do, but what this configuration of LED screens, Kinect-driven sensor tables, banners, and synchronised transitions does in this particular institutional setting.</w:t>
      </w:r>
    </w:p>
    <w:p>
      <w:pPr>
        <w:pStyle w:val="BodyText"/>
      </w:pPr>
      <w:r>
        <w:t xml:space="preserve">How, then, do we see curatorial decisions not as a neutral fixing of facts but as an active production of a version of the past? A productive answer comes from the idea of the social construction of reality articulated by Peter Berger and Thomas Luckmann. According to them, society is a human product that nonetheless exists as objective reality, while the human being is a social product, formed under the influence of society (Berger &amp; Luckmann, 1966, p. 61).</w:t>
      </w:r>
      <w:r>
        <w:t xml:space="preserve"> </w:t>
      </w:r>
      <w:r>
        <w:rPr>
          <w:bCs/>
          <w:b/>
        </w:rPr>
        <w:t xml:space="preserve">Berger and Luckmann’s framework is important for this research because it provides the most general epistemological grounding for the entire chapter: it allows us to treat political memory as a construct that institutions and symbolic means make, rather than as a deposit they merely store.</w:t>
      </w:r>
      <w:r>
        <w:t xml:space="preserve"> </w:t>
      </w:r>
      <w:r>
        <w:t xml:space="preserve">Each curatorial choice — from the selection of documents to the way they are edited and arranged — therefore does not fix the past but actively constructs it for the visitor. This claim is operative throughout the empirical analysis.</w:t>
      </w:r>
    </w:p>
    <w:p>
      <w:pPr>
        <w:pStyle w:val="BodyText"/>
      </w:pPr>
      <w:r>
        <w:t xml:space="preserve">This understanding underpins Couldry and Hepp’s further idea that media do not simply reflect reality but actively participate in its construction, an idea they formalise in the concept of</w:t>
      </w:r>
      <w:r>
        <w:t xml:space="preserve"> </w:t>
      </w:r>
      <w:r>
        <w:rPr>
          <w:bCs/>
          <w:b/>
        </w:rPr>
        <w:t xml:space="preserve">deep mediatization</w:t>
      </w:r>
      <w:r>
        <w:t xml:space="preserve">:</w:t>
      </w:r>
      <w:r>
        <w:t xml:space="preserve"> </w:t>
      </w:r>
      <w:r>
        <w:t xml:space="preserve">“</w:t>
      </w:r>
      <w:r>
        <w:t xml:space="preserve">Deep mediatization is an advanced stage in which all elements of our social world are deeply intertwined with digital media and their underlying infrastructures</w:t>
      </w:r>
      <w:r>
        <w:t xml:space="preserve">”</w:t>
      </w:r>
      <w:r>
        <w:t xml:space="preserve"> </w:t>
      </w:r>
      <w:r>
        <w:t xml:space="preserve">(Couldry &amp; Hepp, 2017, p. 7, 34).</w:t>
      </w:r>
      <w:r>
        <w:t xml:space="preserve"> </w:t>
      </w:r>
      <w:r>
        <w:rPr>
          <w:bCs/>
          <w:b/>
        </w:rPr>
        <w:t xml:space="preserve">Couldry and Hepp’s definition is important for this research because it lets us treat the digital components of the exhibition not as an</w:t>
      </w:r>
      <w:r>
        <w:rPr>
          <w:bCs/>
          <w:b/>
        </w:rPr>
        <w:t xml:space="preserve"> </w:t>
      </w:r>
      <w:r>
        <w:rPr>
          <w:bCs/>
          <w:b/>
        </w:rPr>
        <w:t xml:space="preserve">“</w:t>
      </w:r>
      <w:r>
        <w:rPr>
          <w:bCs/>
          <w:b/>
        </w:rPr>
        <w:t xml:space="preserve">add-on</w:t>
      </w:r>
      <w:r>
        <w:rPr>
          <w:bCs/>
          <w:b/>
        </w:rPr>
        <w:t xml:space="preserve">”</w:t>
      </w:r>
      <w:r>
        <w:rPr>
          <w:bCs/>
          <w:b/>
        </w:rPr>
        <w:t xml:space="preserve"> </w:t>
      </w:r>
      <w:r>
        <w:rPr>
          <w:bCs/>
          <w:b/>
        </w:rPr>
        <w:t xml:space="preserve">to traditional artefacts but as the basic infrastructure of cultural meaning-making.</w:t>
      </w:r>
      <w:r>
        <w:t xml:space="preserve"> </w:t>
      </w:r>
      <w:r>
        <w:t xml:space="preserve">Practically, the analysis will refuse to first describe the content (what is shown) and then separately the technology (how it is shown). Content and technology are given together, and the framework of deep mediatization requires us to read them as a single fabric. Mediatization of culture thus forms the first pillar of the theoretical framework.</w:t>
      </w:r>
    </w:p>
    <w:bookmarkEnd w:id="20"/>
    <w:bookmarkStart w:id="21" w:name="memory-as-a-cultural-and-social-process"/>
    <w:p>
      <w:pPr>
        <w:pStyle w:val="Heading2"/>
      </w:pPr>
      <w:r>
        <w:t xml:space="preserve">1.2 Memory as a Cultural and Social Process</w:t>
      </w:r>
    </w:p>
    <w:p>
      <w:pPr>
        <w:pStyle w:val="FirstParagraph"/>
      </w:pPr>
      <w:r>
        <w:t xml:space="preserve">To analyse curatorial decisions as a way of producing political memory, we need a conception of memory as a social and cultural process. Such a conception allows us to treat the exhibition as a space of active construction of memory, not of neutral transmission of historical facts. The starting point is the concept of social frames of memory, developed by Maurice Halbwachs. Social frames direct and create remembrance, which is reconstructive in character; the past is rebuilt under the pressure of present needs. Halbwachs makes an important distinction between collective memory — the experience of the past shared by a group and forming its identity — and history:</w:t>
      </w:r>
      <w:r>
        <w:t xml:space="preserve"> </w:t>
      </w:r>
      <w:r>
        <w:t xml:space="preserve">“</w:t>
      </w:r>
      <w:r>
        <w:t xml:space="preserve">history begins only at the point where tradition ends and where social memory dissolves</w:t>
      </w:r>
      <w:r>
        <w:t xml:space="preserve">”</w:t>
      </w:r>
      <w:r>
        <w:t xml:space="preserve"> </w:t>
      </w:r>
      <w:r>
        <w:t xml:space="preserve">(Halbwachs, p. 44).</w:t>
      </w:r>
    </w:p>
    <w:p>
      <w:pPr>
        <w:pStyle w:val="BodyText"/>
      </w:pPr>
      <w:r>
        <w:rPr>
          <w:bCs/>
          <w:b/>
        </w:rPr>
        <w:t xml:space="preserve">Halbwachs’s framework is important for this research because it lets us classify</w:t>
      </w:r>
      <w:r>
        <w:rPr>
          <w:bCs/>
          <w:b/>
        </w:rPr>
        <w:t xml:space="preserve"> </w:t>
      </w:r>
      <w:r>
        <w:rPr>
          <w:bCs/>
          <w:b/>
        </w:rPr>
        <w:t xml:space="preserve">“</w:t>
      </w:r>
      <w:r>
        <w:rPr>
          <w:bCs/>
          <w:b/>
        </w:rPr>
        <w:t xml:space="preserve">No to Genocide!</w:t>
      </w:r>
      <w:r>
        <w:rPr>
          <w:bCs/>
          <w:b/>
        </w:rPr>
        <w:t xml:space="preserve">”</w:t>
      </w:r>
      <w:r>
        <w:rPr>
          <w:bCs/>
          <w:b/>
        </w:rPr>
        <w:t xml:space="preserve"> </w:t>
      </w:r>
      <w:r>
        <w:rPr>
          <w:bCs/>
          <w:b/>
        </w:rPr>
        <w:t xml:space="preserve">not as a</w:t>
      </w:r>
      <w:r>
        <w:rPr>
          <w:bCs/>
          <w:b/>
        </w:rPr>
        <w:t xml:space="preserve"> </w:t>
      </w:r>
      <w:r>
        <w:rPr>
          <w:bCs/>
          <w:b/>
        </w:rPr>
        <w:t xml:space="preserve">“</w:t>
      </w:r>
      <w:r>
        <w:rPr>
          <w:bCs/>
          <w:b/>
        </w:rPr>
        <w:t xml:space="preserve">historical</w:t>
      </w:r>
      <w:r>
        <w:rPr>
          <w:bCs/>
          <w:b/>
        </w:rPr>
        <w:t xml:space="preserve">”</w:t>
      </w:r>
      <w:r>
        <w:rPr>
          <w:bCs/>
          <w:b/>
        </w:rPr>
        <w:t xml:space="preserve"> </w:t>
      </w:r>
      <w:r>
        <w:rPr>
          <w:bCs/>
          <w:b/>
        </w:rPr>
        <w:t xml:space="preserve">but as a</w:t>
      </w:r>
      <w:r>
        <w:rPr>
          <w:bCs/>
          <w:b/>
        </w:rPr>
        <w:t xml:space="preserve"> </w:t>
      </w:r>
      <w:r>
        <w:rPr>
          <w:bCs/>
          <w:b/>
        </w:rPr>
        <w:t xml:space="preserve">“</w:t>
      </w:r>
      <w:r>
        <w:rPr>
          <w:bCs/>
          <w:b/>
        </w:rPr>
        <w:t xml:space="preserve">memorial</w:t>
      </w:r>
      <w:r>
        <w:rPr>
          <w:bCs/>
          <w:b/>
        </w:rPr>
        <w:t xml:space="preserve">”</w:t>
      </w:r>
      <w:r>
        <w:rPr>
          <w:bCs/>
          <w:b/>
        </w:rPr>
        <w:t xml:space="preserve"> </w:t>
      </w:r>
      <w:r>
        <w:rPr>
          <w:bCs/>
          <w:b/>
        </w:rPr>
        <w:t xml:space="preserve">project, and so to ask different analytical questions of it.</w:t>
      </w:r>
      <w:r>
        <w:t xml:space="preserve"> </w:t>
      </w:r>
      <w:r>
        <w:t xml:space="preserve">A historical exhibition can be evaluated by criteria of accuracy and completeness; a collective-memory exhibition has to be evaluated by what version of the past it offers and to whom that version speaks. Applied to our case, this distinction is decisive: the exhibition works in the register of collective memory of the Armenian community, and the curators construct this register through specific social frames — religious, political, kinship-based, diasporic. The analysis will draw on Halbwachs’s distinction to read the exhibition’s claims of</w:t>
      </w:r>
      <w:r>
        <w:t xml:space="preserve"> </w:t>
      </w:r>
      <w:r>
        <w:t xml:space="preserve">“</w:t>
      </w:r>
      <w:r>
        <w:t xml:space="preserve">historical truth</w:t>
      </w:r>
      <w:r>
        <w:t xml:space="preserve">”</w:t>
      </w:r>
      <w:r>
        <w:t xml:space="preserve"> </w:t>
      </w:r>
      <w:r>
        <w:t xml:space="preserve">not as neutral statements but as social-frame-bound interpretations.</w:t>
      </w:r>
    </w:p>
    <w:p>
      <w:pPr>
        <w:pStyle w:val="BodyText"/>
      </w:pPr>
      <w:r>
        <w:t xml:space="preserve">To grasp the nuance between modes of cultural transmission, the analysis also needs Paul Connerton’s distinction between</w:t>
      </w:r>
      <w:r>
        <w:t xml:space="preserve"> </w:t>
      </w:r>
      <w:r>
        <w:rPr>
          <w:bCs/>
          <w:b/>
        </w:rPr>
        <w:t xml:space="preserve">incorporating and inscribing practices</w:t>
      </w:r>
      <w:r>
        <w:t xml:space="preserve">. Inscribing practices are most relevant for this study because they transmit actions through physical carriers that capture and retain information; ritual receives special attention as a form of social memory that performatively produces meaning, and the notion of</w:t>
      </w:r>
      <w:r>
        <w:t xml:space="preserve"> </w:t>
      </w:r>
      <w:r>
        <w:t xml:space="preserve">“</w:t>
      </w:r>
      <w:r>
        <w:t xml:space="preserve">habit memory</w:t>
      </w:r>
      <w:r>
        <w:t xml:space="preserve">”</w:t>
      </w:r>
      <w:r>
        <w:t xml:space="preserve"> </w:t>
      </w:r>
      <w:r>
        <w:t xml:space="preserve">describes the fixation of the past through bodily automatisms.</w:t>
      </w:r>
      <w:r>
        <w:t xml:space="preserve"> </w:t>
      </w:r>
      <w:r>
        <w:rPr>
          <w:bCs/>
          <w:b/>
        </w:rPr>
        <w:t xml:space="preserve">Connerton’s distinction is important for this research because it gives us a tool for understanding how material objects of the exposition and the staged rhythm of the visitor’s movement together fix a particular version of the past.</w:t>
      </w:r>
      <w:r>
        <w:t xml:space="preserve"> </w:t>
      </w:r>
      <w:r>
        <w:t xml:space="preserve">In Chapter 3 this will be developed: the linear route, the synchronised transitions and the looped music are read as inscribing devices that perform memory through the visitor’s body, not only through their cognition.</w:t>
      </w:r>
    </w:p>
    <w:p>
      <w:pPr>
        <w:pStyle w:val="BodyText"/>
      </w:pPr>
      <w:r>
        <w:t xml:space="preserve">If Halbwachs speaks of social frames, Jan Assmann introduces a more specific distinction — between</w:t>
      </w:r>
      <w:r>
        <w:t xml:space="preserve"> </w:t>
      </w:r>
      <w:r>
        <w:rPr>
          <w:bCs/>
          <w:b/>
        </w:rPr>
        <w:t xml:space="preserve">communicative and cultural memory</w:t>
      </w:r>
      <w:r>
        <w:t xml:space="preserve">. The first covers recollections that pertain to the recent past, the second is directed at fixed points in the past. In cultural memory the past becomes symbolic figures to which remembrance attaches. Cultural memory operates through a</w:t>
      </w:r>
      <w:r>
        <w:t xml:space="preserve"> </w:t>
      </w:r>
      <w:r>
        <w:t xml:space="preserve">“</w:t>
      </w:r>
      <w:r>
        <w:t xml:space="preserve">canon</w:t>
      </w:r>
      <w:r>
        <w:t xml:space="preserve">”</w:t>
      </w:r>
      <w:r>
        <w:t xml:space="preserve"> </w:t>
      </w:r>
      <w:r>
        <w:t xml:space="preserve">— a formal, fixed and normatively established set of texts which serves as the authoritative source of knowledge for a group, performs two functions: it forms and supports the identity of the group, and it serves as a reliable source of knowledge about the past (J. Assmann).</w:t>
      </w:r>
      <w:r>
        <w:t xml:space="preserve"> </w:t>
      </w:r>
      <w:r>
        <w:rPr>
          <w:bCs/>
          <w:b/>
        </w:rPr>
        <w:t xml:space="preserve">Jan Assmann’s distinction is important for this research because the Armenian genocide of 1915 falls precisely at the threshold between communicative and cultural memory.</w:t>
      </w:r>
      <w:r>
        <w:t xml:space="preserve"> </w:t>
      </w:r>
      <w:r>
        <w:t xml:space="preserve">The last living witnesses have passed away, communicative memory is being lost, and the exhibition takes part in the work of</w:t>
      </w:r>
      <w:r>
        <w:t xml:space="preserve"> </w:t>
      </w:r>
      <w:r>
        <w:t xml:space="preserve">“</w:t>
      </w:r>
      <w:r>
        <w:t xml:space="preserve">canonisation</w:t>
      </w:r>
      <w:r>
        <w:t xml:space="preserve">”</w:t>
      </w:r>
      <w:r>
        <w:t xml:space="preserve"> </w:t>
      </w:r>
      <w:r>
        <w:t xml:space="preserve">— fixing a particular set of texts, images, and figures as authoritative carriers of memory. In Chapter 3, we will read curatorial decisions about which documents, photographs, names and quotations to include as moves in this canonising work.</w:t>
      </w:r>
    </w:p>
    <w:p>
      <w:pPr>
        <w:pStyle w:val="BodyText"/>
      </w:pPr>
      <w:r>
        <w:t xml:space="preserve">To understand the origin and selection principles of the material for the exhibition, Aleida Assmann’s distinction between two types of cultural memory —</w:t>
      </w:r>
      <w:r>
        <w:t xml:space="preserve"> </w:t>
      </w:r>
      <w:r>
        <w:rPr>
          <w:bCs/>
          <w:b/>
        </w:rPr>
        <w:t xml:space="preserve">functional memory and storage memory</w:t>
      </w:r>
      <w:r>
        <w:t xml:space="preserve"> </w:t>
      </w:r>
      <w:r>
        <w:t xml:space="preserve">— is needed. The fundamental difference between the terms is that</w:t>
      </w:r>
      <w:r>
        <w:t xml:space="preserve"> </w:t>
      </w:r>
      <w:r>
        <w:t xml:space="preserve">“</w:t>
      </w:r>
      <w:r>
        <w:t xml:space="preserve">functional memory is highly selective, and only gives presence to a fraction of memory’s contents</w:t>
      </w:r>
      <w:r>
        <w:t xml:space="preserve">”</w:t>
      </w:r>
      <w:r>
        <w:t xml:space="preserve"> </w:t>
      </w:r>
      <w:r>
        <w:t xml:space="preserve">(A. Assmann, 2011, p. 125), whereas storage memory is a</w:t>
      </w:r>
      <w:r>
        <w:t xml:space="preserve"> </w:t>
      </w:r>
      <w:r>
        <w:t xml:space="preserve">“</w:t>
      </w:r>
      <w:r>
        <w:t xml:space="preserve">reservoir of unused possibilities</w:t>
      </w:r>
      <w:r>
        <w:t xml:space="preserve">”</w:t>
      </w:r>
      <w:r>
        <w:t xml:space="preserve"> </w:t>
      </w:r>
      <w:r>
        <w:t xml:space="preserve">(A. Assmann, 2011, p. 131), that is, knowledge that is not applicable to a specific period of time. Transitions of knowledge from storage memory to functional memory can occur, for example, in connection with historical, political changes or the creation of curatorial projects. Multimedia exhibitions often extract materials from archives and reformat them as actualised experience. As A. Assmann notes, without the mobility of borders between functional and storage memory, cultural memory would have congealed into something fixed and absolute (A. Assmann, 2011, p. 130).</w:t>
      </w:r>
      <w:r>
        <w:t xml:space="preserve"> </w:t>
      </w:r>
      <w:r>
        <w:rPr>
          <w:bCs/>
          <w:b/>
        </w:rPr>
        <w:t xml:space="preserve">Aleida Assmann’s distinction is important for this research because it gives us the precise analytical move that explains what curators of</w:t>
      </w:r>
      <w:r>
        <w:rPr>
          <w:bCs/>
          <w:b/>
        </w:rPr>
        <w:t xml:space="preserve"> </w:t>
      </w:r>
      <w:r>
        <w:rPr>
          <w:bCs/>
          <w:b/>
        </w:rPr>
        <w:t xml:space="preserve">“</w:t>
      </w:r>
      <w:r>
        <w:rPr>
          <w:bCs/>
          <w:b/>
        </w:rPr>
        <w:t xml:space="preserve">No to Genocide!</w:t>
      </w:r>
      <w:r>
        <w:rPr>
          <w:bCs/>
          <w:b/>
        </w:rPr>
        <w:t xml:space="preserve">”</w:t>
      </w:r>
      <w:r>
        <w:rPr>
          <w:bCs/>
          <w:b/>
        </w:rPr>
        <w:t xml:space="preserve"> </w:t>
      </w:r>
      <w:r>
        <w:rPr>
          <w:bCs/>
          <w:b/>
        </w:rPr>
        <w:t xml:space="preserve">actually do.</w:t>
      </w:r>
      <w:r>
        <w:t xml:space="preserve"> </w:t>
      </w:r>
      <w:r>
        <w:t xml:space="preserve">They reach into the storage memory of the Armenian Genocide Museum-Institute in Yerevan and selectively pull material into functional memory by placing it on LED screens in the Russian</w:t>
      </w:r>
      <w:r>
        <w:t xml:space="preserve"> </w:t>
      </w:r>
      <w:r>
        <w:t xml:space="preserve">“</w:t>
      </w:r>
      <w:r>
        <w:t xml:space="preserve">Russia — My History</w:t>
      </w:r>
      <w:r>
        <w:t xml:space="preserve">”</w:t>
      </w:r>
      <w:r>
        <w:t xml:space="preserve"> </w:t>
      </w:r>
      <w:r>
        <w:t xml:space="preserve">infrastructure. The empirical analysis will therefore ask which materials are activated, which remain in storage, and what political work this selection performs.</w:t>
      </w:r>
    </w:p>
    <w:p>
      <w:pPr>
        <w:pStyle w:val="BodyText"/>
      </w:pPr>
      <w:r>
        <w:t xml:space="preserve">Aleida Assmann also emphasises the institutional dimension: institutions stand above, and the content of memory below, so memory has to</w:t>
      </w:r>
      <w:r>
        <w:t xml:space="preserve"> </w:t>
      </w:r>
      <w:r>
        <w:t xml:space="preserve">“</w:t>
      </w:r>
      <w:r>
        <w:t xml:space="preserve">rise up</w:t>
      </w:r>
      <w:r>
        <w:t xml:space="preserve">”</w:t>
      </w:r>
      <w:r>
        <w:t xml:space="preserve"> </w:t>
      </w:r>
      <w:r>
        <w:t xml:space="preserve">to enter the field of attention of institutions, which in turn</w:t>
      </w:r>
      <w:r>
        <w:t xml:space="preserve"> </w:t>
      </w:r>
      <w:r>
        <w:t xml:space="preserve">“</w:t>
      </w:r>
      <w:r>
        <w:t xml:space="preserve">prepare cultural memory for subsequent assimilation</w:t>
      </w:r>
      <w:r>
        <w:t xml:space="preserve">”</w:t>
      </w:r>
      <w:r>
        <w:t xml:space="preserve"> </w:t>
      </w:r>
      <w:r>
        <w:t xml:space="preserve">(A. Assmann, 2011, p. 150).</w:t>
      </w:r>
      <w:r>
        <w:t xml:space="preserve"> </w:t>
      </w:r>
      <w:r>
        <w:rPr>
          <w:bCs/>
          <w:b/>
        </w:rPr>
        <w:t xml:space="preserve">This characterisation is important for this research because it provides the theoretical grounding for treating museum curatorship as an institutional instrument.</w:t>
      </w:r>
      <w:r>
        <w:t xml:space="preserve"> </w:t>
      </w:r>
      <w:r>
        <w:t xml:space="preserve">A curator selects material, groups it and presents the visitor with a ready interpretation of tragic events. For our analysis this means that the exhibition cannot be understood simply as a set of exhibits; we must take into account the institutional principles that lie behind the selection and organisation of those exhibits — and this is precisely what the interview with the curator will allow us to reconstruct.</w:t>
      </w:r>
    </w:p>
    <w:p>
      <w:pPr>
        <w:pStyle w:val="BodyText"/>
      </w:pPr>
      <w:r>
        <w:t xml:space="preserve">Developing Halbwachs’s ideas, Pierre Nora examines the moment of crisis of living memory in modern society. We talk about memory so much, he argues, because it is disappearing as an immediate, spontaneous reality. The era of</w:t>
      </w:r>
      <w:r>
        <w:t xml:space="preserve"> </w:t>
      </w:r>
      <w:r>
        <w:rPr>
          <w:iCs/>
          <w:i/>
        </w:rPr>
        <w:t xml:space="preserve">milieux de mémoire</w:t>
      </w:r>
      <w:r>
        <w:t xml:space="preserve"> </w:t>
      </w:r>
      <w:r>
        <w:t xml:space="preserve">— natural communities where the past is passed down from generation to generation through customs and rituals — is coming to an end, and it is replaced by</w:t>
      </w:r>
      <w:r>
        <w:t xml:space="preserve"> </w:t>
      </w:r>
      <w:r>
        <w:rPr>
          <w:iCs/>
          <w:i/>
        </w:rPr>
        <w:t xml:space="preserve">lieux de mémoire</w:t>
      </w:r>
      <w:r>
        <w:t xml:space="preserve">,</w:t>
      </w:r>
      <w:r>
        <w:t xml:space="preserve"> </w:t>
      </w:r>
      <w:r>
        <w:t xml:space="preserve">“</w:t>
      </w:r>
      <w:r>
        <w:t xml:space="preserve">sites of memory</w:t>
      </w:r>
      <w:r>
        <w:t xml:space="preserve">”</w:t>
      </w:r>
      <w:r>
        <w:t xml:space="preserve"> </w:t>
      </w:r>
      <w:r>
        <w:t xml:space="preserve">artificially created to compensate for lost traditions. In contrast to Halbwachs, who allowed for the existence of living collective memory, Pierre Nora declares its irreversible decay. As a result, the analysis of remembering processes is replaced by the study of external objectifications of memory, called</w:t>
      </w:r>
      <w:r>
        <w:t xml:space="preserve"> </w:t>
      </w:r>
      <w:r>
        <w:t xml:space="preserve">“</w:t>
      </w:r>
      <w:r>
        <w:t xml:space="preserve">sites of memory</w:t>
      </w:r>
      <w:r>
        <w:t xml:space="preserve">”</w:t>
      </w:r>
      <w:r>
        <w:t xml:space="preserve"> </w:t>
      </w:r>
      <w:r>
        <w:t xml:space="preserve">(Nora, 2008, p. 19).</w:t>
      </w:r>
      <w:r>
        <w:t xml:space="preserve"> </w:t>
      </w:r>
      <w:r>
        <w:rPr>
          <w:bCs/>
          <w:b/>
        </w:rPr>
        <w:t xml:space="preserve">Nora’s concept of sites of memory is important for this research because it provides the explicit conceptual licence to treat the multimedia exhibition</w:t>
      </w:r>
      <w:r>
        <w:rPr>
          <w:bCs/>
          <w:b/>
        </w:rPr>
        <w:t xml:space="preserve"> </w:t>
      </w:r>
      <w:r>
        <w:rPr>
          <w:bCs/>
          <w:b/>
        </w:rPr>
        <w:t xml:space="preserve">“</w:t>
      </w:r>
      <w:r>
        <w:rPr>
          <w:bCs/>
          <w:b/>
        </w:rPr>
        <w:t xml:space="preserve">No to Genocide!</w:t>
      </w:r>
      <w:r>
        <w:rPr>
          <w:bCs/>
          <w:b/>
        </w:rPr>
        <w:t xml:space="preserve">”</w:t>
      </w:r>
      <w:r>
        <w:rPr>
          <w:bCs/>
          <w:b/>
        </w:rPr>
        <w:t xml:space="preserve"> </w:t>
      </w:r>
      <w:r>
        <w:rPr>
          <w:bCs/>
          <w:b/>
        </w:rPr>
        <w:t xml:space="preserve">as a constructed site of memory and not as a continuation of an organic memorial tradition.</w:t>
      </w:r>
      <w:r>
        <w:t xml:space="preserve"> </w:t>
      </w:r>
      <w:r>
        <w:t xml:space="preserve">Once we treat it as a site of memory, we can read its political work directly: the exhibition exists not because there is a stable community ritualising the past, but because that community has had to externalise its memory into an institution. The analysis will use this concept to explain why the exhibition has to do so much explicit memorial work — the symbols of the forget-me-not and the thorn crown, the explanatory introductory screens — that organic communities would not need to do.</w:t>
      </w:r>
    </w:p>
    <w:p>
      <w:pPr>
        <w:pStyle w:val="BodyText"/>
      </w:pPr>
      <w:r>
        <w:t xml:space="preserve">At the conceptual level, the problem of collective memory is analysed by Jeffrey Olick, who distinguishes between two competing</w:t>
      </w:r>
      <w:r>
        <w:t xml:space="preserve"> </w:t>
      </w:r>
      <w:r>
        <w:t xml:space="preserve">“</w:t>
      </w:r>
      <w:r>
        <w:t xml:space="preserve">cultures</w:t>
      </w:r>
      <w:r>
        <w:t xml:space="preserve">”</w:t>
      </w:r>
      <w:r>
        <w:t xml:space="preserve"> </w:t>
      </w:r>
      <w:r>
        <w:t xml:space="preserve">of memory: collected memory and collective memory. The first treats collective memory as a sum of personal recollections, socially conditioned but belonging to specific individuals. The present study follows the collectivist tradition, which treats memory as symbolic structures, rituals and collective representations that cannot be reduced to individual representations (Olick, 1999, p. 341).</w:t>
      </w:r>
      <w:r>
        <w:t xml:space="preserve"> </w:t>
      </w:r>
      <w:r>
        <w:rPr>
          <w:bCs/>
          <w:b/>
        </w:rPr>
        <w:t xml:space="preserve">Olick’s distinction is important for this research because it forces us to make a methodological commitment.</w:t>
      </w:r>
      <w:r>
        <w:t xml:space="preserve"> </w:t>
      </w:r>
      <w:r>
        <w:t xml:space="preserve">This work does not study how individual visitors remember the genocide after attending the exhibition; it studies what symbolic structures, rituals and collective representations the curators put in place. The MDA protocol described in Chapter 2 operationalises this commitment directly: it analyses the artefacts and arrangements, not individual responses.</w:t>
      </w:r>
    </w:p>
    <w:p>
      <w:pPr>
        <w:pStyle w:val="BodyText"/>
      </w:pPr>
      <w:r>
        <w:t xml:space="preserve">The next step in building the theoretical frame concerns the role of medial formats. Astrid Erll proposes to understand culture through three aspects: the social (people, social relations, institutions), the material (artefacts and media), and the mental (culturally defined ways of thinking, mentalities) (Erll, 2008, p. 12). For Erll, cultural memory is a general concept that unites all three dimensions.</w:t>
      </w:r>
      <w:r>
        <w:t xml:space="preserve"> </w:t>
      </w:r>
      <w:r>
        <w:rPr>
          <w:bCs/>
          <w:b/>
        </w:rPr>
        <w:t xml:space="preserve">For our research the material aspect is decisive, because it is responsible for the fixation and transmission of recollections</w:t>
      </w:r>
      <w:r>
        <w:t xml:space="preserve"> </w:t>
      </w:r>
      <w:r>
        <w:t xml:space="preserve">— and the exhibition operates above all on this aspect. The empirical analysis will be organised around this insight: we look at archival photographs, banners, screens, the sensor table, and the spatial arrangement as the material carriers through which one specific version of cultural memory is fixed.</w:t>
      </w:r>
    </w:p>
    <w:p>
      <w:pPr>
        <w:pStyle w:val="BodyText"/>
      </w:pPr>
      <w:r>
        <w:t xml:space="preserve">A further key thesis for this work is Erll’s claim that recollections do not exist prior to and outside of media; they arise in the process of medial externalisation — the transposition of internal experience into an external, material form. As Erll puts it,</w:t>
      </w:r>
      <w:r>
        <w:t xml:space="preserve"> </w:t>
      </w:r>
      <w:r>
        <w:t xml:space="preserve">“</w:t>
      </w:r>
      <w:r>
        <w:t xml:space="preserve">cultural memory hinges on the notion of the medial, because it is only via medial externalization (from oral speech to writing, painting, or using the Internet) that individual memories, cultural knowledge, and versions of history can be shared</w:t>
      </w:r>
      <w:r>
        <w:t xml:space="preserve">”</w:t>
      </w:r>
      <w:r>
        <w:t xml:space="preserve"> </w:t>
      </w:r>
      <w:r>
        <w:t xml:space="preserve">(Erll, 2008, pp. 12–13).</w:t>
      </w:r>
      <w:r>
        <w:t xml:space="preserve"> </w:t>
      </w:r>
      <w:r>
        <w:rPr>
          <w:bCs/>
          <w:b/>
        </w:rPr>
        <w:t xml:space="preserve">Erll’s notion of medial externalisation is important for this research because it provides the strongest argument against treating media merely as transparent channels.</w:t>
      </w:r>
      <w:r>
        <w:t xml:space="preserve"> </w:t>
      </w:r>
      <w:r>
        <w:t xml:space="preserve">Applied to the Armenian genocide, this means that the version of political memory available in the public sphere is the one that has been externalised through specific media. The analysis will follow this logic: the curatorial choice of media (LED, banners, sensor table, music, light) is read as the substantive choice of what kind of cultural memory of the genocide can be shared.</w:t>
      </w:r>
    </w:p>
    <w:p>
      <w:pPr>
        <w:pStyle w:val="BodyText"/>
      </w:pPr>
      <w:r>
        <w:t xml:space="preserve">Erll further proposes to abandon what she sees as the unhelpful</w:t>
      </w:r>
      <w:r>
        <w:t xml:space="preserve"> </w:t>
      </w:r>
      <w:r>
        <w:t xml:space="preserve">“</w:t>
      </w:r>
      <w:r>
        <w:t xml:space="preserve">opposition between history and memory</w:t>
      </w:r>
      <w:r>
        <w:t xml:space="preserve">”</w:t>
      </w:r>
      <w:r>
        <w:t xml:space="preserve"> </w:t>
      </w:r>
      <w:r>
        <w:t xml:space="preserve">and to speak instead of</w:t>
      </w:r>
      <w:r>
        <w:t xml:space="preserve"> </w:t>
      </w:r>
      <w:r>
        <w:rPr>
          <w:bCs/>
          <w:b/>
        </w:rPr>
        <w:t xml:space="preserve">modes of remembering</w:t>
      </w:r>
      <w:r>
        <w:t xml:space="preserve"> </w:t>
      </w:r>
      <w:r>
        <w:t xml:space="preserve">in culture (Erll, 2008, p. 14–15). For her, the past does not have a fixed form: it is constantly reassembled and re-presented in acts of remembrance (Erll, 2008, p. 14). Therefore the way people remember past events can differ substantially — not only in content but in the very mode of remembering, in the quality and meaning that the past acquires in the present.</w:t>
      </w:r>
      <w:r>
        <w:t xml:space="preserve"> </w:t>
      </w:r>
      <w:r>
        <w:rPr>
          <w:bCs/>
          <w:b/>
        </w:rPr>
        <w:t xml:space="preserve">Erll’s concept of modes of remembering is important for this research because it provides the most direct analytical formulation of the central research question.</w:t>
      </w:r>
      <w:r>
        <w:t xml:space="preserve"> </w:t>
      </w:r>
      <w:r>
        <w:t xml:space="preserve">The exhibition is not just choosing what to remember about the genocide; it is choosing a mode in which to remember it — trauma, heroic resistance, crime against humanity, religious martyrdom, fraternal solidarity. The analysis in Chapter 3 will explicitly identify the modes activated on different screens of</w:t>
      </w:r>
      <w:r>
        <w:t xml:space="preserve"> </w:t>
      </w:r>
      <w:r>
        <w:t xml:space="preserve">“</w:t>
      </w:r>
      <w:r>
        <w:t xml:space="preserve">No to Genocide!</w:t>
      </w:r>
      <w:r>
        <w:t xml:space="preserve">”</w:t>
      </w:r>
      <w:r>
        <w:t xml:space="preserve"> </w:t>
      </w:r>
      <w:r>
        <w:t xml:space="preserve">and explain how the exhibition combines them into one composite mode of</w:t>
      </w:r>
      <w:r>
        <w:t xml:space="preserve"> </w:t>
      </w:r>
      <w:r>
        <w:t xml:space="preserve">“</w:t>
      </w:r>
      <w:r>
        <w:t xml:space="preserve">Russian-Armenian solidarity in the face of historical tragedy</w:t>
      </w:r>
      <w:r>
        <w:t xml:space="preserve">”</w:t>
      </w:r>
      <w:r>
        <w:t xml:space="preserve">.</w:t>
      </w:r>
    </w:p>
    <w:p>
      <w:pPr>
        <w:pStyle w:val="BodyText"/>
      </w:pPr>
      <w:r>
        <w:t xml:space="preserve">If Astrid Erll provides the general theoretical frame for understanding cultural memory, then Ann Rigney, complementing her idea, focuses on the concrete mechanisms of cultural memory’s dynamics. Rigney proposes to consider cultural memory as a continuous process of memorial dynamics, rather than as a static reservoir. She defines it as a</w:t>
      </w:r>
      <w:r>
        <w:t xml:space="preserve"> </w:t>
      </w:r>
      <w:r>
        <w:t xml:space="preserve">“</w:t>
      </w:r>
      <w:r>
        <w:t xml:space="preserve">historical product of cultural mnemotechniques and mnemotechnologies</w:t>
      </w:r>
      <w:r>
        <w:t xml:space="preserve">”</w:t>
      </w:r>
      <w:r>
        <w:t xml:space="preserve"> </w:t>
      </w:r>
      <w:r>
        <w:t xml:space="preserve">(Rigney, 2004, p. 368). To describe the material embodiment of this memory, Rigney introduces the concept of the</w:t>
      </w:r>
      <w:r>
        <w:t xml:space="preserve"> </w:t>
      </w:r>
      <w:r>
        <w:rPr>
          <w:bCs/>
          <w:b/>
        </w:rPr>
        <w:t xml:space="preserve">“</w:t>
      </w:r>
      <w:r>
        <w:rPr>
          <w:bCs/>
          <w:b/>
        </w:rPr>
        <w:t xml:space="preserve">portable monument</w:t>
      </w:r>
      <w:r>
        <w:rPr>
          <w:bCs/>
          <w:b/>
        </w:rPr>
        <w:t xml:space="preserve">”</w:t>
      </w:r>
      <w:r>
        <w:t xml:space="preserve">. In contrast to monuments tied to a specific place, memory objects such as texts or other medial objects can be transferred to new contexts, where they acquire new meanings (Rigney, 2004, p. 383). Following Yuri Lotman, the author calls such images</w:t>
      </w:r>
      <w:r>
        <w:t xml:space="preserve"> </w:t>
      </w:r>
      <w:r>
        <w:rPr>
          <w:bCs/>
          <w:b/>
        </w:rPr>
        <w:t xml:space="preserve">“</w:t>
      </w:r>
      <w:r>
        <w:rPr>
          <w:bCs/>
          <w:b/>
        </w:rPr>
        <w:t xml:space="preserve">mnemonic symbols</w:t>
      </w:r>
      <w:r>
        <w:rPr>
          <w:bCs/>
          <w:b/>
        </w:rPr>
        <w:t xml:space="preserve">”</w:t>
      </w:r>
      <w:r>
        <w:t xml:space="preserve">; they do not so much refer to the past as point to the existence of such a remembrance (Rigney, 2004, p. 387).</w:t>
      </w:r>
      <w:r>
        <w:t xml:space="preserve"> </w:t>
      </w:r>
      <w:r>
        <w:rPr>
          <w:bCs/>
          <w:b/>
        </w:rPr>
        <w:t xml:space="preserve">Rigney’s concept of portable monuments and mnemonic symbols is important for this research because it provides direct theoretical language for two key categories of material on the exhibition.</w:t>
      </w:r>
      <w:r>
        <w:t xml:space="preserve"> </w:t>
      </w:r>
      <w:r>
        <w:t xml:space="preserve">First, the very travelling of the exhibition between Rostov, Saint Petersburg, Nizhny Novgorod and Yekaterinburg is an enactment of</w:t>
      </w:r>
      <w:r>
        <w:t xml:space="preserve"> </w:t>
      </w:r>
      <w:r>
        <w:t xml:space="preserve">“</w:t>
      </w:r>
      <w:r>
        <w:t xml:space="preserve">portable monumentality</w:t>
      </w:r>
      <w:r>
        <w:t xml:space="preserve">”</w:t>
      </w:r>
      <w:r>
        <w:t xml:space="preserve"> </w:t>
      </w:r>
      <w:r>
        <w:t xml:space="preserve">— the memorial object is, by design, transferable. Second, the symbols of the forget-me-not and the thorn crown that appear on the transitional screens are exactly the kind of</w:t>
      </w:r>
      <w:r>
        <w:t xml:space="preserve"> </w:t>
      </w:r>
      <w:r>
        <w:t xml:space="preserve">“</w:t>
      </w:r>
      <w:r>
        <w:t xml:space="preserve">mnemonic symbols</w:t>
      </w:r>
      <w:r>
        <w:t xml:space="preserve">”</w:t>
      </w:r>
      <w:r>
        <w:t xml:space="preserve"> </w:t>
      </w:r>
      <w:r>
        <w:t xml:space="preserve">Rigney describes: they do not depict the past, they index the fact of remembrance and call the viewer into it.</w:t>
      </w:r>
    </w:p>
    <w:p>
      <w:pPr>
        <w:pStyle w:val="BodyText"/>
      </w:pPr>
      <w:r>
        <w:t xml:space="preserve">For Rigney, the authenticity of the past is not always relevant to memorial dynamics: what is significant are those images of the past that are important for the society in the present, because they matter to those who remember them (Rigney, 2004, p. 381).</w:t>
      </w:r>
      <w:r>
        <w:t xml:space="preserve"> </w:t>
      </w:r>
      <w:r>
        <w:rPr>
          <w:bCs/>
          <w:b/>
        </w:rPr>
        <w:t xml:space="preserve">Rigney’s argument applies to this research because it explains a particular feature of</w:t>
      </w:r>
      <w:r>
        <w:rPr>
          <w:bCs/>
          <w:b/>
        </w:rPr>
        <w:t xml:space="preserve"> </w:t>
      </w:r>
      <w:r>
        <w:rPr>
          <w:bCs/>
          <w:b/>
        </w:rPr>
        <w:t xml:space="preserve">“</w:t>
      </w:r>
      <w:r>
        <w:rPr>
          <w:bCs/>
          <w:b/>
        </w:rPr>
        <w:t xml:space="preserve">No to Genocide!</w:t>
      </w:r>
      <w:r>
        <w:rPr>
          <w:bCs/>
          <w:b/>
        </w:rPr>
        <w:t xml:space="preserve">”</w:t>
      </w:r>
      <w:r>
        <w:rPr>
          <w:bCs/>
          <w:b/>
        </w:rPr>
        <w:t xml:space="preserve"> </w:t>
      </w:r>
      <w:r>
        <w:rPr>
          <w:bCs/>
          <w:b/>
        </w:rPr>
        <w:t xml:space="preserve">— that the exhibition openly addresses the present.</w:t>
      </w:r>
      <w:r>
        <w:t xml:space="preserve"> </w:t>
      </w:r>
      <w:r>
        <w:t xml:space="preserve">It does not pretend to be a neutral historical reconstruction; in the curators’ own words, it is aimed at</w:t>
      </w:r>
      <w:r>
        <w:t xml:space="preserve"> </w:t>
      </w:r>
      <w:r>
        <w:t xml:space="preserve">“</w:t>
      </w:r>
      <w:r>
        <w:t xml:space="preserve">the rising of your souls and hearts</w:t>
      </w:r>
      <w:r>
        <w:t xml:space="preserve">”</w:t>
      </w:r>
      <w:r>
        <w:t xml:space="preserve">. The relevance of this material for present-day audiences is precisely the criterion of selection. This thesis is consistent with A. Assmann’s idea of mobile borders between functional and storage memory, and resonates with Halbwachs’s position that memory always reconstructs the past under the influence of the present.</w:t>
      </w:r>
    </w:p>
    <w:bookmarkEnd w:id="21"/>
    <w:bookmarkStart w:id="22" w:name="X8acc9587a7f86b06cfe0311a765bbeb55d26bd3"/>
    <w:p>
      <w:pPr>
        <w:pStyle w:val="Heading2"/>
      </w:pPr>
      <w:r>
        <w:t xml:space="preserve">1.3 Political Memory and Memory Politics: Institutional Production of the Past</w:t>
      </w:r>
    </w:p>
    <w:p>
      <w:pPr>
        <w:pStyle w:val="FirstParagraph"/>
      </w:pPr>
      <w:r>
        <w:t xml:space="preserve">Social memory does not require special efforts of maintenance; it lives in transmitted customs, conversations, family stories. Political memory, by contrast, requires production.</w:t>
      </w:r>
      <w:r>
        <w:t xml:space="preserve"> </w:t>
      </w:r>
      <w:r>
        <w:rPr>
          <w:bCs/>
          <w:b/>
        </w:rPr>
        <w:t xml:space="preserve">This distinction is important for the present study because the exhibition under analysis is precisely an institutional project — initiated by a diaspora organisation, supported by a museum-institute, and hosted by a federal multimedia park — and therefore belongs to the regime of political memory in a strict sense.</w:t>
      </w:r>
      <w:r>
        <w:t xml:space="preserve"> </w:t>
      </w:r>
      <w:r>
        <w:t xml:space="preserve">One of the definitions of political memory is given by Aleida Assmann:</w:t>
      </w:r>
      <w:r>
        <w:t xml:space="preserve"> </w:t>
      </w:r>
      <w:r>
        <w:t xml:space="preserve">“</w:t>
      </w:r>
      <w:r>
        <w:t xml:space="preserve">Institutions and larger social groups, such as nations, states, the church, or a business firm do not</w:t>
      </w:r>
      <w:r>
        <w:t xml:space="preserve"> </w:t>
      </w:r>
      <w:r>
        <w:t xml:space="preserve">‘</w:t>
      </w:r>
      <w:r>
        <w:t xml:space="preserve">have</w:t>
      </w:r>
      <w:r>
        <w:t xml:space="preserve">’</w:t>
      </w:r>
      <w:r>
        <w:t xml:space="preserve"> </w:t>
      </w:r>
      <w:r>
        <w:t xml:space="preserve">a memory, they</w:t>
      </w:r>
      <w:r>
        <w:t xml:space="preserve"> </w:t>
      </w:r>
      <w:r>
        <w:t xml:space="preserve">‘</w:t>
      </w:r>
      <w:r>
        <w:t xml:space="preserve">make</w:t>
      </w:r>
      <w:r>
        <w:t xml:space="preserve">’</w:t>
      </w:r>
      <w:r>
        <w:t xml:space="preserve"> </w:t>
      </w:r>
      <w:r>
        <w:t xml:space="preserve">one for themselves with the aid of memorial signs such as monuments, museums, commemoration rites, and ceremonies</w:t>
      </w:r>
      <w:r>
        <w:t xml:space="preserve">”</w:t>
      </w:r>
      <w:r>
        <w:t xml:space="preserve"> </w:t>
      </w:r>
      <w:r>
        <w:t xml:space="preserve">(Assmann, 2010, p. 43). This formulation fixes a key property: political memory is produced intentionally.</w:t>
      </w:r>
    </w:p>
    <w:p>
      <w:pPr>
        <w:pStyle w:val="BodyText"/>
      </w:pPr>
      <w:r>
        <w:t xml:space="preserve">The making of memory always involves selection: some events get a place in the official version of the past, others do not. Political memory tends towards uniformity: it reduces different versions of the past to one and fixes them in material carriers — monuments, museums, rituals — designed for transmission to subsequent generations:</w:t>
      </w:r>
      <w:r>
        <w:t xml:space="preserve"> </w:t>
      </w:r>
      <w:r>
        <w:t xml:space="preserve">“</w:t>
      </w:r>
      <w:r>
        <w:t xml:space="preserve">political memory is stabilized and can be transmitted from generation to generation</w:t>
      </w:r>
      <w:r>
        <w:t xml:space="preserve">”</w:t>
      </w:r>
      <w:r>
        <w:t xml:space="preserve"> </w:t>
      </w:r>
      <w:r>
        <w:t xml:space="preserve">(Assmann, 2010, p. 43). The word</w:t>
      </w:r>
      <w:r>
        <w:t xml:space="preserve"> </w:t>
      </w:r>
      <w:r>
        <w:t xml:space="preserve">“</w:t>
      </w:r>
      <w:r>
        <w:t xml:space="preserve">stabilized</w:t>
      </w:r>
      <w:r>
        <w:t xml:space="preserve">”</w:t>
      </w:r>
      <w:r>
        <w:t xml:space="preserve"> </w:t>
      </w:r>
      <w:r>
        <w:t xml:space="preserve">is key here: what lives spontaneously in a group requires constant maintenance work in an institution.</w:t>
      </w:r>
      <w:r>
        <w:t xml:space="preserve"> </w:t>
      </w:r>
      <w:r>
        <w:rPr>
          <w:bCs/>
          <w:b/>
        </w:rPr>
        <w:t xml:space="preserve">Aleida Assmann’s account of political memory as institutional stabilisation is important for this research because it gives us the strongest argument against reading any single curatorial element as a neutral act of information.</w:t>
      </w:r>
      <w:r>
        <w:t xml:space="preserve"> </w:t>
      </w:r>
      <w:r>
        <w:t xml:space="preserve">Each element on the exhibition — a banner, a screen, a transition, a photograph — has to be read as a result of selection and as a contribution to the stabilisation of a particular version of the past.</w:t>
      </w:r>
    </w:p>
    <w:p>
      <w:pPr>
        <w:pStyle w:val="BodyText"/>
      </w:pPr>
      <w:r>
        <w:t xml:space="preserve">Political memory establishes a normative framework within which some recollections gain the status of legitimate in the public space, while others are displaced (Assmann, 2010, p. 49). Recognition or non-recognition of an event at the state level is a decision about whether it will enter the normative symbolic order of the given society or remain outside of it. This translates the question from a historical into a political one.</w:t>
      </w:r>
      <w:r>
        <w:t xml:space="preserve"> </w:t>
      </w:r>
      <w:r>
        <w:rPr>
          <w:bCs/>
          <w:b/>
        </w:rPr>
        <w:t xml:space="preserve">This idea is important for the analysis of</w:t>
      </w:r>
      <w:r>
        <w:rPr>
          <w:bCs/>
          <w:b/>
        </w:rPr>
        <w:t xml:space="preserve"> </w:t>
      </w:r>
      <w:r>
        <w:rPr>
          <w:bCs/>
          <w:b/>
        </w:rPr>
        <w:t xml:space="preserve">“</w:t>
      </w:r>
      <w:r>
        <w:rPr>
          <w:bCs/>
          <w:b/>
        </w:rPr>
        <w:t xml:space="preserve">No to Genocide!</w:t>
      </w:r>
      <w:r>
        <w:rPr>
          <w:bCs/>
          <w:b/>
        </w:rPr>
        <w:t xml:space="preserve">”</w:t>
      </w:r>
      <w:r>
        <w:rPr>
          <w:bCs/>
          <w:b/>
        </w:rPr>
        <w:t xml:space="preserve"> </w:t>
      </w:r>
      <w:r>
        <w:rPr>
          <w:bCs/>
          <w:b/>
        </w:rPr>
        <w:t xml:space="preserve">because it allows us to read the very fact of public recognition of the genocide by an institution — and the exhibition’s final block on Russia’s and the world’s recognition of the genocide — as a normative act, not as an informational one.</w:t>
      </w:r>
      <w:r>
        <w:t xml:space="preserve"> </w:t>
      </w:r>
      <w:r>
        <w:t xml:space="preserve">The exhibition does not</w:t>
      </w:r>
      <w:r>
        <w:t xml:space="preserve"> </w:t>
      </w:r>
      <w:r>
        <w:t xml:space="preserve">“</w:t>
      </w:r>
      <w:r>
        <w:t xml:space="preserve">inform</w:t>
      </w:r>
      <w:r>
        <w:t xml:space="preserve">”</w:t>
      </w:r>
      <w:r>
        <w:t xml:space="preserve"> </w:t>
      </w:r>
      <w:r>
        <w:t xml:space="preserve">the visitor that the genocide was recognised; it performs an act of stabilising that recognition.</w:t>
      </w:r>
    </w:p>
    <w:p>
      <w:pPr>
        <w:pStyle w:val="BodyText"/>
      </w:pPr>
      <w:r>
        <w:t xml:space="preserve">However, this concept does not answer the question of who exactly is recognised as a victim and who is not, and how memory functions under the conditions of this conflict. Post-war Europe is a vivid example of how the state decides what to remember and what to forget: this mechanism is traced by Tony Judt. Official memory was consistently built on a separation: that which was done</w:t>
      </w:r>
      <w:r>
        <w:t xml:space="preserve"> </w:t>
      </w:r>
      <w:r>
        <w:t xml:space="preserve">“</w:t>
      </w:r>
      <w:r>
        <w:t xml:space="preserve">to us</w:t>
      </w:r>
      <w:r>
        <w:t xml:space="preserve">”</w:t>
      </w:r>
      <w:r>
        <w:t xml:space="preserve"> </w:t>
      </w:r>
      <w:r>
        <w:t xml:space="preserve">was openly recognised; that which</w:t>
      </w:r>
      <w:r>
        <w:t xml:space="preserve"> </w:t>
      </w:r>
      <w:r>
        <w:t xml:space="preserve">“</w:t>
      </w:r>
      <w:r>
        <w:t xml:space="preserve">we did ourselves</w:t>
      </w:r>
      <w:r>
        <w:t xml:space="preserve">”</w:t>
      </w:r>
      <w:r>
        <w:t xml:space="preserve"> </w:t>
      </w:r>
      <w:r>
        <w:t xml:space="preserve">was systematically displaced (Judt, 1992, p. 89). To present oneself as a victim and at the same time keep silent about one’s own complicity is a deliberate choice. Some recollections receive institutional support, others exist in spite of it. The selection of what is preserved is impossible without the selection of what is eliminated. Moreover, this forgetting is organised by the same institutions that organise memory. This is demonstrated through the analysis of memorial practices:</w:t>
      </w:r>
      <w:r>
        <w:t xml:space="preserve"> </w:t>
      </w:r>
      <w:r>
        <w:t xml:space="preserve">“</w:t>
      </w:r>
      <w:r>
        <w:t xml:space="preserve">the construction of war memorials was undertaken, all of them with the same pedagogical message</w:t>
      </w:r>
      <w:r>
        <w:t xml:space="preserve">”</w:t>
      </w:r>
      <w:r>
        <w:t xml:space="preserve"> </w:t>
      </w:r>
      <w:r>
        <w:t xml:space="preserve">(Judt, 1992, p. 92). Thus, in addition to informing, a memorial becomes a pedagogical instrument. The memorial in this case is a way of constructing memory.</w:t>
      </w:r>
    </w:p>
    <w:p>
      <w:pPr>
        <w:pStyle w:val="BodyText"/>
      </w:pPr>
      <w:r>
        <w:rPr>
          <w:bCs/>
          <w:b/>
        </w:rPr>
        <w:t xml:space="preserve">Judt’s framework is important for this research because it provides the analytical vocabulary for examining the asymmetric distribution of voice on the exhibition.</w:t>
      </w:r>
      <w:r>
        <w:t xml:space="preserve"> </w:t>
      </w:r>
      <w:r>
        <w:t xml:space="preserve">Although</w:t>
      </w:r>
      <w:r>
        <w:t xml:space="preserve"> </w:t>
      </w:r>
      <w:r>
        <w:t xml:space="preserve">“</w:t>
      </w:r>
      <w:r>
        <w:t xml:space="preserve">No to Genocide!</w:t>
      </w:r>
      <w:r>
        <w:t xml:space="preserve">”</w:t>
      </w:r>
      <w:r>
        <w:t xml:space="preserve"> </w:t>
      </w:r>
      <w:r>
        <w:t xml:space="preserve">is not silencing its own historical responsibility (the project is created by an Armenian diaspora organisation and is unambiguously on the side of the victims), its composition is still structured by a Judtian logic. The visible voices are those of the recognised authorities — the Pope, Nansen, Putin, Russian writers, Russian soldiers. The voice of the victims themselves is mainly mediated through images, not through speech. The voice of the perpetrator (the Ottoman empire, the Young Turk government) is mentioned but not enacted. The analysis will use Judt’s lens to make this asymmetry visible as a structural feature of the exhibition.</w:t>
      </w:r>
    </w:p>
    <w:p>
      <w:pPr>
        <w:pStyle w:val="BodyText"/>
      </w:pPr>
      <w:r>
        <w:t xml:space="preserve">It is important to take into account the temporal mode in which political memory operates. Enzo Traverso formulates one approach to this problem:</w:t>
      </w:r>
      <w:r>
        <w:t xml:space="preserve"> </w:t>
      </w:r>
      <w:r>
        <w:t xml:space="preserve">“</w:t>
      </w:r>
      <w:r>
        <w:t xml:space="preserve">Memory always speaks in the present tense, which determines its modalities: the selection of events worthy of preservation, of witnesses worth listening to, their interpretation, and their</w:t>
      </w:r>
      <w:r>
        <w:t xml:space="preserve"> </w:t>
      </w:r>
      <w:r>
        <w:t xml:space="preserve">‘</w:t>
      </w:r>
      <w:r>
        <w:t xml:space="preserve">lessons</w:t>
      </w:r>
      <w:r>
        <w:t xml:space="preserve">’</w:t>
      </w:r>
      <w:r>
        <w:t xml:space="preserve">”</w:t>
      </w:r>
      <w:r>
        <w:t xml:space="preserve"> </w:t>
      </w:r>
      <w:r>
        <w:t xml:space="preserve">(Traverso, 2005, p. 11). Political memory is an instrument of the present. The decision about what exactly to remember and how to interpret a recollection is taken in light of current political tasks, not in light of the logic of the event itself.</w:t>
      </w:r>
      <w:r>
        <w:t xml:space="preserve"> </w:t>
      </w:r>
      <w:r>
        <w:rPr>
          <w:bCs/>
          <w:b/>
        </w:rPr>
        <w:t xml:space="preserve">The concepts of A. Assmann and E. Traverso are important for this research because, taken together, they account for both the structure and the temporality of political memory production.</w:t>
      </w:r>
      <w:r>
        <w:t xml:space="preserve"> </w:t>
      </w:r>
      <w:r>
        <w:t xml:space="preserve">Assmann’s account describes the structure through which memory is produced institutionally; Traverso’s account asserts that this memory always serves the actual political tasks of the present. Applied to our case, this twofold lens explains why the exhibition’s final block frames recognition not in terms of past international declarations but through the contemporary photograph of Putin at the Tsitsernakaberd memorial — the act of remembering is anchored in the political present.</w:t>
      </w:r>
    </w:p>
    <w:p>
      <w:pPr>
        <w:pStyle w:val="BodyText"/>
      </w:pPr>
      <w:r>
        <w:t xml:space="preserve">The requirement to remember is called the</w:t>
      </w:r>
      <w:r>
        <w:t xml:space="preserve"> </w:t>
      </w:r>
      <w:r>
        <w:t xml:space="preserve">“</w:t>
      </w:r>
      <w:r>
        <w:t xml:space="preserve">duty of memory</w:t>
      </w:r>
      <w:r>
        <w:t xml:space="preserve">”</w:t>
      </w:r>
      <w:r>
        <w:t xml:space="preserve">, which can turn into a political instrument:</w:t>
      </w:r>
      <w:r>
        <w:t xml:space="preserve"> </w:t>
      </w:r>
      <w:r>
        <w:t xml:space="preserve">“</w:t>
      </w:r>
      <w:r>
        <w:t xml:space="preserve">Memory turns into a political stake and takes on the form of an ethical demand of</w:t>
      </w:r>
      <w:r>
        <w:t xml:space="preserve"> </w:t>
      </w:r>
      <w:r>
        <w:t xml:space="preserve">‘</w:t>
      </w:r>
      <w:r>
        <w:t xml:space="preserve">duty of memory</w:t>
      </w:r>
      <w:r>
        <w:t xml:space="preserve">’</w:t>
      </w:r>
      <w:r>
        <w:t xml:space="preserve">, which often becomes a source of abuses</w:t>
      </w:r>
      <w:r>
        <w:t xml:space="preserve">”</w:t>
      </w:r>
      <w:r>
        <w:t xml:space="preserve"> </w:t>
      </w:r>
      <w:r>
        <w:t xml:space="preserve">(Traverso, 2005, p. 11). The obligation to remember can work in favour of the victims, but it can also turn into an instrument for those who control the narrative. The difference between these two outcomes is determined by the concrete mechanisms of memory production: by who speaks, about what they speak, and what they keep silent about.</w:t>
      </w:r>
      <w:r>
        <w:t xml:space="preserve"> </w:t>
      </w:r>
      <w:r>
        <w:rPr>
          <w:bCs/>
          <w:b/>
        </w:rPr>
        <w:t xml:space="preserve">Traverso’s notion of the duty of memory is important for this research because it gives us a critical, rather than celebratory, lens on the exhibition’s memorial ambition.</w:t>
      </w:r>
      <w:r>
        <w:t xml:space="preserve"> </w:t>
      </w:r>
      <w:r>
        <w:t xml:space="preserve">The same exhibition that performs the act of recognition of victims also stabilises a specific national narrative; the analysis in Chapter 3 will pay attention to both sides at once.</w:t>
      </w:r>
    </w:p>
    <w:p>
      <w:pPr>
        <w:pStyle w:val="BodyText"/>
      </w:pPr>
      <w:r>
        <w:t xml:space="preserve">Another regularity is also recorded: memory of one historical crime creates a normative point of reference through which society perceives others. Catastrophes that have received recognition acquire a memorial infrastructure; those that have not been recognised remain outside the field of normative memory and thereby outside the field of political action. Traverso traces this logic on a specific example: when in April 1994 the genocide in Rwanda was not yet recognised by the international community, it was precisely the appeal to the memory of the Holocaust that proved to be the only rhetorical instrument capable of drawing attention to it. However, Traverso records the following:</w:t>
      </w:r>
      <w:r>
        <w:t xml:space="preserve"> </w:t>
      </w:r>
      <w:r>
        <w:t xml:space="preserve">“</w:t>
      </w:r>
      <w:r>
        <w:t xml:space="preserve">Malheureusement, il est plus facile de commémorer les génocides, surtout à des décennies de distance, que de les empêcher</w:t>
      </w:r>
      <w:r>
        <w:t xml:space="preserve">”</w:t>
      </w:r>
      <w:r>
        <w:t xml:space="preserve"> </w:t>
      </w:r>
      <w:r>
        <w:t xml:space="preserve">(Traverso, 2005, p. 70). Memory that relies on institutional structures is oriented towards the past; it fixes already recognised catastrophes and uses them as a starting point for conversations about the contemporary.</w:t>
      </w:r>
      <w:r>
        <w:t xml:space="preserve"> </w:t>
      </w:r>
      <w:r>
        <w:rPr>
          <w:bCs/>
          <w:b/>
        </w:rPr>
        <w:t xml:space="preserve">This argument is important for this research because it places the analysed case in a broader memorial economy.</w:t>
      </w:r>
      <w:r>
        <w:t xml:space="preserve"> </w:t>
      </w:r>
      <w:r>
        <w:t xml:space="preserve">The Armenian genocide is not recognised on all sides (it is denied by Turkey, and recognition by various states has been gained unevenly), so the recognition that the exhibition produces operates inside the same logic that Traverso describes: it both inscribes the event in the field of normative memory and depends, in its symbolism, on prior recognitions (the Holocaust, the language of</w:t>
      </w:r>
      <w:r>
        <w:t xml:space="preserve"> </w:t>
      </w:r>
      <w:r>
        <w:t xml:space="preserve">“</w:t>
      </w:r>
      <w:r>
        <w:t xml:space="preserve">crime against humanity</w:t>
      </w:r>
      <w:r>
        <w:t xml:space="preserve">”</w:t>
      </w:r>
      <w:r>
        <w:t xml:space="preserve"> </w:t>
      </w:r>
      <w:r>
        <w:t xml:space="preserve">coined by Lemkin in the Armenian context).</w:t>
      </w:r>
    </w:p>
    <w:p>
      <w:pPr>
        <w:pStyle w:val="BodyText"/>
      </w:pPr>
      <w:r>
        <w:t xml:space="preserve">The three approaches considered together build an analytical framework. Aleida Assmann describes the structure of political memory: it is produced institutionally, builds a hierarchy of normative symbols, and is fixed in material carriers. Tony Judt shows this structure in action through the asymmetry between those who receive the status of victim and those who do not, and through the logic of the memorial as a pedagogical instrument. Traverso adds that memory is always produced in the logic of the present, and that the</w:t>
      </w:r>
      <w:r>
        <w:t xml:space="preserve"> </w:t>
      </w:r>
      <w:r>
        <w:t xml:space="preserve">“</w:t>
      </w:r>
      <w:r>
        <w:t xml:space="preserve">duty of memory</w:t>
      </w:r>
      <w:r>
        <w:t xml:space="preserve">”</w:t>
      </w:r>
      <w:r>
        <w:t xml:space="preserve"> </w:t>
      </w:r>
      <w:r>
        <w:t xml:space="preserve">does not lift it out of memory politics but creates a new form of it. Together, these positions establish that a museum or memorial exhibition is, by its very structure, a space of memory politics. The institutional choice of what to show, how to construct the narrative, and which voices to bring to the foreground carries a political dimension regardless of the declared intentions of the creators.</w:t>
      </w:r>
      <w:r>
        <w:t xml:space="preserve"> </w:t>
      </w:r>
      <w:r>
        <w:rPr>
          <w:bCs/>
          <w:b/>
        </w:rPr>
        <w:t xml:space="preserve">This is precisely what makes the question of curatorial decisions a research question and not merely a descriptive one — and it sets up the next section, where the museum will be examined as a mediatized form of memory politics under the digital condition.</w:t>
      </w:r>
    </w:p>
    <w:bookmarkEnd w:id="22"/>
    <w:bookmarkStart w:id="23" w:name="Xa51429882835da1ec74d2957d2b10d107b315ed"/>
    <w:p>
      <w:pPr>
        <w:pStyle w:val="Heading2"/>
      </w:pPr>
      <w:r>
        <w:t xml:space="preserve">1.4 The Digital Transformation of Memory and the Museum as a Mediatized Form of Memory Politics</w:t>
      </w:r>
    </w:p>
    <w:p>
      <w:pPr>
        <w:pStyle w:val="FirstParagraph"/>
      </w:pPr>
      <w:r>
        <w:t xml:space="preserve">Digital media have changed the very nature of memory, not merely the ways of storing information. The concept of the</w:t>
      </w:r>
      <w:r>
        <w:t xml:space="preserve"> </w:t>
      </w:r>
      <w:r>
        <w:rPr>
          <w:bCs/>
          <w:b/>
        </w:rPr>
        <w:t xml:space="preserve">“</w:t>
      </w:r>
      <w:r>
        <w:rPr>
          <w:bCs/>
          <w:b/>
        </w:rPr>
        <w:t xml:space="preserve">connective turn</w:t>
      </w:r>
      <w:r>
        <w:rPr>
          <w:bCs/>
          <w:b/>
        </w:rPr>
        <w:t xml:space="preserve">”</w:t>
      </w:r>
      <w:r>
        <w:t xml:space="preserve"> </w:t>
      </w:r>
      <w:r>
        <w:t xml:space="preserve">describes this process as an abrupt transition to a culture of data abundance, in which traditional institutions of memory come under pressure (Hoskins, 2011). Memory begins to function differently: it simultaneously fixes the past and deprives it of stability. In the traditional model, the archive and the museum acted as stable repositories of memory, ensuring its long-term preservation. In the digital age, this principle is blurred: memory ceases to exist in the form of unchanging objects and becomes a process of continuous renewal.</w:t>
      </w:r>
      <w:r>
        <w:t xml:space="preserve"> </w:t>
      </w:r>
      <w:r>
        <w:rPr>
          <w:bCs/>
          <w:b/>
        </w:rPr>
        <w:t xml:space="preserve">Hoskins’s concept of the connective turn is important for this research because it positions</w:t>
      </w:r>
      <w:r>
        <w:rPr>
          <w:bCs/>
          <w:b/>
        </w:rPr>
        <w:t xml:space="preserve"> </w:t>
      </w:r>
      <w:r>
        <w:rPr>
          <w:bCs/>
          <w:b/>
        </w:rPr>
        <w:t xml:space="preserve">“</w:t>
      </w:r>
      <w:r>
        <w:rPr>
          <w:bCs/>
          <w:b/>
        </w:rPr>
        <w:t xml:space="preserve">No to Genocide!</w:t>
      </w:r>
      <w:r>
        <w:rPr>
          <w:bCs/>
          <w:b/>
        </w:rPr>
        <w:t xml:space="preserve">”</w:t>
      </w:r>
      <w:r>
        <w:rPr>
          <w:bCs/>
          <w:b/>
        </w:rPr>
        <w:t xml:space="preserve"> </w:t>
      </w:r>
      <w:r>
        <w:rPr>
          <w:bCs/>
          <w:b/>
        </w:rPr>
        <w:t xml:space="preserve">inside, not outside, the very crisis of traditional memorial institutions.</w:t>
      </w:r>
      <w:r>
        <w:t xml:space="preserve"> </w:t>
      </w:r>
      <w:r>
        <w:t xml:space="preserve">The exhibition is not a</w:t>
      </w:r>
      <w:r>
        <w:t xml:space="preserve"> </w:t>
      </w:r>
      <w:r>
        <w:t xml:space="preserve">“</w:t>
      </w:r>
      <w:r>
        <w:t xml:space="preserve">classical museum project that happens to use multimedia</w:t>
      </w:r>
      <w:r>
        <w:t xml:space="preserve">”</w:t>
      </w:r>
      <w:r>
        <w:t xml:space="preserve">; it is a memorial form designed for an environment in which audiences already presume that</w:t>
      </w:r>
      <w:r>
        <w:t xml:space="preserve"> </w:t>
      </w:r>
      <w:r>
        <w:t xml:space="preserve">“</w:t>
      </w:r>
      <w:r>
        <w:t xml:space="preserve">everything is available online</w:t>
      </w:r>
      <w:r>
        <w:t xml:space="preserve">”</w:t>
      </w:r>
      <w:r>
        <w:t xml:space="preserve">. Its curatorial decisions about format, density of material, and pace of transitions are made in competition with that online presence.</w:t>
      </w:r>
    </w:p>
    <w:p>
      <w:pPr>
        <w:pStyle w:val="BodyText"/>
      </w:pPr>
      <w:r>
        <w:t xml:space="preserve">The concept of the</w:t>
      </w:r>
      <w:r>
        <w:t xml:space="preserve"> </w:t>
      </w:r>
      <w:r>
        <w:rPr>
          <w:bCs/>
          <w:b/>
        </w:rPr>
        <w:t xml:space="preserve">“</w:t>
      </w:r>
      <w:r>
        <w:rPr>
          <w:bCs/>
          <w:b/>
        </w:rPr>
        <w:t xml:space="preserve">new memory ecology</w:t>
      </w:r>
      <w:r>
        <w:rPr>
          <w:bCs/>
          <w:b/>
        </w:rPr>
        <w:t xml:space="preserve">”</w:t>
      </w:r>
      <w:r>
        <w:t xml:space="preserve"> </w:t>
      </w:r>
      <w:r>
        <w:t xml:space="preserve">captures an environment in which media and memory cannot be reduced to a single carrier or individual. Museums, exhibitions and archives became embodiments of the</w:t>
      </w:r>
      <w:r>
        <w:t xml:space="preserve"> </w:t>
      </w:r>
      <w:r>
        <w:t xml:space="preserve">“</w:t>
      </w:r>
      <w:r>
        <w:t xml:space="preserve">second memory boom</w:t>
      </w:r>
      <w:r>
        <w:t xml:space="preserve">”</w:t>
      </w:r>
      <w:r>
        <w:t xml:space="preserve"> </w:t>
      </w:r>
      <w:r>
        <w:t xml:space="preserve">— the period of the second half of the 20th century when the institutional culture of memory flourished (Hoskins, 2011). However, in the digital age this institutional peak turns into a crisis. The audience’s conviction that any information can be found online leads to a flight from physical institutions. A telling example is a situation recorded in the mid-2010s: the National Archives of the United Kingdom experienced a decline in attendance, because</w:t>
      </w:r>
      <w:r>
        <w:t xml:space="preserve"> </w:t>
      </w:r>
      <w:r>
        <w:t xml:space="preserve">“</w:t>
      </w:r>
      <w:r>
        <w:t xml:space="preserve">…as people believe they can access everything online…</w:t>
      </w:r>
      <w:r>
        <w:t xml:space="preserve">”</w:t>
      </w:r>
      <w:r>
        <w:t xml:space="preserve"> </w:t>
      </w:r>
      <w:r>
        <w:t xml:space="preserve">(Hoskins, 2011). This is a consequence of a</w:t>
      </w:r>
      <w:r>
        <w:t xml:space="preserve"> </w:t>
      </w:r>
      <w:r>
        <w:t xml:space="preserve">“</w:t>
      </w:r>
      <w:r>
        <w:t xml:space="preserve">post-scarcity</w:t>
      </w:r>
      <w:r>
        <w:t xml:space="preserve">”</w:t>
      </w:r>
      <w:r>
        <w:t xml:space="preserve"> </w:t>
      </w:r>
      <w:r>
        <w:t xml:space="preserve">culture: the excess of information undermines the authority of the very institutions that store it.</w:t>
      </w:r>
      <w:r>
        <w:t xml:space="preserve"> </w:t>
      </w:r>
      <w:r>
        <w:rPr>
          <w:bCs/>
          <w:b/>
        </w:rPr>
        <w:t xml:space="preserve">Applied to the present study, the concept of the new memory ecology is important because it explains why the exhibition has to perform such intense work of presence and atmosphere — the darkening, the continuous music, the synchronous transitions, the use of large-scale LED surfaces.</w:t>
      </w:r>
      <w:r>
        <w:t xml:space="preserve"> </w:t>
      </w:r>
      <w:r>
        <w:t xml:space="preserve">In a post-scarcity environment, the museum has to justify the physical visit by offering an experience that online access cannot reproduce, and the analysis in Chapter 3 will read several spatial-technological decisions of</w:t>
      </w:r>
      <w:r>
        <w:t xml:space="preserve"> </w:t>
      </w:r>
      <w:r>
        <w:t xml:space="preserve">“</w:t>
      </w:r>
      <w:r>
        <w:t xml:space="preserve">No to Genocide!</w:t>
      </w:r>
      <w:r>
        <w:t xml:space="preserve">”</w:t>
      </w:r>
      <w:r>
        <w:t xml:space="preserve"> </w:t>
      </w:r>
      <w:r>
        <w:t xml:space="preserve">precisely as responses to this competitive pressure.</w:t>
      </w:r>
    </w:p>
    <w:p>
      <w:pPr>
        <w:pStyle w:val="BodyText"/>
      </w:pPr>
      <w:r>
        <w:t xml:space="preserve">The crisis of attendance is the external manifestation of a deeper shift. An analysis of digital practices in Holocaust museums shows that institutions do not simply adapt to the digital environment — they become dependent on it:</w:t>
      </w:r>
      <w:r>
        <w:t xml:space="preserve"> </w:t>
      </w:r>
      <w:r>
        <w:t xml:space="preserve">“</w:t>
      </w:r>
      <w:r>
        <w:t xml:space="preserve">Successfully staging historical authenticity for today’s audiences requires digital technology. All these exhibits teem with digital media as they surround their visitors with re-mastered photos, sound recordings, and film footage…</w:t>
      </w:r>
      <w:r>
        <w:t xml:space="preserve">”</w:t>
      </w:r>
      <w:r>
        <w:t xml:space="preserve"> </w:t>
      </w:r>
      <w:r>
        <w:t xml:space="preserve">(Kansteiner, in Hoskins, 2018, p. 118). However, technology does not abolish institutional control over interpretation — it reproduces it in new forms. The exposition of the Buchenwald memorial illustrates this vividly:</w:t>
      </w:r>
      <w:r>
        <w:t xml:space="preserve"> </w:t>
      </w:r>
      <w:r>
        <w:t xml:space="preserve">“</w:t>
      </w:r>
      <w:r>
        <w:t xml:space="preserve">visitors are cast in relatively passive roles; they can watch, read, and listen but there are few explicit invitations to participate in the sense-making endeavor</w:t>
      </w:r>
      <w:r>
        <w:t xml:space="preserve">”</w:t>
      </w:r>
      <w:r>
        <w:t xml:space="preserve"> </w:t>
      </w:r>
      <w:r>
        <w:t xml:space="preserve">(Kansteiner, in Hoskins, 2018, p. 118). The digitisation of an exhibition does not mean the transfer of power over the narrative: the question of who controls it remains political.</w:t>
      </w:r>
      <w:r>
        <w:t xml:space="preserve"> </w:t>
      </w:r>
      <w:r>
        <w:rPr>
          <w:bCs/>
          <w:b/>
        </w:rPr>
        <w:t xml:space="preserve">Kansteiner’s argument is important for this research because it directly explains a tension that</w:t>
      </w:r>
      <w:r>
        <w:rPr>
          <w:bCs/>
          <w:b/>
        </w:rPr>
        <w:t xml:space="preserve"> </w:t>
      </w:r>
      <w:r>
        <w:rPr>
          <w:bCs/>
          <w:b/>
        </w:rPr>
        <w:t xml:space="preserve">“</w:t>
      </w:r>
      <w:r>
        <w:rPr>
          <w:bCs/>
          <w:b/>
        </w:rPr>
        <w:t xml:space="preserve">No to Genocide!</w:t>
      </w:r>
      <w:r>
        <w:rPr>
          <w:bCs/>
          <w:b/>
        </w:rPr>
        <w:t xml:space="preserve">”</w:t>
      </w:r>
      <w:r>
        <w:rPr>
          <w:bCs/>
          <w:b/>
        </w:rPr>
        <w:t xml:space="preserve"> </w:t>
      </w:r>
      <w:r>
        <w:rPr>
          <w:bCs/>
          <w:b/>
        </w:rPr>
        <w:t xml:space="preserve">itself reproduces:</w:t>
      </w:r>
      <w:r>
        <w:t xml:space="preserve"> </w:t>
      </w:r>
      <w:r>
        <w:t xml:space="preserve">the multimedia format of the exhibition creates an appearance of technological openness, while curatorial decisions about which voices are included in the narrative and what the visitor’s role is remain determined by the institutional logic of the organisers. Empirically, this will be visible in Chapter 3 in the analysis of the sensor tables (mostly duplicating the LED screens rather than offering autonomous content) and the linear route (no branches, no visitor-chosen path).</w:t>
      </w:r>
    </w:p>
    <w:p>
      <w:pPr>
        <w:pStyle w:val="BodyText"/>
      </w:pPr>
      <w:r>
        <w:t xml:space="preserve">This observation points to a fracture which is described as a contradiction between two cultures of memory:</w:t>
      </w:r>
      <w:r>
        <w:t xml:space="preserve"> </w:t>
      </w:r>
      <w:r>
        <w:t xml:space="preserve">“</w:t>
      </w:r>
      <w:r>
        <w:t xml:space="preserve">one formalized, institutionalized, regimented (including online); the other more emergent, confrontational, yet fragmented</w:t>
      </w:r>
      <w:r>
        <w:t xml:space="preserve">”</w:t>
      </w:r>
      <w:r>
        <w:t xml:space="preserve"> </w:t>
      </w:r>
      <w:r>
        <w:t xml:space="preserve">(Hoskins, 2011). Crucially, this fracture runs within institutions themselves, not between the museum and its audience. Multimedia exhibitions are spaces where this contradiction is not resolved but reproduced in every curatorial decision.</w:t>
      </w:r>
      <w:r>
        <w:t xml:space="preserve"> </w:t>
      </w:r>
      <w:r>
        <w:rPr>
          <w:bCs/>
          <w:b/>
        </w:rPr>
        <w:t xml:space="preserve">Hoskins’s diagnosis is important for this research because the case of</w:t>
      </w:r>
      <w:r>
        <w:rPr>
          <w:bCs/>
          <w:b/>
        </w:rPr>
        <w:t xml:space="preserve"> </w:t>
      </w:r>
      <w:r>
        <w:rPr>
          <w:bCs/>
          <w:b/>
        </w:rPr>
        <w:t xml:space="preserve">“</w:t>
      </w:r>
      <w:r>
        <w:rPr>
          <w:bCs/>
          <w:b/>
        </w:rPr>
        <w:t xml:space="preserve">No to Genocide!</w:t>
      </w:r>
      <w:r>
        <w:rPr>
          <w:bCs/>
          <w:b/>
        </w:rPr>
        <w:t xml:space="preserve">”</w:t>
      </w:r>
      <w:r>
        <w:rPr>
          <w:bCs/>
          <w:b/>
        </w:rPr>
        <w:t xml:space="preserve"> </w:t>
      </w:r>
      <w:r>
        <w:rPr>
          <w:bCs/>
          <w:b/>
        </w:rPr>
        <w:t xml:space="preserve">embodies an additional, very specific version of this contradiction:</w:t>
      </w:r>
      <w:r>
        <w:t xml:space="preserve"> </w:t>
      </w:r>
      <w:r>
        <w:t xml:space="preserve">the exhibition is created by a diaspora organisation on the platform of a state historical park, which from the outset sets up a tension between the institutional narrative of the platform and the memorial narrative of the organisers. The analysis will treat this tension as productive — that is, as a source of analytically valuable curatorial trade-offs.</w:t>
      </w:r>
    </w:p>
    <w:p>
      <w:pPr>
        <w:pStyle w:val="BodyText"/>
      </w:pPr>
      <w:r>
        <w:t xml:space="preserve">Why the fracture became possible at all is explained by the concept of the archival order and its digital transformation. The traditional museum was built on the principle of archival order, but the digital environment replaces this order with dynamics (Ernst, 2013). For the museum this means a fundamental shift: it ceases to be merely a storage and becomes a space where the past is constantly reassembled.</w:t>
      </w:r>
      <w:r>
        <w:t xml:space="preserve"> </w:t>
      </w:r>
      <w:r>
        <w:rPr>
          <w:bCs/>
          <w:b/>
        </w:rPr>
        <w:t xml:space="preserve">Ernst’s account is important for this research because it provides the technical foundation of the fracture described above:</w:t>
      </w:r>
      <w:r>
        <w:t xml:space="preserve"> </w:t>
      </w:r>
      <w:r>
        <w:t xml:space="preserve">when the past becomes a process rather than an archive, power over it ceases to belong exclusively to the institution. The analysis will use this perspective to read the looped, rotating images on the LED screens not as automated storage retrieval but as continual reassembling of the past in the visitor’s presence.</w:t>
      </w:r>
    </w:p>
    <w:p>
      <w:pPr>
        <w:pStyle w:val="BodyText"/>
      </w:pPr>
      <w:r>
        <w:t xml:space="preserve">The question of whose past is produced and to whom visibility is granted in this process is posed by the concept of the</w:t>
      </w:r>
      <w:r>
        <w:t xml:space="preserve"> </w:t>
      </w:r>
      <w:r>
        <w:rPr>
          <w:bCs/>
          <w:b/>
        </w:rPr>
        <w:t xml:space="preserve">mediapolis</w:t>
      </w:r>
      <w:r>
        <w:t xml:space="preserve"> </w:t>
      </w:r>
      <w:r>
        <w:t xml:space="preserve">(Silverstone, 2007). A mediatized public space is a place where some subjects acquire visibility and the right to speak, while others remain invisible and unheard. From this perspective, a multimedia exhibition about genocide is a political space: a place where some subjects gain visibility in public discourse while others remain outside it. The key condition of such visibility is</w:t>
      </w:r>
      <w:r>
        <w:t xml:space="preserve"> </w:t>
      </w:r>
      <w:r>
        <w:rPr>
          <w:bCs/>
          <w:b/>
        </w:rPr>
        <w:t xml:space="preserve">media hospitality</w:t>
      </w:r>
      <w:r>
        <w:t xml:space="preserve"> </w:t>
      </w:r>
      <w:r>
        <w:t xml:space="preserve">—</w:t>
      </w:r>
      <w:r>
        <w:t xml:space="preserve"> </w:t>
      </w:r>
      <w:r>
        <w:t xml:space="preserve">“</w:t>
      </w:r>
      <w:r>
        <w:t xml:space="preserve">the first virtue of the mediapolis</w:t>
      </w:r>
      <w:r>
        <w:t xml:space="preserve">”</w:t>
      </w:r>
      <w:r>
        <w:t xml:space="preserve">, understood not as the right to freedom of speech but as the obligation to listen to and to hear the Other:</w:t>
      </w:r>
      <w:r>
        <w:t xml:space="preserve"> </w:t>
      </w:r>
      <w:r>
        <w:t xml:space="preserve">“</w:t>
      </w:r>
      <w:r>
        <w:t xml:space="preserve">Hospitality as a right not just to the freedom of speech but as an obligation to listen and to hear</w:t>
      </w:r>
      <w:r>
        <w:t xml:space="preserve">”</w:t>
      </w:r>
      <w:r>
        <w:t xml:space="preserve"> </w:t>
      </w:r>
      <w:r>
        <w:t xml:space="preserve">(Silverstone, 2007, p. 136). The appearance of the Other in the exhibition space does not itself guarantee genuine inclusion: mediatization can both strengthen presence and reduce a subject to an image of a victim without voice.</w:t>
      </w:r>
      <w:r>
        <w:t xml:space="preserve"> </w:t>
      </w:r>
      <w:r>
        <w:rPr>
          <w:bCs/>
          <w:b/>
        </w:rPr>
        <w:t xml:space="preserve">Silverstone’s concept of the mediapolis is important for this research because it gives us the most precise question to ask of the empirical material: in what mode is the victim of the Armenian genocide present on this exhibition — as a historical fact with its own voice, or as an image of suffering deprived of subjecthood?</w:t>
      </w:r>
      <w:r>
        <w:t xml:space="preserve"> </w:t>
      </w:r>
      <w:r>
        <w:t xml:space="preserve">The MDA-based analysis in Chapter 3 will operationalise exactly this question: it will examine, screen by screen, who looks at the viewer (a</w:t>
      </w:r>
      <w:r>
        <w:t xml:space="preserve"> </w:t>
      </w:r>
      <w:r>
        <w:t xml:space="preserve">“</w:t>
      </w:r>
      <w:r>
        <w:t xml:space="preserve">demand</w:t>
      </w:r>
      <w:r>
        <w:t xml:space="preserve">”</w:t>
      </w:r>
      <w:r>
        <w:t xml:space="preserve"> </w:t>
      </w:r>
      <w:r>
        <w:t xml:space="preserve">in Kress and van Leeuwen’s terms), who looks away, who is named and who is anonymous, and through which medial means visibility is granted.</w:t>
      </w:r>
    </w:p>
    <w:p>
      <w:pPr>
        <w:pStyle w:val="BodyText"/>
      </w:pPr>
      <w:r>
        <w:t xml:space="preserve">Taken together, the concepts considered above describe the digital museum as a space where several processes take place simultaneously. Institutional control over the narrative is preserved, but reproduced through technology rather than against it. The past ceases to be an archival fund and becomes a process of continuous actualisation. Visibility in this process is distributed unevenly, and curatorial decisions determine who receives the right to a voice in the memorial space.</w:t>
      </w:r>
      <w:r>
        <w:t xml:space="preserve"> </w:t>
      </w:r>
      <w:r>
        <w:rPr>
          <w:bCs/>
          <w:b/>
        </w:rPr>
        <w:t xml:space="preserve">These three processes form the analytical context within which the curatorial decisions of</w:t>
      </w:r>
      <w:r>
        <w:rPr>
          <w:bCs/>
          <w:b/>
        </w:rPr>
        <w:t xml:space="preserve"> </w:t>
      </w:r>
      <w:r>
        <w:rPr>
          <w:bCs/>
          <w:b/>
        </w:rPr>
        <w:t xml:space="preserve">“</w:t>
      </w:r>
      <w:r>
        <w:rPr>
          <w:bCs/>
          <w:b/>
        </w:rPr>
        <w:t xml:space="preserve">No to Genocide!</w:t>
      </w:r>
      <w:r>
        <w:rPr>
          <w:bCs/>
          <w:b/>
        </w:rPr>
        <w:t xml:space="preserve">”</w:t>
      </w:r>
      <w:r>
        <w:rPr>
          <w:bCs/>
          <w:b/>
        </w:rPr>
        <w:t xml:space="preserve"> </w:t>
      </w:r>
      <w:r>
        <w:rPr>
          <w:bCs/>
          <w:b/>
        </w:rPr>
        <w:t xml:space="preserve">will be examined in the subsequent chapters.</w:t>
      </w:r>
    </w:p>
    <w:bookmarkEnd w:id="23"/>
    <w:bookmarkStart w:id="24" w:name="Xbfe648656f598df60bb042f2636018f3f8becdc"/>
    <w:p>
      <w:pPr>
        <w:pStyle w:val="Heading2"/>
      </w:pPr>
      <w:r>
        <w:t xml:space="preserve">1.5 The Museum as a Medial and Political Form of Memory</w:t>
      </w:r>
    </w:p>
    <w:p>
      <w:pPr>
        <w:pStyle w:val="FirstParagraph"/>
      </w:pPr>
      <w:r>
        <w:t xml:space="preserve">The understanding of the exhibition space as an environment in which political memory is formed has taken shape under the influence of several theoretical traditions. The concept of the</w:t>
      </w:r>
      <w:r>
        <w:t xml:space="preserve"> </w:t>
      </w:r>
      <w:r>
        <w:rPr>
          <w:bCs/>
          <w:b/>
        </w:rPr>
        <w:t xml:space="preserve">“</w:t>
      </w:r>
      <w:r>
        <w:rPr>
          <w:bCs/>
          <w:b/>
        </w:rPr>
        <w:t xml:space="preserve">exhibitionary complex</w:t>
      </w:r>
      <w:r>
        <w:rPr>
          <w:bCs/>
          <w:b/>
        </w:rPr>
        <w:t xml:space="preserve">”</w:t>
      </w:r>
      <w:r>
        <w:t xml:space="preserve"> </w:t>
      </w:r>
      <w:r>
        <w:t xml:space="preserve">describes 19th-century museums as part of a system of institutions that managed the behaviour and consciousness of the public (Bennett, 1988). The museum acted not through direct coercion but through voluntary self-management: power here organised the order of things and assigned the visitor a particular position within that order. The museum sought to win the people over to its side — not by intimidation but by including the viewer in voluntary complicity with power. The exposition becomes a political form: it does not present ideology as direct statements but shapes a particular point of view in the visitor through how the space is organised, how the objects are arranged, and how emotional impact is constructed.</w:t>
      </w:r>
      <w:r>
        <w:t xml:space="preserve"> </w:t>
      </w:r>
      <w:r>
        <w:rPr>
          <w:bCs/>
          <w:b/>
        </w:rPr>
        <w:t xml:space="preserve">Bennett’s concept of the exhibitionary complex is important for this research because it provides the strongest argument that the political dimension of the exhibition is structural, not declarative.</w:t>
      </w:r>
      <w:r>
        <w:t xml:space="preserve"> </w:t>
      </w:r>
      <w:r>
        <w:t xml:space="preserve">Applied to</w:t>
      </w:r>
      <w:r>
        <w:t xml:space="preserve"> </w:t>
      </w:r>
      <w:r>
        <w:t xml:space="preserve">“</w:t>
      </w:r>
      <w:r>
        <w:t xml:space="preserve">No to Genocide!</w:t>
      </w:r>
      <w:r>
        <w:t xml:space="preserve">”</w:t>
      </w:r>
      <w:r>
        <w:t xml:space="preserve">, this means that even if the curators had not formulated explicit political goals, the very organisation of the exhibition’s space — the linear route, the dark hall, the corridor of authoritative banners, the synchronised transitions — would still carry political meaning. The visitor is positioned in a particular relation to the past through the spatial arrangement, and the analysis will examine which position is constructed.</w:t>
      </w:r>
    </w:p>
    <w:p>
      <w:pPr>
        <w:pStyle w:val="BodyText"/>
      </w:pPr>
      <w:r>
        <w:t xml:space="preserve">Bennett’s exhibitionary complex also captures a fundamental spatial principle: the combination of the functions of spectacle and surveillance. The visitor simultaneously becomes a spectator and an object of control, while the space itself manages both what they see and how they see it (Bennett, 1988).</w:t>
      </w:r>
      <w:r>
        <w:t xml:space="preserve"> </w:t>
      </w:r>
      <w:r>
        <w:rPr>
          <w:bCs/>
          <w:b/>
        </w:rPr>
        <w:t xml:space="preserve">This dual function is important for this research because it allows us to interpret the technologically distinctive feature of</w:t>
      </w:r>
      <w:r>
        <w:rPr>
          <w:bCs/>
          <w:b/>
        </w:rPr>
        <w:t xml:space="preserve"> </w:t>
      </w:r>
      <w:r>
        <w:rPr>
          <w:bCs/>
          <w:b/>
        </w:rPr>
        <w:t xml:space="preserve">“</w:t>
      </w:r>
      <w:r>
        <w:rPr>
          <w:bCs/>
          <w:b/>
        </w:rPr>
        <w:t xml:space="preserve">No to Genocide!</w:t>
      </w:r>
      <w:r>
        <w:rPr>
          <w:bCs/>
          <w:b/>
        </w:rPr>
        <w:t xml:space="preserve">”</w:t>
      </w:r>
      <w:r>
        <w:rPr>
          <w:bCs/>
          <w:b/>
        </w:rPr>
        <w:t xml:space="preserve"> </w:t>
      </w:r>
      <w:r>
        <w:rPr>
          <w:bCs/>
          <w:b/>
        </w:rPr>
        <w:t xml:space="preserve">— the synchronised transitions across all LED screens — as exactly such a spatial mechanism.</w:t>
      </w:r>
      <w:r>
        <w:t xml:space="preserve"> </w:t>
      </w:r>
      <w:r>
        <w:t xml:space="preserve">The transitions place all visitors in the same point of the narrative at the same time, and this synchronisation is not just a technical feature but a way of producing a shared, collectively managed mode of viewing. The concept of the exhibitionary complex thereby explains how the museum works as a form of power, but it leaves open the question of through which concrete mechanisms this power is realised at the level of meaning-making.</w:t>
      </w:r>
    </w:p>
    <w:p>
      <w:pPr>
        <w:pStyle w:val="BodyText"/>
      </w:pPr>
      <w:r>
        <w:t xml:space="preserve">This question is answered by the concept of the</w:t>
      </w:r>
      <w:r>
        <w:t xml:space="preserve"> </w:t>
      </w:r>
      <w:r>
        <w:rPr>
          <w:bCs/>
          <w:b/>
        </w:rPr>
        <w:t xml:space="preserve">“</w:t>
      </w:r>
      <w:r>
        <w:rPr>
          <w:bCs/>
          <w:b/>
        </w:rPr>
        <w:t xml:space="preserve">post-museum</w:t>
      </w:r>
      <w:r>
        <w:rPr>
          <w:bCs/>
          <w:b/>
        </w:rPr>
        <w:t xml:space="preserve">”</w:t>
      </w:r>
      <w:r>
        <w:t xml:space="preserve">. In this model, the museum ceases to be the transmitter of one true knowledge and becomes a space of interpretive frameworks: it is the frameworks, not the objects themselves, that determine how an exhibit will be understood. Objects in themselves have no meaning:</w:t>
      </w:r>
      <w:r>
        <w:t xml:space="preserve"> </w:t>
      </w:r>
      <w:r>
        <w:t xml:space="preserve">“</w:t>
      </w:r>
      <w:r>
        <w:t xml:space="preserve">displayed objects of all types are made meaningful according to the interpretive frameworks within which they are placed</w:t>
      </w:r>
      <w:r>
        <w:t xml:space="preserve">”</w:t>
      </w:r>
      <w:r>
        <w:t xml:space="preserve"> </w:t>
      </w:r>
      <w:r>
        <w:t xml:space="preserve">(Hooper-Greenhill, 2000, p. 8). The museum exhibition constructs reality through the selection of objects, their arrangement, and the accompanying text. The traditional museum was based on a transmission model: knowledge was passed to the visitor in finished form, and the visitor’s own activity was not envisaged in the process. This is replaced by a constructivist approach, in which the visitor is treated as an active subject building meaning in dialogue with the exhibition space (Hooper-Greenhill, 2000, pp. 132–133).</w:t>
      </w:r>
      <w:r>
        <w:t xml:space="preserve"> </w:t>
      </w:r>
      <w:r>
        <w:rPr>
          <w:bCs/>
          <w:b/>
        </w:rPr>
        <w:t xml:space="preserve">Hooper-Greenhill’s concept of the post-museum is important for this research because it lets us read the exhibition as a system of interpretive frameworks rather than as a sum of exhibits.</w:t>
      </w:r>
      <w:r>
        <w:t xml:space="preserve"> </w:t>
      </w:r>
      <w:r>
        <w:t xml:space="preserve">The question that organises the analysis becomes: which frameworks did the curators choose to represent the Armenian genocide, and how do these frameworks direct the visitor’s perception?</w:t>
      </w:r>
    </w:p>
    <w:p>
      <w:pPr>
        <w:pStyle w:val="BodyText"/>
      </w:pPr>
      <w:r>
        <w:t xml:space="preserve">The concept of the post-museum explains the interpretive mechanisms through which an exhibition works, but it does not answer the question of why exactly today the production of memory through museum institutions has acquired such intensity. This question is answered by the concept of the</w:t>
      </w:r>
      <w:r>
        <w:t xml:space="preserve"> </w:t>
      </w:r>
      <w:r>
        <w:rPr>
          <w:bCs/>
          <w:b/>
        </w:rPr>
        <w:t xml:space="preserve">“</w:t>
      </w:r>
      <w:r>
        <w:rPr>
          <w:bCs/>
          <w:b/>
        </w:rPr>
        <w:t xml:space="preserve">hypertrophy of memory</w:t>
      </w:r>
      <w:r>
        <w:rPr>
          <w:bCs/>
          <w:b/>
        </w:rPr>
        <w:t xml:space="preserve">”</w:t>
      </w:r>
      <w:r>
        <w:t xml:space="preserve">. The situation in which the past becomes a political resource of the present is described as a condition in which memory politics is inseparably linked to current social processes and undergoes change under the influence of political and generational factors (Huyssen, 2003). The notion of the</w:t>
      </w:r>
      <w:r>
        <w:t xml:space="preserve"> </w:t>
      </w:r>
      <w:r>
        <w:rPr>
          <w:bCs/>
          <w:b/>
        </w:rPr>
        <w:t xml:space="preserve">palimpsest</w:t>
      </w:r>
      <w:r>
        <w:t xml:space="preserve"> </w:t>
      </w:r>
      <w:r>
        <w:t xml:space="preserve">in this context means that urban space and architectural objects accumulate layers of meaning:</w:t>
      </w:r>
      <w:r>
        <w:t xml:space="preserve"> </w:t>
      </w:r>
      <w:r>
        <w:t xml:space="preserve">“</w:t>
      </w:r>
      <w:r>
        <w:t xml:space="preserve">we have come to read cities and buildings as palimpsests of space</w:t>
      </w:r>
      <w:r>
        <w:t xml:space="preserve">”</w:t>
      </w:r>
      <w:r>
        <w:t xml:space="preserve"> </w:t>
      </w:r>
      <w:r>
        <w:t xml:space="preserve">(Huyssen, 2003, p. 7). This perspective allows us to see that a museum exhibition does not fix the past in unchanging form but offers a new reading of it at each encounter.</w:t>
      </w:r>
      <w:r>
        <w:t xml:space="preserve"> </w:t>
      </w:r>
      <w:r>
        <w:rPr>
          <w:bCs/>
          <w:b/>
        </w:rPr>
        <w:t xml:space="preserve">Huyssen’s concept is important for this research because it lets us treat the very fact of the exhibition’s existence — its appearance in 2021 at the platform of</w:t>
      </w:r>
      <w:r>
        <w:rPr>
          <w:bCs/>
          <w:b/>
        </w:rPr>
        <w:t xml:space="preserve"> </w:t>
      </w:r>
      <w:r>
        <w:rPr>
          <w:bCs/>
          <w:b/>
        </w:rPr>
        <w:t xml:space="preserve">“</w:t>
      </w:r>
      <w:r>
        <w:rPr>
          <w:bCs/>
          <w:b/>
        </w:rPr>
        <w:t xml:space="preserve">Russia — My History</w:t>
      </w:r>
      <w:r>
        <w:rPr>
          <w:bCs/>
          <w:b/>
        </w:rPr>
        <w:t xml:space="preserve">”</w:t>
      </w:r>
      <w:r>
        <w:rPr>
          <w:bCs/>
          <w:b/>
        </w:rPr>
        <w:t xml:space="preserve">, in the year of the 106th anniversary of the genocide, in the context of Russian–Turkish relations — as an act of memory politics, not as a neutral memorial gesture.</w:t>
      </w:r>
      <w:r>
        <w:t xml:space="preserve"> </w:t>
      </w:r>
      <w:r>
        <w:t xml:space="preserve">The analysis will read the exhibition’s recurring annual cycle (2021–2024) and its expansion to other cities (St. Petersburg, Nizhny Novgorod, Yekaterinburg) as the active production of a memorial palimpsest on a federal scale.</w:t>
      </w:r>
    </w:p>
    <w:p>
      <w:pPr>
        <w:pStyle w:val="BodyText"/>
      </w:pPr>
      <w:r>
        <w:t xml:space="preserve">Putting the three concepts together, a logic emerges that connects all three approaches. The concept of the exhibitionary complex shows that the museum is built into relations of power from the start and constructs the position of the viewer through spatial organisation. The concept of the post-museum describes the mechanism of this construction: through interpretive frameworks that determine how a given exhibit is perceived. The concept of the hypertrophy of memory explains why this mechanism acquires political sharpness in contemporary conditions: the past becomes a resource in current conflicts, and an exhibition on genocide inevitably becomes a participant in those conflicts. Together, these concepts form the analytical horizon within which the curatorial decisions of</w:t>
      </w:r>
      <w:r>
        <w:t xml:space="preserve"> </w:t>
      </w:r>
      <w:r>
        <w:t xml:space="preserve">“</w:t>
      </w:r>
      <w:r>
        <w:t xml:space="preserve">No to Genocide!</w:t>
      </w:r>
      <w:r>
        <w:t xml:space="preserve">”</w:t>
      </w:r>
      <w:r>
        <w:t xml:space="preserve"> </w:t>
      </w:r>
      <w:r>
        <w:t xml:space="preserve">can be considered as political acts, not as technical tasks of exhibition design.</w:t>
      </w:r>
    </w:p>
    <w:bookmarkEnd w:id="24"/>
    <w:bookmarkStart w:id="25" w:name="X69a8a73dabacf48757ef52257889fd9297e61d8"/>
    <w:p>
      <w:pPr>
        <w:pStyle w:val="Heading2"/>
      </w:pPr>
      <w:r>
        <w:t xml:space="preserve">1.6 Curatorship and Curatorial Decisions: From Exposition Practice to the Production of Political Memory</w:t>
      </w:r>
    </w:p>
    <w:p>
      <w:pPr>
        <w:pStyle w:val="FirstParagraph"/>
      </w:pPr>
      <w:r>
        <w:t xml:space="preserve">Curatorial decisions determine the version of the past offered to the visitor. They determine which narratives will be at the centre of the exhibition and which will be pushed to the periphery. They also determine how media technologies will be deployed for emotional and political impact. This section compares concepts of curatorship across three dimensions: traditional curating of exhibitions, curating of multimedia projects, and curating of expositions about traumatic memory. Understanding these approaches is necessary in order to answer the central research question.</w:t>
      </w:r>
    </w:p>
    <w:p>
      <w:pPr>
        <w:pStyle w:val="BodyText"/>
      </w:pPr>
      <w:r>
        <w:t xml:space="preserve">For the analysis of curatorial decisions on</w:t>
      </w:r>
      <w:r>
        <w:t xml:space="preserve"> </w:t>
      </w:r>
      <w:r>
        <w:t xml:space="preserve">“</w:t>
      </w:r>
      <w:r>
        <w:t xml:space="preserve">No to Genocide!</w:t>
      </w:r>
      <w:r>
        <w:t xml:space="preserve">”</w:t>
      </w:r>
      <w:r>
        <w:t xml:space="preserve"> </w:t>
      </w:r>
      <w:r>
        <w:t xml:space="preserve">it is important to understand that the exhibition is not a neutral display of material; on the contrary, it itself produces meaning. The concept of</w:t>
      </w:r>
      <w:r>
        <w:t xml:space="preserve"> </w:t>
      </w:r>
      <w:r>
        <w:rPr>
          <w:bCs/>
          <w:b/>
        </w:rPr>
        <w:t xml:space="preserve">authorial curatorial practice</w:t>
      </w:r>
      <w:r>
        <w:t xml:space="preserve"> </w:t>
      </w:r>
      <w:r>
        <w:t xml:space="preserve">proposed by Paul O’Neill allows us to view the exposition in exactly this way. O’Neill shows how in the second half of the 20th century the figure of the curator shifted from the position of the keeper of the collection. Earlier, the curator worked</w:t>
      </w:r>
      <w:r>
        <w:t xml:space="preserve"> </w:t>
      </w:r>
      <w:r>
        <w:t xml:space="preserve">“</w:t>
      </w:r>
      <w:r>
        <w:t xml:space="preserve">behind the scenes</w:t>
      </w:r>
      <w:r>
        <w:t xml:space="preserve">”</w:t>
      </w:r>
      <w:r>
        <w:t xml:space="preserve">, but later they turned into an independent author. By O’Neill’s observation, the curator changed from</w:t>
      </w:r>
      <w:r>
        <w:t xml:space="preserve"> </w:t>
      </w:r>
      <w:r>
        <w:t xml:space="preserve">“</w:t>
      </w:r>
      <w:r>
        <w:t xml:space="preserve">an organiser behind the scenes and arbiter of taste</w:t>
      </w:r>
      <w:r>
        <w:t xml:space="preserve">”</w:t>
      </w:r>
      <w:r>
        <w:t xml:space="preserve"> </w:t>
      </w:r>
      <w:r>
        <w:t xml:space="preserve">to</w:t>
      </w:r>
      <w:r>
        <w:t xml:space="preserve"> </w:t>
      </w:r>
      <w:r>
        <w:t xml:space="preserve">“</w:t>
      </w:r>
      <w:r>
        <w:t xml:space="preserve">a self-motivated practitioner with a more central position in the contemporary art world</w:t>
      </w:r>
      <w:r>
        <w:t xml:space="preserve">”</w:t>
      </w:r>
      <w:r>
        <w:t xml:space="preserve"> </w:t>
      </w:r>
      <w:r>
        <w:t xml:space="preserve">(O’Neill, 2012, p. 1). The group exhibition in this logic ceases to be a sum of exhibits. It becomes an authorial statement.</w:t>
      </w:r>
      <w:r>
        <w:t xml:space="preserve"> </w:t>
      </w:r>
      <w:r>
        <w:rPr>
          <w:bCs/>
          <w:b/>
        </w:rPr>
        <w:t xml:space="preserve">O’Neill’s concept of authorial curatorial practice is important for this research because it lets us treat the curator of</w:t>
      </w:r>
      <w:r>
        <w:rPr>
          <w:bCs/>
          <w:b/>
        </w:rPr>
        <w:t xml:space="preserve"> </w:t>
      </w:r>
      <w:r>
        <w:rPr>
          <w:bCs/>
          <w:b/>
        </w:rPr>
        <w:t xml:space="preserve">“</w:t>
      </w:r>
      <w:r>
        <w:rPr>
          <w:bCs/>
          <w:b/>
        </w:rPr>
        <w:t xml:space="preserve">No to Genocide!</w:t>
      </w:r>
      <w:r>
        <w:rPr>
          <w:bCs/>
          <w:b/>
        </w:rPr>
        <w:t xml:space="preserve">”</w:t>
      </w:r>
      <w:r>
        <w:rPr>
          <w:bCs/>
          <w:b/>
        </w:rPr>
        <w:t xml:space="preserve"> </w:t>
      </w:r>
      <w:r>
        <w:rPr>
          <w:bCs/>
          <w:b/>
        </w:rPr>
        <w:t xml:space="preserve">not as a technical organiser of the platform but as an author of a coherent statement.</w:t>
      </w:r>
      <w:r>
        <w:t xml:space="preserve"> </w:t>
      </w:r>
      <w:r>
        <w:t xml:space="preserve">Concretely, this means that in the analysis we will pay attention not only to what is shown but to the consistency of the authorial voice across the formats: the choice of chronology, of authoritative voices on the banners, of symbols on the transitions, of the final photograph in colour at the Tsitsernakaberd memorial — all of these will be read as elements of one authorial gesture, not as isolated solutions.</w:t>
      </w:r>
    </w:p>
    <w:p>
      <w:pPr>
        <w:pStyle w:val="BodyText"/>
      </w:pPr>
      <w:r>
        <w:t xml:space="preserve">It is also important for this study that curatorial decisions are not the consequence of a pre-formed theoretical concept; they are born in the process of practical work. Terry Smith’s concept of</w:t>
      </w:r>
      <w:r>
        <w:t xml:space="preserve"> </w:t>
      </w:r>
      <w:r>
        <w:rPr>
          <w:bCs/>
          <w:b/>
        </w:rPr>
        <w:t xml:space="preserve">curatorial thinking</w:t>
      </w:r>
      <w:r>
        <w:t xml:space="preserve"> </w:t>
      </w:r>
      <w:r>
        <w:t xml:space="preserve">provides a tool for understanding this. He formulates:</w:t>
      </w:r>
      <w:r>
        <w:t xml:space="preserve"> </w:t>
      </w:r>
      <w:r>
        <w:t xml:space="preserve">“</w:t>
      </w:r>
      <w:r>
        <w:t xml:space="preserve">curatorial thinking… is always deeply embedded in the practice of actually mounting the exhibition</w:t>
      </w:r>
      <w:r>
        <w:t xml:space="preserve">”</w:t>
      </w:r>
      <w:r>
        <w:t xml:space="preserve"> </w:t>
      </w:r>
      <w:r>
        <w:t xml:space="preserve">(Smith, 2012, p. 12). Curatorial decisions in</w:t>
      </w:r>
      <w:r>
        <w:t xml:space="preserve"> </w:t>
      </w:r>
      <w:r>
        <w:t xml:space="preserve">“</w:t>
      </w:r>
      <w:r>
        <w:t xml:space="preserve">No to Genocide!</w:t>
      </w:r>
      <w:r>
        <w:t xml:space="preserve">”</w:t>
      </w:r>
      <w:r>
        <w:t xml:space="preserve"> </w:t>
      </w:r>
      <w:r>
        <w:t xml:space="preserve">were shaped under specific institutional constraints, with the available technologies and within a specific political context. They cannot be derived from general theory. It is also indicative that in studies of curatorship the appearance of the verb</w:t>
      </w:r>
      <w:r>
        <w:t xml:space="preserve"> </w:t>
      </w:r>
      <w:r>
        <w:t xml:space="preserve">“</w:t>
      </w:r>
      <w:r>
        <w:t xml:space="preserve">to curate</w:t>
      </w:r>
      <w:r>
        <w:t xml:space="preserve">”</w:t>
      </w:r>
      <w:r>
        <w:t xml:space="preserve"> </w:t>
      </w:r>
      <w:r>
        <w:t xml:space="preserve">instead of the noun</w:t>
      </w:r>
      <w:r>
        <w:t xml:space="preserve"> </w:t>
      </w:r>
      <w:r>
        <w:t xml:space="preserve">“</w:t>
      </w:r>
      <w:r>
        <w:t xml:space="preserve">curator</w:t>
      </w:r>
      <w:r>
        <w:t xml:space="preserve">”</w:t>
      </w:r>
      <w:r>
        <w:t xml:space="preserve"> </w:t>
      </w:r>
      <w:r>
        <w:t xml:space="preserve">is traced. This is a marker of the transition from a static role to a dynamic activity. Curatorship becomes a process of production and mediation (O’Neill, 2012, p. 32).</w:t>
      </w:r>
      <w:r>
        <w:t xml:space="preserve"> </w:t>
      </w:r>
      <w:r>
        <w:rPr>
          <w:bCs/>
          <w:b/>
        </w:rPr>
        <w:t xml:space="preserve">Smith’s concept of curatorial thinking is important for this research because it provides direct theoretical justification for combining observation data with the curator interview.</w:t>
      </w:r>
      <w:r>
        <w:t xml:space="preserve"> </w:t>
      </w:r>
      <w:r>
        <w:t xml:space="preserve">If curatorial thinking is embedded in practice, then it cannot be fully reconstructed from the artefacts alone; it has to be elicited from the practitioner. The action-oriented interpretation of curatorship allows us to formulate the question about the concrete decisions that shape the mediatization of the past in the exhibition space — and Chapter 3 will explicitly trace these decisions through what the curator says about them.</w:t>
      </w:r>
    </w:p>
    <w:p>
      <w:pPr>
        <w:pStyle w:val="BodyText"/>
      </w:pPr>
      <w:r>
        <w:t xml:space="preserve">The multimedia exhibition</w:t>
      </w:r>
      <w:r>
        <w:t xml:space="preserve"> </w:t>
      </w:r>
      <w:r>
        <w:t xml:space="preserve">“</w:t>
      </w:r>
      <w:r>
        <w:t xml:space="preserve">No to Genocide!</w:t>
      </w:r>
      <w:r>
        <w:t xml:space="preserve">”</w:t>
      </w:r>
      <w:r>
        <w:t xml:space="preserve"> </w:t>
      </w:r>
      <w:r>
        <w:t xml:space="preserve">uses digital technologies that change the very nature of curatorial work. To explain this mechanism, Lev Manovich’s concept of the</w:t>
      </w:r>
      <w:r>
        <w:t xml:space="preserve"> </w:t>
      </w:r>
      <w:r>
        <w:rPr>
          <w:bCs/>
          <w:b/>
        </w:rPr>
        <w:t xml:space="preserve">cultural interface</w:t>
      </w:r>
      <w:r>
        <w:t xml:space="preserve"> </w:t>
      </w:r>
      <w:r>
        <w:t xml:space="preserve">is important. Manovich shows that any new medium is a code that imposes its own logic on the messages transmitted. He claims:</w:t>
      </w:r>
      <w:r>
        <w:t xml:space="preserve"> </w:t>
      </w:r>
      <w:r>
        <w:t xml:space="preserve">“</w:t>
      </w:r>
      <w:r>
        <w:t xml:space="preserve">the interface shapes how the computer user conceives the computer itself. It also determines how users think of any media object accessed via a computer</w:t>
      </w:r>
      <w:r>
        <w:t xml:space="preserve">”</w:t>
      </w:r>
      <w:r>
        <w:t xml:space="preserve"> </w:t>
      </w:r>
      <w:r>
        <w:t xml:space="preserve">(Manovich, 2001, p. 76). The choice of an interactive format predetermines the way the content is perceived. A curator who decides to place exhibition material in an interactive environment simultaneously chooses the means of delivery and thereby programs the visitor’s perception.</w:t>
      </w:r>
      <w:r>
        <w:t xml:space="preserve"> </w:t>
      </w:r>
      <w:r>
        <w:rPr>
          <w:bCs/>
          <w:b/>
        </w:rPr>
        <w:t xml:space="preserve">Manovich’s concept of the cultural interface is important for this research because it provides the explanation for why curatorial decisions about technology cannot be separated from decisions about content.</w:t>
      </w:r>
      <w:r>
        <w:t xml:space="preserve"> </w:t>
      </w:r>
      <w:r>
        <w:t xml:space="preserve">When the curators of</w:t>
      </w:r>
      <w:r>
        <w:t xml:space="preserve"> </w:t>
      </w:r>
      <w:r>
        <w:t xml:space="preserve">“</w:t>
      </w:r>
      <w:r>
        <w:t xml:space="preserve">No to Genocide!</w:t>
      </w:r>
      <w:r>
        <w:t xml:space="preserve">”</w:t>
      </w:r>
      <w:r>
        <w:t xml:space="preserve"> </w:t>
      </w:r>
      <w:r>
        <w:t xml:space="preserve">placed text on a sensor table and image on a LED screen, they simultaneously chose what kind of cognitive activity (reading, viewing, touching) would attach to which kind of material. The MDA analysis in Chapter 3 will follow this logic and read each format choice as simultaneously a choice of perceptual mode.</w:t>
      </w:r>
    </w:p>
    <w:p>
      <w:pPr>
        <w:pStyle w:val="BodyText"/>
      </w:pPr>
      <w:r>
        <w:t xml:space="preserve">The concept of the</w:t>
      </w:r>
      <w:r>
        <w:t xml:space="preserve"> </w:t>
      </w:r>
      <w:r>
        <w:rPr>
          <w:bCs/>
          <w:b/>
        </w:rPr>
        <w:t xml:space="preserve">digital transformation of the museum</w:t>
      </w:r>
      <w:r>
        <w:t xml:space="preserve"> </w:t>
      </w:r>
      <w:r>
        <w:t xml:space="preserve">complements this analytically. Ross Parry records a transition from</w:t>
      </w:r>
      <w:r>
        <w:t xml:space="preserve"> </w:t>
      </w:r>
      <w:r>
        <w:t xml:space="preserve">“</w:t>
      </w:r>
      <w:r>
        <w:t xml:space="preserve">museum informatics</w:t>
      </w:r>
      <w:r>
        <w:t xml:space="preserve">”</w:t>
      </w:r>
      <w:r>
        <w:t xml:space="preserve"> </w:t>
      </w:r>
      <w:r>
        <w:t xml:space="preserve">to</w:t>
      </w:r>
      <w:r>
        <w:t xml:space="preserve"> </w:t>
      </w:r>
      <w:r>
        <w:t xml:space="preserve">“</w:t>
      </w:r>
      <w:r>
        <w:t xml:space="preserve">digital heritage</w:t>
      </w:r>
      <w:r>
        <w:t xml:space="preserve">”</w:t>
      </w:r>
      <w:r>
        <w:t xml:space="preserve">, which implies a more critical and theoretically conscious attitude to the use of technologies (Parry, 2010, p. 454). In comparing the approaches of Manovich and Parry, a contradiction is revealed about the role of the curator in the digital environment. The concept of the cultural interface emphasises the structural power of technology over perception. The concept of digital heritage shifts the emphasis to the conscious choice of the curator, who must critically master the technology. The difference in the researchers’ positions indicates that curatorial decisions in a multimedia exhibition cannot be explained solely by the technological capabilities of the platform; nor can they be explained solely by the subjective intent of the creators.</w:t>
      </w:r>
      <w:r>
        <w:t xml:space="preserve"> </w:t>
      </w:r>
      <w:r>
        <w:rPr>
          <w:bCs/>
          <w:b/>
        </w:rPr>
        <w:t xml:space="preserve">The combined Manovich–Parry frame is important for this research because it commits us to a two-level analysis: each curatorial decision will be read both as a response to the affordances of the platform and as the result of a critical reflection on those affordances.</w:t>
      </w:r>
      <w:r>
        <w:t xml:space="preserve"> </w:t>
      </w:r>
      <w:r>
        <w:t xml:space="preserve">The interview data is particularly important here because it allows us to distinguish the two: when the curator says that</w:t>
      </w:r>
      <w:r>
        <w:t xml:space="preserve"> </w:t>
      </w:r>
      <w:r>
        <w:t xml:space="preserve">“</w:t>
      </w:r>
      <w:r>
        <w:t xml:space="preserve">another format was not considered, because at the historical park it is, accordingly, not suitable</w:t>
      </w:r>
      <w:r>
        <w:t xml:space="preserve">”</w:t>
      </w:r>
      <w:r>
        <w:t xml:space="preserve">, they reveal the constraint of the platform; when they explain the choice of the sensor table at the entrance as their own idea, they reveal the moment of critical authorial choice.</w:t>
      </w:r>
    </w:p>
    <w:p>
      <w:pPr>
        <w:pStyle w:val="BodyText"/>
      </w:pPr>
      <w:r>
        <w:t xml:space="preserve">For the analysis of curatorial decisions in</w:t>
      </w:r>
      <w:r>
        <w:t xml:space="preserve"> </w:t>
      </w:r>
      <w:r>
        <w:t xml:space="preserve">“</w:t>
      </w:r>
      <w:r>
        <w:t xml:space="preserve">No to Genocide!</w:t>
      </w:r>
      <w:r>
        <w:t xml:space="preserve">”</w:t>
      </w:r>
      <w:r>
        <w:t xml:space="preserve"> </w:t>
      </w:r>
      <w:r>
        <w:t xml:space="preserve">it is also important to understand how visitors physically interact with the content. Sharon Macdonald’s concept gives a tool for such an analysis. She examines three interrelated areas of the museum experience:</w:t>
      </w:r>
      <w:r>
        <w:t xml:space="preserve"> </w:t>
      </w:r>
      <w:r>
        <w:rPr>
          <w:bCs/>
          <w:b/>
        </w:rPr>
        <w:t xml:space="preserve">space, media and sociality</w:t>
      </w:r>
      <w:r>
        <w:t xml:space="preserve"> </w:t>
      </w:r>
      <w:r>
        <w:t xml:space="preserve">(Macdonald, 2007, p. 149). In the area of space, the way the visitor moves through the exhibition directly affects their interpretation:</w:t>
      </w:r>
      <w:r>
        <w:t xml:space="preserve"> </w:t>
      </w:r>
      <w:r>
        <w:t xml:space="preserve">“</w:t>
      </w:r>
      <w:r>
        <w:t xml:space="preserve">How people negotiate their way through museums and galleries can have considerable implications for how they relate to and interpret exhibition content</w:t>
      </w:r>
      <w:r>
        <w:t xml:space="preserve">”</w:t>
      </w:r>
      <w:r>
        <w:t xml:space="preserve"> </w:t>
      </w:r>
      <w:r>
        <w:t xml:space="preserve">(Macdonald, 2007, p. 157). A curatorial decision about the route (a strict sequence of halls or, on the contrary, free navigation) is not a technical choice. It is a choice about what type of perception of political memory is offered to the visitor. Different styles of movement — from following a set route to free switching between objects — depend on the design of the exhibition (Macdonald, 2007, p. 157). Curators can program a certain style of movement, and this affects how the narrative about the past is assimilated.</w:t>
      </w:r>
    </w:p>
    <w:p>
      <w:pPr>
        <w:pStyle w:val="BodyText"/>
      </w:pPr>
      <w:r>
        <w:t xml:space="preserve">In the area of media, physical objects attract more attention from visitors than texts:</w:t>
      </w:r>
      <w:r>
        <w:t xml:space="preserve"> </w:t>
      </w:r>
      <w:r>
        <w:t xml:space="preserve">“</w:t>
      </w:r>
      <w:r>
        <w:t xml:space="preserve">visitors tend to be very attentive to objects, and only occasionally attentive to labels</w:t>
      </w:r>
      <w:r>
        <w:t xml:space="preserve">”</w:t>
      </w:r>
      <w:r>
        <w:t xml:space="preserve"> </w:t>
      </w:r>
      <w:r>
        <w:t xml:space="preserve">(Macdonald, 2007, p. 155). For an exhibition on genocide this means that photographs, recordings and documents become the main instrument of political memory production. The curatorial decision about which objects to show and how to arrange them determines what exactly the visitor will remember.</w:t>
      </w:r>
      <w:r>
        <w:t xml:space="preserve"> </w:t>
      </w:r>
      <w:r>
        <w:rPr>
          <w:bCs/>
          <w:b/>
        </w:rPr>
        <w:t xml:space="preserve">Macdonald’s three-part framework is important for this research because it provides the link between technological choice and bodily experience.</w:t>
      </w:r>
      <w:r>
        <w:t xml:space="preserve"> </w:t>
      </w:r>
      <w:r>
        <w:t xml:space="preserve">Manovich explains how the digital interface programmes perception at the code level. Macdonald shows how the physical space, the choice of media and social interaction do the same at the level of visitor behaviour. For the analysis of</w:t>
      </w:r>
      <w:r>
        <w:t xml:space="preserve"> </w:t>
      </w:r>
      <w:r>
        <w:t xml:space="preserve">“</w:t>
      </w:r>
      <w:r>
        <w:t xml:space="preserve">No to Genocide!</w:t>
      </w:r>
      <w:r>
        <w:t xml:space="preserve">”</w:t>
      </w:r>
      <w:r>
        <w:t xml:space="preserve"> </w:t>
      </w:r>
      <w:r>
        <w:t xml:space="preserve">this means that one has to look at the technological, spatial and social levels at the same time. The MDA protocol described in Chapter 2 is structured precisely along these three lines: it records what is shown, how visitors are addressed by the images, and how the configuration of space directs their movement.</w:t>
      </w:r>
    </w:p>
    <w:p>
      <w:pPr>
        <w:pStyle w:val="BodyText"/>
      </w:pPr>
      <w:r>
        <w:t xml:space="preserve">The exhibition</w:t>
      </w:r>
      <w:r>
        <w:t xml:space="preserve"> </w:t>
      </w:r>
      <w:r>
        <w:t xml:space="preserve">“</w:t>
      </w:r>
      <w:r>
        <w:t xml:space="preserve">No to Genocide!</w:t>
      </w:r>
      <w:r>
        <w:t xml:space="preserve">”</w:t>
      </w:r>
      <w:r>
        <w:t xml:space="preserve"> </w:t>
      </w:r>
      <w:r>
        <w:t xml:space="preserve">belongs to the genre of the</w:t>
      </w:r>
      <w:r>
        <w:t xml:space="preserve"> </w:t>
      </w:r>
      <w:r>
        <w:rPr>
          <w:bCs/>
          <w:b/>
        </w:rPr>
        <w:t xml:space="preserve">memorial museum</w:t>
      </w:r>
      <w:r>
        <w:t xml:space="preserve">. To analyse its curatorial decisions it is necessary to understand the structural characteristics of this genre. Paul Williams’s concept of the memorial museum describes these characteristics. He distinguishes three related notions: monument, museum, and memorial museum. A monument is a sculpture or physical marker created for commemoration. A museum is an institution engaged in the acquisition, storage, study and exhibition of objects. A memorial museum is a specific genre devoted to a historical event linked to mass suffering (Williams, 2007, p. 8). The very term contains an internal contradiction: the memorial implies non-evaluative mourning, while the museum requires critical interpretation and contextualisation. Williams considers this contradiction constitutive of the genre; it is reproduced in every curatorial decision.</w:t>
      </w:r>
      <w:r>
        <w:t xml:space="preserve"> </w:t>
      </w:r>
      <w:r>
        <w:rPr>
          <w:bCs/>
          <w:b/>
        </w:rPr>
        <w:t xml:space="preserve">Williams’s concept of the constitutive tension of the memorial museum is important for this research because it provides the theoretical formulation of the trade-off that will be empirically reconstructed in Chapter 3.</w:t>
      </w:r>
      <w:r>
        <w:t xml:space="preserve"> </w:t>
      </w:r>
      <w:r>
        <w:t xml:space="preserve">Every curatorial choice on an exhibition about genocide must balance between mourning, tragedy and interpretation (Williams, 2007, p. 8), and we will trace this balance in concrete decisions about images, text, sound and route.</w:t>
      </w:r>
    </w:p>
    <w:p>
      <w:pPr>
        <w:pStyle w:val="BodyText"/>
      </w:pPr>
      <w:r>
        <w:t xml:space="preserve">The mission of the memorial museum is sharply delineated. Williams formulates it as follows:</w:t>
      </w:r>
      <w:r>
        <w:t xml:space="preserve"> </w:t>
      </w:r>
      <w:r>
        <w:t xml:space="preserve">“</w:t>
      </w:r>
      <w:r>
        <w:t xml:space="preserve">to illuminate, commemorate, and educate about a particular, bounded, and vivid historic event</w:t>
      </w:r>
      <w:r>
        <w:t xml:space="preserve">”</w:t>
      </w:r>
      <w:r>
        <w:t xml:space="preserve"> </w:t>
      </w:r>
      <w:r>
        <w:t xml:space="preserve">(Williams, 2007, p. 25). The limited character of this mission distinguishes the memorial museum from the large historical museum. Applied to</w:t>
      </w:r>
      <w:r>
        <w:t xml:space="preserve"> </w:t>
      </w:r>
      <w:r>
        <w:t xml:space="preserve">“</w:t>
      </w:r>
      <w:r>
        <w:t xml:space="preserve">No to Genocide!</w:t>
      </w:r>
      <w:r>
        <w:t xml:space="preserve">”</w:t>
      </w:r>
      <w:r>
        <w:t xml:space="preserve"> </w:t>
      </w:r>
      <w:r>
        <w:t xml:space="preserve">this means that the entire exposition follows the task of making the 1915 Armenian genocide intelligible, visible and morally significant. Any deviation violates the genre logic and requires the curators to provide a separate justification.</w:t>
      </w:r>
    </w:p>
    <w:p>
      <w:pPr>
        <w:pStyle w:val="BodyText"/>
      </w:pPr>
      <w:r>
        <w:t xml:space="preserve">Williams also indicates that organised violence destroys the traces of its existence. Victims are stripped of property, records are burned, people are buried in unnamed graves. From this it follows that the material for memorial museums is limited. Every surviving object carries a special evidentiary weight; it exists as tangible testimony</w:t>
      </w:r>
      <w:r>
        <w:t xml:space="preserve"> </w:t>
      </w:r>
      <w:r>
        <w:t xml:space="preserve">“</w:t>
      </w:r>
      <w:r>
        <w:t xml:space="preserve">in the face of dispute and even denial of what happened</w:t>
      </w:r>
      <w:r>
        <w:t xml:space="preserve">”</w:t>
      </w:r>
      <w:r>
        <w:t xml:space="preserve"> </w:t>
      </w:r>
      <w:r>
        <w:t xml:space="preserve">(Williams, 2007, p. 25).</w:t>
      </w:r>
      <w:r>
        <w:t xml:space="preserve"> </w:t>
      </w:r>
      <w:r>
        <w:rPr>
          <w:bCs/>
          <w:b/>
        </w:rPr>
        <w:t xml:space="preserve">Williams’s argument about the evidentiary weight of every artefact is important for this research because it is especially relevant to the case of the Armenian genocide, which is still not recognised by many countries and is denied by Turkey.</w:t>
      </w:r>
      <w:r>
        <w:t xml:space="preserve"> </w:t>
      </w:r>
      <w:r>
        <w:t xml:space="preserve">Every artefact on the exhibition also functions as a documentary refutation of this denial. This explains why curatorial decisions in such exhibitions carry a different documentary load, and the analysis will read the curators’ choice of photographs (such as Armin Wegner’s documentary plates) and original documents (Tolstoy’s letter, parliamentary resolutions) as evidentiary moves, not merely as illustrative ones.</w:t>
      </w:r>
    </w:p>
    <w:p>
      <w:pPr>
        <w:pStyle w:val="BodyText"/>
      </w:pPr>
      <w:r>
        <w:t xml:space="preserve">It is also important for this study that memorial museums turn out to be</w:t>
      </w:r>
      <w:r>
        <w:t xml:space="preserve"> </w:t>
      </w:r>
      <w:r>
        <w:t xml:space="preserve">“</w:t>
      </w:r>
      <w:r>
        <w:t xml:space="preserve">immediately politicized</w:t>
      </w:r>
      <w:r>
        <w:t xml:space="preserve">”</w:t>
      </w:r>
      <w:r>
        <w:t xml:space="preserve"> </w:t>
      </w:r>
      <w:r>
        <w:t xml:space="preserve">by the very genre. Williams writes of</w:t>
      </w:r>
      <w:r>
        <w:t xml:space="preserve"> </w:t>
      </w:r>
      <w:r>
        <w:t xml:space="preserve">“</w:t>
      </w:r>
      <w:r>
        <w:t xml:space="preserve">an uneasy coexistence of reverent commemoration and critical interpretation</w:t>
      </w:r>
      <w:r>
        <w:t xml:space="preserve">”</w:t>
      </w:r>
      <w:r>
        <w:t xml:space="preserve"> </w:t>
      </w:r>
      <w:r>
        <w:t xml:space="preserve">(Williams, 2007, p. 8). Among the cases where this political character becomes manifest, Williams names</w:t>
      </w:r>
      <w:r>
        <w:t xml:space="preserve"> </w:t>
      </w:r>
      <w:r>
        <w:t xml:space="preserve">“</w:t>
      </w:r>
      <w:r>
        <w:t xml:space="preserve">the diplomatic cold war between the Turks and the Armenians</w:t>
      </w:r>
      <w:r>
        <w:t xml:space="preserve">”</w:t>
      </w:r>
      <w:r>
        <w:t xml:space="preserve"> </w:t>
      </w:r>
      <w:r>
        <w:t xml:space="preserve">as an example of how museum representation of mass violence becomes a field of international conflict (Williams, 2007, p. 126).</w:t>
      </w:r>
      <w:r>
        <w:t xml:space="preserve"> </w:t>
      </w:r>
      <w:r>
        <w:rPr>
          <w:bCs/>
          <w:b/>
        </w:rPr>
        <w:t xml:space="preserve">This observation is directly relevant for this research because the exhibition</w:t>
      </w:r>
      <w:r>
        <w:rPr>
          <w:bCs/>
          <w:b/>
        </w:rPr>
        <w:t xml:space="preserve"> </w:t>
      </w:r>
      <w:r>
        <w:rPr>
          <w:bCs/>
          <w:b/>
        </w:rPr>
        <w:t xml:space="preserve">“</w:t>
      </w:r>
      <w:r>
        <w:rPr>
          <w:bCs/>
          <w:b/>
        </w:rPr>
        <w:t xml:space="preserve">No to Genocide!</w:t>
      </w:r>
      <w:r>
        <w:rPr>
          <w:bCs/>
          <w:b/>
        </w:rPr>
        <w:t xml:space="preserve">”</w:t>
      </w:r>
      <w:r>
        <w:rPr>
          <w:bCs/>
          <w:b/>
        </w:rPr>
        <w:t xml:space="preserve"> </w:t>
      </w:r>
      <w:r>
        <w:rPr>
          <w:bCs/>
          <w:b/>
        </w:rPr>
        <w:t xml:space="preserve">exists under conditions of an unresolved recognition conflict.</w:t>
      </w:r>
      <w:r>
        <w:t xml:space="preserve"> </w:t>
      </w:r>
      <w:r>
        <w:t xml:space="preserve">Curatorial decisions in it are made with awareness of the logic of that conflict, and the analysis will treat the explicit invocation of recognition in the final section of the exhibition as a direct intervention into this ongoing international dispute.</w:t>
      </w:r>
    </w:p>
    <w:p>
      <w:pPr>
        <w:pStyle w:val="BodyText"/>
      </w:pPr>
      <w:r>
        <w:t xml:space="preserve">Finally, for the analysis of the political dimension of curatorial decisions, the concept of the memorial museum as an instrument of</w:t>
      </w:r>
      <w:r>
        <w:t xml:space="preserve"> </w:t>
      </w:r>
      <w:r>
        <w:rPr>
          <w:bCs/>
          <w:b/>
        </w:rPr>
        <w:t xml:space="preserve">legitimation</w:t>
      </w:r>
      <w:r>
        <w:t xml:space="preserve">, proposed by Amy Sodaro, is important. Sodaro considers memorial museums as institutions performing three declared functions: preserving the truth about the past, memorial recognition of victims and moral education. Behind these declared aims lies a fourth, tacit function:</w:t>
      </w:r>
      <w:r>
        <w:t xml:space="preserve"> </w:t>
      </w:r>
      <w:r>
        <w:t xml:space="preserve">“</w:t>
      </w:r>
      <w:r>
        <w:t xml:space="preserve">the legitimation of the current political regime</w:t>
      </w:r>
      <w:r>
        <w:t xml:space="preserve">”</w:t>
      </w:r>
      <w:r>
        <w:t xml:space="preserve"> </w:t>
      </w:r>
      <w:r>
        <w:t xml:space="preserve">(Sodaro, 2018, p. 180).</w:t>
      </w:r>
      <w:r>
        <w:t xml:space="preserve"> </w:t>
      </w:r>
      <w:r>
        <w:rPr>
          <w:bCs/>
          <w:b/>
        </w:rPr>
        <w:t xml:space="preserve">Sodaro’s argument is fundamental for this research because it shows that any choice in an exhibition about genocide (from the selection of photographs to the organisation of the route) is a political gesture.</w:t>
      </w:r>
      <w:r>
        <w:t xml:space="preserve"> </w:t>
      </w:r>
      <w:r>
        <w:t xml:space="preserve">This is the case regardless of whether the curators are aware of it. Sodaro also draws attention to how memorial museums borrow expositional tropes from each other (walls of names, video testimonies), creating a global language of mourning.</w:t>
      </w:r>
      <w:r>
        <w:t xml:space="preserve"> </w:t>
      </w:r>
      <w:r>
        <w:rPr>
          <w:bCs/>
          <w:b/>
        </w:rPr>
        <w:t xml:space="preserve">This observation is important for this research because it opens a question that the empirical chapter will pursue:</w:t>
      </w:r>
      <w:r>
        <w:t xml:space="preserve"> </w:t>
      </w:r>
      <w:r>
        <w:t xml:space="preserve">to what extent does</w:t>
      </w:r>
      <w:r>
        <w:t xml:space="preserve"> </w:t>
      </w:r>
      <w:r>
        <w:t xml:space="preserve">“</w:t>
      </w:r>
      <w:r>
        <w:t xml:space="preserve">No to Genocide!</w:t>
      </w:r>
      <w:r>
        <w:t xml:space="preserve">”</w:t>
      </w:r>
      <w:r>
        <w:t xml:space="preserve"> </w:t>
      </w:r>
      <w:r>
        <w:t xml:space="preserve">reproduce this global language, and to what extent does it develop its own — for instance, in the symbols of the forget-me-not and the thorn crown that have a specifically Armenian provenance? The answer to this question goes beyond the first chapter and requires the empirical material.</w:t>
      </w:r>
    </w:p>
    <w:p>
      <w:pPr>
        <w:pStyle w:val="BodyText"/>
      </w:pPr>
      <w:r>
        <w:t xml:space="preserve">Curatorial decisions in a multimedia exhibition about genocide function on several levels. At the level of authorship, they construct a particular version of the past. At the level of media technologies, they programme the way this version is perceived by the visitor. At the level of space and sociality, they organise physical movement and joint interaction. At the level of memory politics, they legitimise or contest particular interpretations of historical events. This multi-level understanding of curatorship constitutes the analytical toolkit for the third chapter, where it will be applied in the analysis of</w:t>
      </w:r>
      <w:r>
        <w:t xml:space="preserve"> </w:t>
      </w:r>
      <w:r>
        <w:t xml:space="preserve">“</w:t>
      </w:r>
      <w:r>
        <w:t xml:space="preserve">No to Genocide!</w:t>
      </w:r>
      <w:r>
        <w:t xml:space="preserve">”</w:t>
      </w:r>
      <w:r>
        <w:t xml:space="preserve">.</w:t>
      </w:r>
    </w:p>
    <w:bookmarkEnd w:id="25"/>
    <w:bookmarkStart w:id="26" w:name="Xedb70db2959ea77d3a78bf6346c6eb84cc96749"/>
    <w:p>
      <w:pPr>
        <w:pStyle w:val="Heading2"/>
      </w:pPr>
      <w:r>
        <w:t xml:space="preserve">Synthesis: From Theoretical Lens to Analytical Tool</w:t>
      </w:r>
    </w:p>
    <w:p>
      <w:pPr>
        <w:pStyle w:val="FirstParagraph"/>
      </w:pPr>
      <w:r>
        <w:t xml:space="preserve">The concepts examined in this chapter perform two different functions. Some describe the object of analysis, others provide tools for understanding exactly how it is produced.</w:t>
      </w:r>
    </w:p>
    <w:p>
      <w:pPr>
        <w:pStyle w:val="BodyText"/>
      </w:pPr>
      <w:r>
        <w:t xml:space="preserve">A. Assmann shows that institutions create political memory through monuments, museums and rituals, each time making a selection: some events are fixed in the public space, others are displaced. Traverso adds that this selection always happens in the logic of the present: current political tasks determine what exactly is remembered. Judt records that not all victims receive visibility and name, and this inequality is built into the structure of memorial institutions themselves. Three positions together establish that any memorial exhibition produces political memory by its very structure, regardless of the intentions of its creators.</w:t>
      </w:r>
    </w:p>
    <w:p>
      <w:pPr>
        <w:pStyle w:val="BodyText"/>
      </w:pPr>
      <w:r>
        <w:t xml:space="preserve">Five concepts make up the analytical toolkit through which it is examined how this memory is produced in the concrete case.</w:t>
      </w:r>
    </w:p>
    <w:p>
      <w:pPr>
        <w:pStyle w:val="BodyText"/>
      </w:pPr>
      <w:r>
        <w:rPr>
          <w:bCs/>
          <w:b/>
        </w:rPr>
        <w:t xml:space="preserve">Hjarvard and Hepp</w:t>
      </w:r>
      <w:r>
        <w:t xml:space="preserve"> </w:t>
      </w:r>
      <w:r>
        <w:t xml:space="preserve">describe the conditions in which curatorial decisions are taken at all. For Hjarvard, media have their own logic: formats, principles and constraints to which other institutions must submit. Hepp specifies that the molding forces of media manifest themselves only in a specific context and depend on it. The curator works inside a technological environment that sets the conditions of production before the first decision.</w:t>
      </w:r>
    </w:p>
    <w:p>
      <w:pPr>
        <w:pStyle w:val="BodyText"/>
      </w:pPr>
      <w:r>
        <w:rPr>
          <w:bCs/>
          <w:b/>
        </w:rPr>
        <w:t xml:space="preserve">Erll, Hoskins and Assmann</w:t>
      </w:r>
      <w:r>
        <w:t xml:space="preserve"> </w:t>
      </w:r>
      <w:r>
        <w:t xml:space="preserve">describe the work of memory inside these conditions. For Erll, recollections arise only through medial externalisation: experience must be transposed into material form to become shareable. Hoskins shows that in the digital age technology reproduces institutional control over the narrative. Assmann specifies the concrete mechanism: archival materials exist as storage memory, and a curatorial project transfers part of this reservoir into functional memory. The choice of what will pass into the exhibition carries a political dimension.</w:t>
      </w:r>
    </w:p>
    <w:p>
      <w:pPr>
        <w:pStyle w:val="BodyText"/>
      </w:pPr>
      <w:r>
        <w:rPr>
          <w:bCs/>
          <w:b/>
        </w:rPr>
        <w:t xml:space="preserve">Macdonald, Bennett and Silverstone</w:t>
      </w:r>
      <w:r>
        <w:t xml:space="preserve"> </w:t>
      </w:r>
      <w:r>
        <w:t xml:space="preserve">describe how the result of these processes meets the visitor. Route, arrangement of objects and mode of interaction realise the narrative bodily: the visitor physically passes through the version of the past constructed by the curators. Bennett shows that the museum space constructs the position of the visitor through the organisation of the order of things. Silverstone poses the question of visibility: the presence of a subject in mediatized space does not in itself mean that they obtain a voice.</w:t>
      </w:r>
    </w:p>
    <w:p>
      <w:pPr>
        <w:pStyle w:val="BodyText"/>
      </w:pPr>
      <w:r>
        <w:t xml:space="preserve">The point at which all five instruments converge is the curatorial decision. Every curatorial choice is simultaneously a response to the logic of the technological environment, an act of translating material from archive into functional memory, a design of the visitor’s position, and a decision about whom to grant visibility. This is why the analysis of curatorial decisions requires all five instruments together. Through media logic, we see what was possible. Through the work of memory, we see what was chosen and by what logic. Through spatial design, we see how the choice was presented. Through the question of visibility, we see who, in the process, was given a voice. In the third chapter, this prism is applied to the concrete curatorial decisions of the exhibition</w:t>
      </w:r>
      <w:r>
        <w:t xml:space="preserve"> </w:t>
      </w:r>
      <w:r>
        <w:t xml:space="preserve">“</w:t>
      </w:r>
      <w:r>
        <w:t xml:space="preserve">No to Genocide!</w:t>
      </w:r>
      <w:r>
        <w:t xml:space="preserve">”</w:t>
      </w:r>
      <w:r>
        <w:t xml:space="preserv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2026-05-15T13:25:01Z</dcterms:created>
  <dcterms:modified xsi:type="dcterms:W3CDTF">2026-05-15T13:25:01Z</dcterms:modified>
</cp:coreProperties>
</file>

<file path=docProps/custom.xml><?xml version="1.0" encoding="utf-8"?>
<Properties xmlns="http://schemas.openxmlformats.org/officeDocument/2006/custom-properties" xmlns:vt="http://schemas.openxmlformats.org/officeDocument/2006/docPropsVTypes"/>
</file>