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46835a7d10a83e58446dd32a3a92374a9e1c09"/>
    <w:p>
      <w:pPr>
        <w:pStyle w:val="Heading1"/>
      </w:pPr>
      <w:r>
        <w:t xml:space="preserve">ГЛАВА 3. КУРАТОРСКИЕ РЕШЕНИЯ И ПРОИЗВОДСТВО ПОЛИТИЧЕСКОЙ ПАМЯТИ</w:t>
      </w:r>
    </w:p>
    <w:p>
      <w:pPr>
        <w:pStyle w:val="FirstParagraph"/>
      </w:pPr>
      <w:r>
        <w:t xml:space="preserve">В первой главе была собрана аналитическая рамка, которая теперь применяется к конкретному материалу. Из теории мы взяли несколько рабочих опор. Во-первых, медиатизация понимается здесь не как нейтральная «трансляция» содержания, а как условие, в котором аффордансы цифровых форматов сами формируют то, что и как может быть показано (Hjarvard, 2008; Couldry &amp; Hepp, 2017). Во-вторых, культурная и политическая память производится только через медиальную экстернализацию: воспоминаний «до медиа» не существует, они появляются в момент, когда институция выбирает носитель и форму (Erll, 2008; A. Assmann, 2010; Hoskins, 2011). В-третьих, музейное пространство понимается как режим смыслопроизводства, в котором маршрут, объект и социальная ситуация участвуют наравне с текстом (Macdonald, 2007; Bennett, 1988; Hooper-Greenhill, 2000). Наконец, мемориальный музей по определению политизирован: каждый его выбор есть жест признания одних голосов и отказа другим (Williams, 2007; Sodaro, 2018; Silverstone, 2007).</w:t>
      </w:r>
    </w:p>
    <w:p>
      <w:pPr>
        <w:pStyle w:val="BodyText"/>
      </w:pPr>
      <w:r>
        <w:t xml:space="preserve">Эти концепты задают логику разбора. Третья глава организована не по залам экспозиции, а по аналитическим темам, которые отвечают на четыре подвопроса исследования. В параграфе 3.1 рассматривается нарративная архитектура: как из разрозненного архивного материала выстроена связная версия прошлого. В 3.2 анализируется логика мультимедийных форматов — почему выбраны именно LED-экран, сенсорный стол и тканевый баннер и какие смысловые ограничения каждый из них накладывает. В 3.3 в центре внимания — пространственное программирование посетителя: маршрут, свет, звук, ритм переключений. В 3.4 обсуждается иерархия голосов: кто получает право говорить от лица памяти и какие фигуры остаются на её периферии. Параграф 3.5 посвящён аффективным и символическим стратегиям: цвету, противопоставлению «до/после» и переходным экранам, которые связывают исторический материал с актуальной политикой признания. В 3.6 разбираются напряжения и компромиссы, с которыми столкнулись кураторы при работе на государственной мультимедийной площадке. Параграф 3.7 подводит итоги главы и формулирует ответ на главный исследовательский вопрос.</w:t>
      </w:r>
    </w:p>
    <w:p>
      <w:pPr>
        <w:pStyle w:val="BodyText"/>
      </w:pPr>
      <w:r>
        <w:t xml:space="preserve">Эмпирическим материалом служат два источника, описанных в главе 2: заполненный протокол структурированного наблюдения по схеме мультимодального дискурс-анализа Кресса и ван Лёвена и расшифровка полуструктурированного интервью с куратором экспозиции от Донского союза армянской молодёжи. Эти источники работают в паре: наблюдение фиксирует, что именно сделано в пространстве, а интервью объясняет, почему было сделано именно так. Теоретические концепты подключаются по ходу анализа там, где они помогают увидеть в кураторском решении общий механизм.</w:t>
      </w:r>
    </w:p>
    <w:bookmarkStart w:id="20" w:name="X17a63da4a16de072aacefc38973181beb1ae6a3"/>
    <w:p>
      <w:pPr>
        <w:pStyle w:val="Heading2"/>
      </w:pPr>
      <w:r>
        <w:t xml:space="preserve">3.1 Хронология как нарративная рамка: версия прошлого, выстроенная маршрутом</w:t>
      </w:r>
    </w:p>
    <w:p>
      <w:pPr>
        <w:pStyle w:val="FirstParagraph"/>
      </w:pPr>
      <w:r>
        <w:t xml:space="preserve">Первое, что бросается в глаза при сопоставлении наблюдений и интервью, — это то, что выставка не предъявляет геноцид как самодостаточное событие. Он встроен в более длинную хронологическую дугу, которая разворачивается от Русско-турецкой войны 1877–1878 годов и армянского вопроса в Берлинском конгрессе через резню 1894–1896 годов, реформы и Первую мировую, события 1915 года, депортации и уничтожение культурного наследия — и завершается признанием геноцида российским государством и Русской православной церковью в 1990-х–2010-х годах. Одиннадцать тематических экранов выстроены в строгой временной последовательности, и эта последовательность не маркируется как один из возможных способов рассказать историю: она предъявляется на отдельном LED-экране «Содержание» ещё до входа в основное пространство, то есть как естественная, единственная структура.</w:t>
      </w:r>
    </w:p>
    <w:p>
      <w:pPr>
        <w:pStyle w:val="BodyText"/>
      </w:pPr>
      <w:r>
        <w:t xml:space="preserve">Это первое и самое существенное кураторское решение: геноцид помещён в режим хронологического нарратива, а не, например, тематического, биографического или дискуссионного. Хронология здесь выполняет работу, на которую указывает Алейда Ассман, когда говорит о политической памяти: разные версии прошлого «сводятся к одной и закрепляются в материальных носителях… передаются следующим поколениям» (A. Assmann, 2010, p. 43). Хронологическая ось делает именно это: она превращает потенциально спорное историографическое событие в линейную последовательность, у которой есть исток, кульминация и финал. Финалом — что принципиально — оказывается не сам геноцид, а его международное признание. То есть структурно нарратив завершается не катастрофой, а её юридическим и моральным «закрытием» через признание со стороны легитимных государственных и церковных институций.</w:t>
      </w:r>
    </w:p>
    <w:p>
      <w:pPr>
        <w:pStyle w:val="BodyText"/>
      </w:pPr>
      <w:r>
        <w:t xml:space="preserve">Это смещение замечается в интервью почти случайно: говоря о выборе фотографии Владимира Путина у мемориала Цицернакаберд, куратор объясняет, что «это экспозиция не только о геноциде армян, но ещё и о взаимодействии, сотрудничестве, помощи России и российского народа, а также о российско-армянских отношений». Финальный раздел о признании — это не дополнительный сюжет, а структурная нагрузка всего маршрута. На вопрос, был ли «российский» сюжет — русские солдаты-очевидцы, русские писатели, современное признание — изначальным или возник по ходу работы, куратор отвечает однозначно: «это был изначальный концепт, на котором строилось всё в выставке». Хронология здесь не нейтральный «принцип отбора», а способ имплантировать память о геноциде в контекст российского национального нарратива.</w:t>
      </w:r>
    </w:p>
    <w:p>
      <w:pPr>
        <w:pStyle w:val="BodyText"/>
      </w:pPr>
      <w:r>
        <w:t xml:space="preserve">В терминах Эрлл это удобно описывается как выбор определённого «модуса воспоминания» (Erll, 2008, p. 14–15): один и тот же факт может быть рассказан как травма, как героическое сопротивление, как преступление против человечества, как богоборческое мученичество. Выставка «Геноциду — нет!» комбинирует несколько таких модусов, но соединяет их в одну осевую конструкцию — «солидарность России и армянского народа в условиях исторической трагедии». Это видно уже на структурном уровне: между тематическими блоками, посвящёнными собственно резне (1894–1896, 1915), помещены экраны «Братская помощь пострадавшим», «Русский солдат-очевидец геноцида», «Беженцы геноцида: помощь российских властей и гуманитарных организаций», «Геноцид армян и русская литература», «Нахичеванский армянский комитет помощи беженцам». Семь из одиннадцати тематических блоков либо центрально, либо периферийно работают именно на этот сюжет.</w:t>
      </w:r>
    </w:p>
    <w:p>
      <w:pPr>
        <w:pStyle w:val="BodyText"/>
      </w:pPr>
      <w:r>
        <w:t xml:space="preserve">С точки зрения мемориальных исследований такая композиция имеет точное теоретическое имя. Сюда применима логика, описанная Тони Джадтом: официальная память «последовательно строилась на разделении: то, что было сделано «с нами», признавалось открыто; то, что сделали «мы сами», — систематически вытеснялось» (Judt, 1992, p. 89). У выставки нет необходимости что-либо «вытеснять» — речь идёт о другой нации и другом государстве. Но композиционно она работает по схожему принципу: жертва (армянский народ) и палач (Османская империя, младотурецкое правительство) полностью разведены, а между ними помещена третья фигура — Россия — в роли свидетеля, заступника и в финале признающего субъекта. В терминах Сильверстоуна это пример того, как медиаполис распределяет «гостеприимство»: голос армянской катастрофы получает право быть услышанным, но через посредничество и в рамках того нарратива, в котором у площадки уже есть собственная роль (Silverstone, 2007, p. 136).</w:t>
      </w:r>
    </w:p>
    <w:p>
      <w:pPr>
        <w:pStyle w:val="BodyText"/>
      </w:pPr>
      <w:r>
        <w:t xml:space="preserve">Здесь же видно, как работает то, что А. Ассман называет границей между функциональной памятью и storage memory: «without the mobility of the borders between functional and storage memory, cultural memory would have congealed into something fixed and absolute» (A. Assmann, 2011, p. 130). Кураторы заметно сдвигают эту границу. Из архива музея-института геноцида армян в Ереване они извлекают не только канонический изобразительный ряд (фотографии Армина Вегнера, Виктора Пичмана, документы депортации, картины концентрационных поселений), но и материалы, которые в международной экспозиционной традиции звучат гораздо слабее: переписку русских солдат с Кавказского фронта, мемуары очевидцев, обложку сборника «Братская помощь», письмо Толстого, стихи Кулебякина и Брюсова, документы Татьянинского комитета. Эти материалы давно лежат в архивах, но их перенос на LED-экран в музейном комплексе с пятимиллионной федеральной сетью посещения — это акт перевода из storage memory в функциональную: они вновь становятся «работающими» элементами политической памяти, причём именно в той версии, которую выгодно стабилизировать в текущем геополитическом контексте.</w:t>
      </w:r>
    </w:p>
    <w:p>
      <w:pPr>
        <w:pStyle w:val="BodyText"/>
      </w:pPr>
      <w:r>
        <w:t xml:space="preserve">Хронологическая ось работает и ещё на одном уровне, который виден только при сопоставлении наблюдений с теорией. Уильямс пишет о мемориальном музее как о жанре, удерживающем «an uneasy coexistence of reverent commemoration and critical interpretation» (Williams, 2007, p. 8). Хронология — это способ снять это противоречие. Если событие развёрнуто как процесс с истоком и финалом, у посетителя нет необходимости занимать сложную позицию между скорбью и интерпретацией: ему предлагается следовать по уже размеченному пути, в конце которого мораль становится политическим итогом — «Россия и мир признают и осуждают». Иначе говоря, хронология делает критическую интерпретацию ненужной: посетителю не нужно решать, как относиться к показанному, потому что отношение уже встроено в саму последовательность экранов.</w:t>
      </w:r>
    </w:p>
    <w:p>
      <w:pPr>
        <w:pStyle w:val="BodyText"/>
      </w:pPr>
      <w:r>
        <w:t xml:space="preserve">В сумме на уровне нарратива кураторская работа состоит из трёх связанных решений: (1) задать хронологию как структуру, (2) поставить точкой назначения акт признания, (3) распределить «российский» материал по всей оси так, чтобы он не был отдельным сюжетом, а формировал контекст для центральных блоков о резне и депортациях. Эти три решения совместно конструируют политическую память о геноциде в её конкретной версии — версии российско-армянской солидарности, узаконенной государственным признанием. Все последующие параграфы рассматривают, как эта нарративная конструкция поддерживается медийными, пространственными, аффективными средствами.</w:t>
      </w:r>
    </w:p>
    <w:bookmarkEnd w:id="20"/>
    <w:bookmarkStart w:id="21" w:name="Xb8cc8e6537a66ee913af0e24366b8dcf4bd89b6"/>
    <w:p>
      <w:pPr>
        <w:pStyle w:val="Heading2"/>
      </w:pPr>
      <w:r>
        <w:t xml:space="preserve">3.2 Логика мультимедийных форматов: аффордансы, дублирование и пределы интерактивности</w:t>
      </w:r>
    </w:p>
    <w:p>
      <w:pPr>
        <w:pStyle w:val="FirstParagraph"/>
      </w:pPr>
      <w:r>
        <w:t xml:space="preserve">Если первый параграф показывал, что́ предъявляется, то этот сосредоточен на том, как это предъявляется. Здесь продуктивно подключается понятие медиалогики Хьярварда: каждое медиа обладает собственным набором правил, форматов и аффордансов, которые «другим социальным институтам приходится принимать во внимание» (Hjarvard, 2008, p. 105). В выставке «Геноциду — нет!» используются три основных формата: LED-экран, сенсорный стол с Kinect-управлением и тканевый баннер с точечной подсветкой. Сопоставление наблюдений и интервью показывает, что выбор именно этих трёх форматов был не свободным дизайнерским решением, а компромиссом между технологической инфраструктурой площадки и кураторским замыслом.</w:t>
      </w:r>
    </w:p>
    <w:p>
      <w:pPr>
        <w:pStyle w:val="BodyText"/>
      </w:pPr>
      <w:r>
        <w:t xml:space="preserve">Сама институция — мультимедийный исторический парк «Россия — моя история» — определяет, что́ кураторам в принципе доступно. В интервью этот момент звучит дважды. Сначала куратор объясняет, что мультимедийный формат был выбран, потому что «он актуален» и потому что «здесь нет никаких больших экспонатов, ничего, то есть это просто файл, который можно передать», — это позволило экспозиции пройти в четырёх городах: Ростове, Санкт-Петербурге, Нижнем Новгороде, Екатеринбурге. Затем он же признаёт, что «другой формат не рассматривали в историческом парке, ну, потому что там, соответственно, не подходит». В терминах Хьярварда это пример прямой медиатизации: деятельность по передаче политической памяти не просто использует медиа, но осуществляется через них, и вне этой инфраструктуры не существует. Файл, который «можно передать», — это и есть форма памяти, в которой выставка существует операционально.</w:t>
      </w:r>
    </w:p>
    <w:p>
      <w:pPr>
        <w:pStyle w:val="BodyText"/>
      </w:pPr>
      <w:r>
        <w:t xml:space="preserve">Аффордансы LED-экрана определяют две вещи. Первое — массовость и плотность материала. Куратор подчёркивает: «благодаря мультимедийному формату мы смогли поместить такой объём материала, чего бы нам не дала традиционная выставка». Действительно, одиннадцать тематических блоков с архивными фотографиями, гравюрами, картами, дипломатическими документами, портретами, отрывками литературных произведений и кадрами хроники потребовали бы при витринной развеске нескольких сотен квадратных метров. На LED-экранах этот материал уплотнён до одной поверхности на тему. Это технологическая аффордансия, без которой версия прошлого, описанная в § 3.1, не могла бы быть рассказана с такой густотой деталей. Второе — динамика и автоматизация. LED-экран не статичен: он переключает картинки по таймеру, перебирает архивные фотографии, синхронно гаснет между блоками. Это смещает позицию посетителя с позиции читателя витрины (который сам решает, сколько смотреть) к позиции зрителя (которому предъявляют последовательность). Об этом эффекте мы подробнее говорим в § 3.3.</w:t>
      </w:r>
    </w:p>
    <w:p>
      <w:pPr>
        <w:pStyle w:val="BodyText"/>
      </w:pPr>
      <w:r>
        <w:t xml:space="preserve">Сенсорные столы — второй формат, который, как показывает интервью, обходится дороже всего: «технически очень долго мы их делали… мы же сами готовили все файлы, не они, и мы очень долго пытались их наладить». При этом большинство сенсорных столов в выставке выполняют дублирующую функцию: они повторяют содержание LED-экрана, перед которым стоят. На прямой вопрос интервьюера, почему именно дублирование, а не дополнительный материал, куратор отвечает: «в саму экспозицию достаточно объёмный материал помещён, поэтому доп.информация была бы уже изрядна… на сенсорном столе мы поместили информацию, которая дублирует, чтобы посетителю было удобно прочесть, какие-то моменты подольше зафиксировать. Так как LED-экран не всё время статичный и в какой-то момент они переключаются».</w:t>
      </w:r>
    </w:p>
    <w:p>
      <w:pPr>
        <w:pStyle w:val="BodyText"/>
      </w:pPr>
      <w:r>
        <w:t xml:space="preserve">Это объяснение прагматическое, но оно содержит важное концептуальное следствие. Дублирование решает проблему, созданную самим выбором аффордансов: автоматическая смена кадров на LED-экране делает индивидуальное чтение текста невозможным. Чтобы посетитель всё-таки мог прочитать, нужен второй экран — статичный, тактильный, управляемый рукой. Здесь хорошо виден тезис Мановича о том, что «интерфейс задаёт то, как пользователь думает о самом компьютере… и о любом медиа-объекте, доступном через компьютер» (Manovich, 2001, p. 76). Аффордансы LED-экрана (зрелищность, динамика) делают невозможной аффордансию длительного чтения; и чтобы её вернуть, кураторы вынуждены ставить дублирующий формат. Получается двухуровневая конструкция: «зрелище» предъявляется на LED-экране, а «текст» — на сенсорном столе. Эта раздвоенность не предусмотрена концепцией, она вызвана логикой самого медиума.</w:t>
      </w:r>
    </w:p>
    <w:p>
      <w:pPr>
        <w:pStyle w:val="BodyText"/>
      </w:pPr>
      <w:r>
        <w:t xml:space="preserve">При этом сенсорный стол при входе — единственный из всех — нарушает логику дублирования. Здесь Kinect-управление используется не для повторения уже показанного материала, а для производства события: посетитель проводит рукой над поверхностью, и флаги России и Армении превращаются в поле незабудок — официальный символ геноцида. Куратор называет это решение своим лично: «это была моя идея, потому что там, в оригинале… примерно такая же история, то есть ты рукой проводишь, и он у тебя другой материал, и мы подумали, что было бы здорово нам тоже использовать». Аналитически этот элемент работает иначе, чем все остальные: он переключает посетителя из режима наблюдения в режим перформативного действия. Это единственная точка во всём маршруте, где посетитель буквально «производит» политический смысл — превращает государственно-политическое (флаги) в мемориальное (незабудки) собственным жестом.</w:t>
      </w:r>
    </w:p>
    <w:p>
      <w:pPr>
        <w:pStyle w:val="BodyText"/>
      </w:pPr>
      <w:r>
        <w:t xml:space="preserve">В терминологии Кресса и ван Лёвена этот элемент уникален интерактивно: «акт требования» обращён здесь не от изображения к зрителю (как на портретах с прямым взглядом), а от инструкции к телу зрителя — «проведите рукой» (Kress &amp; van Leeuwen, 2006, p. 118). И именно тут возникает любопытное напряжение: единственный по-настоящему интерактивный элемент находится в самом начале маршрута, до основной нарративной части. Вся последующая выставка — режим пассивного наблюдения. Если описывать это в терминах Шарон Макдональд, то «активность посетителя» оказывается локализована в зоне инициации; дальше он движется по выставке как уже «инициированный», но не активный субъект (Macdonald, 2007, p. 157).</w:t>
      </w:r>
    </w:p>
    <w:p>
      <w:pPr>
        <w:pStyle w:val="BodyText"/>
      </w:pPr>
      <w:r>
        <w:t xml:space="preserve">Третий формат — тканевый баннер с цитатами авторитетных деятелей — на первый взгляд наиболее традиционен и противоречит общей мультимедийной логике. Но интервью показывает, что баннеры появились не как кураторская идея, а как реакция на инфраструктурное ограничение: «у них там есть эти места… когда мы их убрали, зал получился голый, а у них там такие лампочки специально, они подсвечивают их, и мы поняли, что нужно делать». То есть пространство уже было оборудовано под баннеры с цитатами «по умолчанию» (вероятно, в стандартной экспозиции парка — Шойгу, Медведев и т.д.), и кураторам пришлось вписаться в эту инфраструктуру. Это пример косвенной медиатизации в смысле Хьярварда: содержание форматируется существующими медийными конвенциями площадки, даже если сами кураторы не выбирали этот канал (Hjarvard, 2008, p. 114).</w:t>
      </w:r>
    </w:p>
    <w:p>
      <w:pPr>
        <w:pStyle w:val="BodyText"/>
      </w:pPr>
      <w:r>
        <w:t xml:space="preserve">Наблюдение фиксирует, что итоговый набор персон на баннерах сочетает разные регистры авторитета: религиозный (Папа Иоанн Павел II, Папа Франциск, Католикос Вазген I), государственный (Путин), научный/гуманитарный (Нансен), литературный (Анатоль Франс). В терминологии композиционного анализа Кресса и ван Лёвена это работает как «коридор требований»: посетителю предъявлены лица, большинство из которых смотрят либо мимо камеры (наблюдение — как у архивных портретов), либо прямо (требование солидарности — как Путин). Куратор объясняет логику отбора так: «мы старались взять побольше из России, но так как из России мало кто об этом говорил, из официальных лиц, там, Путин, патриарх, кто-то ещё, мы взяли просто ещё всех остальных мировых лидеров, исторических каких-то важных персон, которые своими словами подтверждали, что да, действительно, факт геноцида — это неоспоримо».</w:t>
      </w:r>
    </w:p>
    <w:p>
      <w:pPr>
        <w:pStyle w:val="BodyText"/>
      </w:pPr>
      <w:r>
        <w:t xml:space="preserve">Здесь видно интересное смыкание двух логик. С одной стороны — медиалогика баннера: он по конструкции требует короткой фразы и фотографии лица, поэтому годятся только публичные фигуры с готовыми высказываниями. С другой — нарративная логика выставки: «российскость» приоритетна, но российский политический и культурный истеблишмент мало высказывался о геноциде. В результате формат сам подталкивает к компромиссу: «достроить» российский голос международным. Получается, что баннеры — это не просто витрина авторитетных мнений, это инфраструктурно-нарративный компромисс, в котором мировая фактологическая поддержка работает как заместитель отсутствующего внутреннего голоса.</w:t>
      </w:r>
    </w:p>
    <w:p>
      <w:pPr>
        <w:pStyle w:val="BodyText"/>
      </w:pPr>
      <w:r>
        <w:t xml:space="preserve">Вывод по параграфу можно сформулировать так. Выбор медиаформатов в выставке «Геноциду — нет!» не сводится к технологическому решению: каждый формат несёт собственные ограничения и собственную смысловую логику. LED-экран позволяет уплотнить материал и удержать ритм, но лишает текста; сенсорный стол возвращает текст, но в подавляющем большинстве случаев лишь дублирует уже показанное; баннеры наследуют инфраструктуру площадки и потому подталкивают к определённой риторике авторитета. Единственный полностью «активный» элемент — входной сенсорный стол с превращением флагов в незабудки — оказывается одновременно и наиболее семантически нагруженным: именно через него политика превращается в память актом тела самого посетителя.</w:t>
      </w:r>
    </w:p>
    <w:bookmarkEnd w:id="21"/>
    <w:bookmarkStart w:id="22" w:name="X5a280b95d3a900a45d76366b0a875e0f889035d"/>
    <w:p>
      <w:pPr>
        <w:pStyle w:val="Heading2"/>
      </w:pPr>
      <w:r>
        <w:t xml:space="preserve">3.3 Пространство, свет и ритм: посетитель как объект программирования</w:t>
      </w:r>
    </w:p>
    <w:p>
      <w:pPr>
        <w:pStyle w:val="FirstParagraph"/>
      </w:pPr>
      <w:r>
        <w:t xml:space="preserve">Если медийные форматы определяют, в каком виде материал доходит до посетителя, то пространственная организация определяет, в каком состоянии этот посетитель находится в момент восприятия. Этот уровень кураторской работы напрямую соответствует тому, что Шарон Макдональд называет областью пространства музейного опыта: «способ перемещения посетителя по выставке напрямую влияет на его интерпретацию» (Macdonald, 2007, p. 157). В выставке «Геноциду — нет!» этот способ запрограммирован очень жёстко — и именно жёсткость представляет собой основной кураторский выбор.</w:t>
      </w:r>
    </w:p>
    <w:p>
      <w:pPr>
        <w:pStyle w:val="BodyText"/>
      </w:pPr>
      <w:r>
        <w:t xml:space="preserve">Маршрут линейный, развилок нет. Четыре зала, движение «вперёд вдоль стен», возвращение назад не предусмотрено логикой потока. Это решение прямо обсуждается в интервью: на вопрос, обсуждалась ли возможность дать посетителю выбрать маршрут, куратор отвечает категорично: «скорее нет, потому что политика музея «Россия — моя история» не предполагает подобный формат». Иначе говоря, линейность — это институциональное ограничение площадки. Но именно потому, что оно совпало с нарративным замыслом, ни одна из сторон не имела повода его оспаривать. Хронологическая последовательность экранов (§ 3.1) и линейный маршрут зала образуют структурный изоморфизм: время разворачивается так же, как пространство — без альтернатив, без обхода, без возможности перейти к концу без прохождения середины.</w:t>
      </w:r>
    </w:p>
    <w:p>
      <w:pPr>
        <w:pStyle w:val="BodyText"/>
      </w:pPr>
      <w:r>
        <w:t xml:space="preserve">Это в чистом виде то, что Тони Беннетт описывает как «выставочный комплекс» — пространство, где власть работает не через принуждение, а через добровольное соучастие зрителя в установленном порядке вещей (Bennett, 1988). Посетитель сам идёт по маршруту, сам делает паузы, сам читает, — но возможные сценарии этого «сам» заданы архитектурой. Здесь же подключается логика Эрлл, по которой прошлое не имеет фиксированной формы и каждый раз пересобирается в акте воспоминания (Erll, 2008, p. 14). В пространстве выставки этот акт пересборки задан как процедура: вы входите, читаете цитаты авторитетов, активируете сенсорный стол с флагами и незабудками, идёте мимо одиннадцати тематических экранов в хронологическом порядке и выходите через раздел признания. У вас нет возможности «пересобрать» прошлое иначе — например, прийти сначала к признанию, а потом откатиться к истокам, или начать с культурного геноцида и закончить русско-турецкой войной.</w:t>
      </w:r>
    </w:p>
    <w:p>
      <w:pPr>
        <w:pStyle w:val="BodyText"/>
      </w:pPr>
      <w:r>
        <w:t xml:space="preserve">К пространственной структуре добавляется световой режим. Наблюдение фиксирует полное затемнение по всему маршруту и точечную подсветку только экранов и баннеров. Куратор объясняет это как стандартную практику площадки: «в целом все выставки/экспозиции в музее «Россия — моя история» проходят с таким светом и музыкальным сопровождением». Здесь снова инфраструктура и замысел работают вместе. Затемнение делает две вещи. Во-первых, оно физически отрезает посетителя от «обычного мира»: в зале нет окон, нет дневного света, нет ориентиров, не относящихся к содержанию выставки. Во-вторых, оно превращает каждый светящийся экран в единственный источник внимания: контрастность между темнотой зала и яркими LED-поверхностями технически невозможно «преодолеть» и посмотреть мимо. В терминологии Кресса и ван Лёвена это работает как максимизация салентности на уровне всего пространства, а не отдельного изображения (Kress &amp; van Leeuwen, 2006, p. 201): доминантным элементом становится тот, который светится, и весь зал светится только тематическими экранами.</w:t>
      </w:r>
    </w:p>
    <w:p>
      <w:pPr>
        <w:pStyle w:val="BodyText"/>
      </w:pPr>
      <w:r>
        <w:t xml:space="preserve">К свету присоединяется звук. Фоном проигрывается одна армянская мелодия, посвящённая геноциду, в непрерывном цикле. Куратор описывает её эффект так: «знаешь, это всего одна песня, которая постоянно проигрывается. Но она очень удачно подошла и не создаёт ощущения надоедливости». С точки зрения теории это интересная характеристика. То, что в обычной слушательской ситуации стало бы «надоедливостью», в условиях выставки превращается в равномерный аффективный фон. Хоскинс описывает мемориальную медиа-среду как ту, где «успешная постановка исторической аутентичности для современной аудитории требует цифровых технологий… экспозиции окружают посетителей реставрированными фотографиями, звукозаписями, кадрами хроники» (Kansteiner, в Hoskins, 2018, p. 118). Зацикленная музыка играет здесь ту же роль: она создаёт ровный эмоциональный пол, на котором каждое отдельное изображение работает с большей силой, чем оно работало бы в нейтральной звуковой среде.</w:t>
      </w:r>
    </w:p>
    <w:p>
      <w:pPr>
        <w:pStyle w:val="BodyText"/>
      </w:pPr>
      <w:r>
        <w:t xml:space="preserve">Наконец, третий элемент пространственного программирования — синхронные переходные экраны. Каждые несколько секунд все одиннадцать LED-экранов одновременно переключаются на тёмный фон с одиночным символом (незабудка или терновый венец) и названием следующей темы. Эта пауза длится 5–7 секунд и охватывает всё пространство сразу. Аналитически это самый необычный пространственный приём выставки, и в интервью он почти не комментируется — куратор объясняет логику символов («незабудка — стремление к жизни, колючая проволока, терновый венец — кровь»), но не описывает синхронность как отдельное решение. При этом наблюдение фиксирует, что именно синхронность производит коллективный эффект: посетитель не может «удержаться» на одном экране, пока остальные уже переключились, и все, кто находится в зале одновременно, оказываются в одной точке нарратива в одно и то же мгновение.</w:t>
      </w:r>
    </w:p>
    <w:p>
      <w:pPr>
        <w:pStyle w:val="BodyText"/>
      </w:pPr>
      <w:r>
        <w:t xml:space="preserve">В терминах Шарон Макдональд это образец «социальности» музейного опыта в её сильной форме (Macdonald, 2007, p. 149): синхронные переходы превращают индивидуальное чтение в коллективный ритуал. Посетители разделяют ритм, навязанный пространством, и в этом смысле выставка работает по логике, ближе всего описанной у Пьера Нора как «места памяти» — искусственного компенсирующего механизма, где исчезнувшая «среда памяти» воссоздаётся через ритуализованные процедуры (Nora, 2008, p. 19). Когда все экраны одновременно гаснут до одинокого изображения тернового венца, происходит то, что иначе случается только в формальных ритуалах: пространство навязывает всем присутствующим единое аффективное состояние.</w:t>
      </w:r>
    </w:p>
    <w:p>
      <w:pPr>
        <w:pStyle w:val="BodyText"/>
      </w:pPr>
      <w:r>
        <w:t xml:space="preserve">Здесь ясно виден один из глубоких эффектов медиатизации. Если бы выставка использовала традиционный формат витрины и индивидуальных подписей, такого синхронного ритма было бы невозможно добиться технически: каждый посетитель шёл бы своим темпом, и общая ритуальная рамка не возникла бы вовсе. Именно цифровая инфраструктура — система синхронизированных LED-панелей под единым управлением — делает возможным коллективный ритм, который традиционная мемориальная экспозиция произвести не может. Это та самая «media logic», о которой Хьярвард говорит как о собственной форме медиа: технология не просто переносит содержание, она производит социальную форму, в которой это содержание воспринимается (Hjarvard, 2008, p. 113).</w:t>
      </w:r>
    </w:p>
    <w:p>
      <w:pPr>
        <w:pStyle w:val="BodyText"/>
      </w:pPr>
      <w:r>
        <w:t xml:space="preserve">Здесь же возникает важный для исследования вопрос: каким именно образом эта пространственная и медийная конструкция формирует политический эффект? Если коротко — она устраняет дистанцию. Линейный маршрут, затемнение, непрерывная музыка, синхронные паузы — каждый из этих элементов сам по себе мог бы быть нейтральным дизайнерским ходом. Вместе они создают режим, в котором у посетителя нет ни физической, ни временной, ни аффективной возможности занять критическую позицию к показанному. Уильямс описывает это как принципиальное напряжение мемориального жанра — «безоценочная скорбь и критическая интерпретация» (Williams, 2007, p. 8); в случае «Геноциду — нет!» это напряжение разрешено в пользу первой: критическая интерпретация конструктивно невозможна, потому что пространство не оставляет для неё ни физического, ни когнитивного места.</w:t>
      </w:r>
    </w:p>
    <w:bookmarkEnd w:id="22"/>
    <w:bookmarkStart w:id="23" w:name="Xc447bc852419dd6bafd653d38247df7816aba90"/>
    <w:p>
      <w:pPr>
        <w:pStyle w:val="Heading2"/>
      </w:pPr>
      <w:r>
        <w:t xml:space="preserve">3.4 Голоса свидетельства: иерархия авторитетов и распределение видимости</w:t>
      </w:r>
    </w:p>
    <w:p>
      <w:pPr>
        <w:pStyle w:val="FirstParagraph"/>
      </w:pPr>
      <w:r>
        <w:t xml:space="preserve">Следующий уровень анализа касается того, кто на выставке наделён правом голоса, а кто — нет. Эта проблематика была введена в главе 1 через концепт медиаполиса Силверстоуна: медиатизированное пространство — это «место, где одни субъекты обретают видимость и право голоса, тогда как другие остаются невидимыми и неуслышанными» (Silverstone, 2007, p. 136). На выставке «Геноциду — нет!» эта иерархия читается на нескольких уровнях, и она устроена сложнее, чем кажется на первый взгляд.</w:t>
      </w:r>
    </w:p>
    <w:p>
      <w:pPr>
        <w:pStyle w:val="BodyText"/>
      </w:pPr>
      <w:r>
        <w:t xml:space="preserve">Самый видимый уровень — авторитетные говорящие на баннерах входной зоны. Здесь голос принадлежит публичным фигурам: Папе, Президенту, Католикосу, Нансену, писателю, общественному деятелю. Их слова — это не информация о геноциде, а легитимация самой возможности о нём говорить. В аналитике Кресса и ван Лёвена это пример концептуальной репрезентации: фигуры представлены как символические носители авторитета, статичные, в среднем плане, в большинстве случаев без прямого взгляда — «предложение» зрителю как «объекты созерцания» (Kress &amp; van Leeuwen, 2006, p. 119). Исключение составляет Путин: его портрет на баннере и его же — единственная крупная цветная фотография всей выставки в финальном разделе — это уже не «предложение», а «требование»: прямой взгляд, обращённый к современнику, обязывающий принять предлагаемую позицию.</w:t>
      </w:r>
    </w:p>
    <w:p>
      <w:pPr>
        <w:pStyle w:val="BodyText"/>
      </w:pPr>
      <w:r>
        <w:t xml:space="preserve">Второй уровень — российский голос внутри самих тематических экранов. Здесь говорят не только государственные деятели, но и фигуры культурного и военного авторитета: Толстой (письмо к редактору «Братской помощи»), Брюсов (составитель «Поэзии Армении»), Городецкий, военный поэт Кулебякин, рядовые русские солдаты Кавказского фронта. Это структурно важный голос: он закрывает свидетельскую позицию. Архивные фотографии жертв (Армин Вегнер, Виктор Пичман) сами по себе документируют событие, но они визуальны, безмолвны, не имеют автора в кадре. Голос, который удостоверяет увиденное, всегда внешний по отношению к жертве — и в выставке этот голос систематически распределён между русскими свидетелями.</w:t>
      </w:r>
    </w:p>
    <w:p>
      <w:pPr>
        <w:pStyle w:val="BodyText"/>
      </w:pPr>
      <w:r>
        <w:t xml:space="preserve">Это решение является сознательным. Куратор подтверждает, что «российско-армянская тема — русские солдаты-очевидцы, русские писатели, современное признание — это был изначальный концепт, на котором строилось всё в выставке». Более того, в интервью он объясняет, почему именно с этого ракурса вообще возможен был проект на площадке «Россия — моя история»: «исторический парк «Россия — моя история» всё-таки про историю России, то мы подумали, что было бы здорово рассказать об участии России и об участии России именно в ликвидации последствий геноцида». Иначе говоря, «российскость» — это не идеологическая нагрузка, добавленная к содержанию, а условие, на котором содержание вообще получило право быть показанным.</w:t>
      </w:r>
    </w:p>
    <w:p>
      <w:pPr>
        <w:pStyle w:val="BodyText"/>
      </w:pPr>
      <w:r>
        <w:t xml:space="preserve">Здесь обнажается важный механизм, который А. Ассман описывает как асимметрию между институциями и содержанием памяти: «институции находятся сверху, а содержание памяти — снизу, поэтому памяти приходится подниматься вверх для того, чтобы оказаться в сфере внимания институций, которые в свою очередь препарируют культурную память для последующего усвоения» (A. Assmann, 2011, p. 150). В нашем случае это видно буквально: память о геноциде армян существовала как материал в архиве музея-института в Ереване, и для того, чтобы попасть в институциональное поле российского мультимедийного парка, она должна была быть «препарирована» через включение российского свидетельского голоса. Это и есть кураторский «перевод» культурной памяти в политическую: добавление голоса, который для нынешней институциональной рамки является легитимирующим.</w:t>
      </w:r>
    </w:p>
    <w:p>
      <w:pPr>
        <w:pStyle w:val="BodyText"/>
      </w:pPr>
      <w:r>
        <w:t xml:space="preserve">Третий уровень — голос жертв. И вот здесь распределение видимости устроено наиболее тонко. Жертвы на выставке присутствуют почти исключительно как изображения, а не как говорящие субъекты. Архивные фотографии Вегнера и Пичмана — групповые снимки погибших, истощённых детей, депортируемых — это безмолвные свидетельства тел. В МДА-протоколе систематически фиксируется один и тот же интерактивный паттерн: жертвы изображены в общем или среднем плане, без прямого взгляда (наблюдение), без индивидуализации. Единственное исключение — кадры с детьми, где встречается прямой взгляд в камеру; протокол наблюдения отмечает это как «наиболее аффективный момент всей выставки: ребёнок смотрит прямо на зрителя через 100 лет».</w:t>
      </w:r>
    </w:p>
    <w:p>
      <w:pPr>
        <w:pStyle w:val="BodyText"/>
      </w:pPr>
      <w:r>
        <w:t xml:space="preserve">Эта асимметрия — это не недостаток выставки, а её структурная характеристика. Силверстоун предупреждает, что медиатизация может «как усиливать присутствие, так и сводить субъекта к образу жертвы без голоса» (см. § 1.4). В нашем случае оба варианта реализуются одновременно: жертвы получают высочайшую визуальную плотность присутствия (только им посвящён эмоциональный пик экспозиции — экран «Преступление против человечества и цивилизации»), но получают её именно как тела, а не как голоса. Их «голос» делегирован — русским солдатам, Толстому, Брюсову, Лемкину. Если использовать различение Эрлл, это пример того, как культурная память жертвы передаётся через «медиальную экстернализацию» в форме, выбранной не самой жертвой, а посредниками (Erll, 2008, p. 12–13).</w:t>
      </w:r>
    </w:p>
    <w:p>
      <w:pPr>
        <w:pStyle w:val="BodyText"/>
      </w:pPr>
      <w:r>
        <w:t xml:space="preserve">Четвёртый — отдельный — голос принадлежит исключительно армянским субъектам действия: героям самообороны Вана (Арам Манукян), нахичеванской армянской общине, фигурам диаспоры. Их функция в нарративе принципиально иная, чем у жертв: они показывают армян не как объектов трагедии, а как активных участников собственной истории. Тематический блок «Самооборона армян города Ван в 1915 году» — это самый «громкий» в смысле типографики экран всей выставки: гигантская надпись красным по белому на половину поверхности. В МДА-протоколе зафиксировано, что «сопротивление буквально «кричит»». Здесь видна важная компенсация: на фоне общей логики, где армянский голос делегирован русскому свидетелю, существует один блок, где армянская субъектность предъявлена в максимально активной, героической форме. Это не противоречит общей композиции — оно её дополняет, потому что блок о самообороне находится между фотографиями жертв и разделом о признании, и тем самым вписывает «действующего армянина» в траекторию от трагедии к юридической победе.</w:t>
      </w:r>
    </w:p>
    <w:p>
      <w:pPr>
        <w:pStyle w:val="BodyText"/>
      </w:pPr>
      <w:r>
        <w:t xml:space="preserve">Наконец, есть голоса, которые на выставке отсутствуют. Среди них — голос турецкого и азербайджанского нарратива (что объяснимо, учитывая характер кейса), но также — голос армянской диаспоры в других странах, голос современных армянских историков и писателей за пределами уже упомянутых деятелей конца XIX — начала XX века, голос международных правозащитных организаций, голос текущих исследований памяти. Это не критика — выставка не обязана быть энциклопедией; но в логике медиаполиса важно зафиксировать, что отсутствующие голоса — это не «фон», а часть конструкции памяти. Тот, кто говорит, и тот, кого не пригласили говорить, образуют единую структуру.</w:t>
      </w:r>
    </w:p>
    <w:p>
      <w:pPr>
        <w:pStyle w:val="BodyText"/>
      </w:pPr>
      <w:r>
        <w:t xml:space="preserve">В сумме система голосов на выставке устроена как четырёхуровневая иерархия: (1) легитимизирующие международные авторитеты (баннеры), (2) российские свидетели как удостоверяющая инстанция (Толстой, Брюсов, солдаты, дипломаты), (3) безмолвные армянские жертвы (фотодокументация), (4) активные армянские субъекты в локализованных эпизодах (самооборона Вана, нахичеванская община). Эта структура распределяет видимость не случайно: она расставляет говорящих так, чтобы итоговая версия памяти получила одновременно международную, российскую, гуманитарную и собственно армянскую опору. Каждый уровень закрывает определённую слабость предыдущего, и вместе они создают конструкцию, которую трудно оспорить с любой одной позиции.</w:t>
      </w:r>
    </w:p>
    <w:bookmarkEnd w:id="23"/>
    <w:bookmarkStart w:id="24" w:name="Xdf3765f84406499e814475d303ade1cc81f5f90"/>
    <w:p>
      <w:pPr>
        <w:pStyle w:val="Heading2"/>
      </w:pPr>
      <w:r>
        <w:t xml:space="preserve">3.5 Аффект и символ: эмоциональные стратегии политики признания</w:t>
      </w:r>
    </w:p>
    <w:p>
      <w:pPr>
        <w:pStyle w:val="FirstParagraph"/>
      </w:pPr>
      <w:r>
        <w:t xml:space="preserve">Параллельно с распределением голосов на выставке работает другой, более тонкий слой кураторской работы — аффективный. Он включает выбор цвета, символики, типографики, фрагментов, на которых задерживается внимание. В терминологии Эрлл это уровень того, как «прошлое обретает определённое качество и определённый смысл в настоящем» (Erll, 2008, p. 14): не что именно происходит на изображении, а с какой эмоциональной интонацией оно туда помещено.</w:t>
      </w:r>
    </w:p>
    <w:p>
      <w:pPr>
        <w:pStyle w:val="BodyText"/>
      </w:pPr>
      <w:r>
        <w:t xml:space="preserve">Самый системный аффективный приём — это работа с цветом. Выставка построена преимущественно на чёрно-белом архивном материале. На этом фоне выделяются три цветовых акцента, каждый из которых выполняет свою функцию. Первый — красный, который накладывается на чёрно-белые гравюры в блоке «Резня армян в Османской империи 1894–1896 гг.». Протокол наблюдения фиксирует это так: «красная заливка поверх гравюр — сильнейший визуальный доминант. Красный буквально «окрашивает» чёрно-белую историю в цвет крови». Здесь хорошо видно различение Кресса и ван Лёвена между низкой и высокой модальностью (Kress &amp; van Leeuwen, 2006, p. 153): гравюра XIX века обладает средней модальностью, она «иллюстрация», а не «доказательство»; красная заливка добавляет к ней третий семиотический слой, который не уточняет фактологию, а маркирует аффект. Это не документация, это интерпретирующий жест: куратор не просто показывает гравюру, он окрашивает её, заранее задавая отношение зрителя.</w:t>
      </w:r>
    </w:p>
    <w:p>
      <w:pPr>
        <w:pStyle w:val="BodyText"/>
      </w:pPr>
      <w:r>
        <w:t xml:space="preserve">Второй цветовой акцент — красный в типографике дат и заголовков. На большинстве экранов крупные годовые маркеры — «1877–1878», «1894–1896», «1914–1916», «1915», «1897», «1912/2008» — даны красным цветом, обычно в максимально крупном кегле. Хронология в этом смысле — не нейтральная навигационная сетка, а аффективная разметка, подчёркивающая каждое узловое событие. Это пример того, что Эрлл называет «мнемоническими символами»: дата сама по себе не отсылает к содержанию, она маркирует факт существования воспоминания об этом содержании (Rigney, 2004, p. 387).</w:t>
      </w:r>
    </w:p>
    <w:p>
      <w:pPr>
        <w:pStyle w:val="BodyText"/>
      </w:pPr>
      <w:r>
        <w:t xml:space="preserve">Третий цветовой акцент работает иначе и относится к самому концу маршрута. Большая цветная фотография Путина у мемориала Цицернакаберд в Ереване — это единственное цветное изображение крупного формата во всей экспозиции. В МДА-протоколе зафиксировано: «контраст с чёрно-белым архивом — максимальная салентность современного признания». Куратор в интервью объясняет это решение как сознательное: «фото Владимира Путина было использовано на слайде о признании геноцида армян Россией». Аналитически здесь работает не сам факт цвета, а его помещение в финал. Чёрно-белое — это «прошлое», цветное — «настоящее». Переход от чёрно-белой документации к цветной фотографии главы государства у мемориала визуально завершает нарративную дугу: история закрыта не катастрофой, а её актуальным политическим признанием. Это в чистом виде то, что Содаро описывает как четвёртую, незаявленную функцию мемориального музея — «легитимация текущего политического режима» (Sodaro, 2018, p. 180). Цветное фото первого лица в финале — это не только мемориальный жест, это и политический акт встраивания «России признающей» в нарратив о памяти.</w:t>
      </w:r>
    </w:p>
    <w:p>
      <w:pPr>
        <w:pStyle w:val="BodyText"/>
      </w:pPr>
      <w:r>
        <w:t xml:space="preserve">Второй системный приём — символика. Куратор называет это решением «наших ребят»: «на некоторых слайдах есть незабудка, там, где стремление к жизни, там, где кровь, эта колючая проволока — терновый венец». В протоколе наблюдения зафиксирован отдельный элемент — переходный экран между темами, на котором изображён один из двух символов и название следующего раздела. Эти переходные экраны имеют двойную функцию. Технически они задают ритм (см. § 3.3). Семантически — они работают как «нулевая точка» между нарративными блоками: тёмный фон, изолированный символ, минимум текста. Незабудка — официальный международный символ армянского геноцида (помещён в логотип столетней годовщины 2015 года), терновый венец — символ, апеллирующий к христианскому мученичеству.</w:t>
      </w:r>
    </w:p>
    <w:p>
      <w:pPr>
        <w:pStyle w:val="BodyText"/>
      </w:pPr>
      <w:r>
        <w:t xml:space="preserve">Здесь видно интересное сцепление аффективных и нарративных регистров. Незабудка работает в светской мемориальной традиции и связана с современным актом признания. Терновый венец работает в религиозной традиции и связывает армянский геноцид с христианским страданием. Выбор обоих символов — это не эстетическое решение, а способ адресации к двум разным аудиториям: к тем, кто читает выставку в светском мемориальном ключе, и к тем, кто воспринимает её как историю мученичества. Куратор отмечает, что среди гостей выставки были «делегация из Краснодарского края… ребята из Анапы… мэр Еревана» — иначе говоря, разнородная аудитория. Двойная символика обеспечивает резонанс с разными её сегментами.</w:t>
      </w:r>
    </w:p>
    <w:p>
      <w:pPr>
        <w:pStyle w:val="BodyText"/>
      </w:pPr>
      <w:r>
        <w:t xml:space="preserve">Третий приём — структура «до/после». Тематический блок «Уничтожение культурного наследия западных армян» построен на сопоставлении фотографий армянских церквей и монастырей в двух временных точках: «до» (1912–1915 гг., здания целы) и «после» (1972–2008 гг., руины). Здесь нет ни прямого изображения насилия, ни сцен депортации; зритель видит только разрыв. Аналитически это редкий пример того, как «культурный геноцид» (по определению Лемкина, цитируемого на самом экране) может быть показан без сцен убийства. В терминологии Кресса и ван Лёвена это работает как «нарратив, производимый через монтаж» — разные кадры в композиционной паре производят смысл, которого ни один из них по отдельности не несёт (Kress &amp; van Leeuwen, 2001, p. 105). Это, пожалуй, наиболее «тонкая» аффективная стратегия выставки: разрушение здесь предъявлено не как событие, а как остановленный во времени результат, и эффект достигается за счёт зрительского усилия по реконструкции «промежутка».</w:t>
      </w:r>
    </w:p>
    <w:p>
      <w:pPr>
        <w:pStyle w:val="BodyText"/>
      </w:pPr>
      <w:r>
        <w:t xml:space="preserve">Наконец, особый аффективный приём — фокусировка на детях. Из общего архивного массива куратор и команда выбирают определённые типы кадров: групповые портреты детей-сирот в блоке «Братская помощь» (1897 г.), фотографии детей в концентрационных поселениях Рас-ул-Айна и Дейр-эз-Зор (Вегнер, 1915 г.), детские портреты беженцев у Арарата (1915 г.). Протокол наблюдения отмечает, что в нескольких из этих кадров встречается прямой взгляд ребёнка в камеру — то самое «требование» в смысле Кресса и ван Лёвена. Это сознательный выбор: куратор упоминает в интервью, что «ограничения были лишь в некоторых кадрах, где были изображены слишком зверские убийства армян, так как выставка предполагает посещение не только взрослых, но и детей/подростков». Иначе говоря, прямой кадр насилия выведен из экспозиции, а его место заняли кадры с детьми-жертвами — формат, который удерживает максимально возможную аффективную нагрузку при сохранении этической приемлемости.</w:t>
      </w:r>
    </w:p>
    <w:p>
      <w:pPr>
        <w:pStyle w:val="BodyText"/>
      </w:pPr>
      <w:r>
        <w:t xml:space="preserve">Это решение хорошо описывается через концепцию Уильямса об ограниченном «доказательном корпусе» мемориальных музеев: «организованное насилие уничтожает следы своего существования… каждый сохранившийся объект несёт особую доказательную нагрузку» (Williams, 2007, p. 25). Кураторы работают с тем материалом, который сохранился, и одновременно с ограничениями того, что показуемо публике, включая школьников. Выбор детских изображений — это компромисс между этими двумя требованиями, и компромисс этот сам по себе несёт смысл: память о геноциде на выставке предъявлена не через шокирующую визуализацию убийств, а через лица тех, кого не успели защитить.</w:t>
      </w:r>
    </w:p>
    <w:p>
      <w:pPr>
        <w:pStyle w:val="BodyText"/>
      </w:pPr>
      <w:r>
        <w:t xml:space="preserve">В сумме аффективные стратегии работают на ту же задачу, что и нарративная архитектура и распределение голосов: сделать историю геноцида «прочитываемой» в актуальной политической рамке. Красный цвет окрашивает прошлое, цветная фотография финала закрывает настоящее, символика связывает светский и религиозный регистры, монтаж «до/после» доказывает разрушение без сцены разрушения, лица детей удерживают аффект на грани этической приемлемости. Все эти приёмы вместе и составляют то, что Содаро называет работой мемориального музея на нескольких уровнях одновременно: «сохранение правды о прошлом, мемориальное признание жертв, моральное образование» — и негласно «легитимация текущего политического режима» (Sodaro, 2018, p. 180).</w:t>
      </w:r>
    </w:p>
    <w:bookmarkEnd w:id="24"/>
    <w:bookmarkStart w:id="25" w:name="X3179700c91973d635c11e27c2c246c4014c6768"/>
    <w:p>
      <w:pPr>
        <w:pStyle w:val="Heading2"/>
      </w:pPr>
      <w:r>
        <w:t xml:space="preserve">3.6 Кураторские компромиссы: ограничения площадки и пределы посетительского участия</w:t>
      </w:r>
    </w:p>
    <w:p>
      <w:pPr>
        <w:pStyle w:val="FirstParagraph"/>
      </w:pPr>
      <w:r>
        <w:t xml:space="preserve">Любой кураторский проект — это серия компромиссов между замыслом, доступным материалом, технологией и институциональным контекстом. Третий пункт исследовательской рамки — «какие напряжения и трейд-оффы кураторы навигировали» — рассматривается отдельно, потому что компромиссы не сводятся к отдельным решениям, а пронизывают всю экспозицию. На основании сопоставления наблюдения и интервью можно выделить четыре основных напряжения.</w:t>
      </w:r>
    </w:p>
    <w:p>
      <w:pPr>
        <w:pStyle w:val="BodyText"/>
      </w:pPr>
      <w:r>
        <w:t xml:space="preserve">Первое напряжение — между «российским» концептом и плотностью армянского материала. Изначально, как объясняет куратор, выставка задумывалась как рассказ «вокруг участия России», в первую очередь — через сюжет Татьянинского комитета и помощи сиротам. Но «когда мы начали раскрывать тему, мы поняли, что не получается вокруг России… мы старались вокруг участия России, чтобы концептуально не выбиваться из того, что делает исторический парк». В результате — компромисс: «мы поняли, что не получается всё сделать, и мы решили, что хронологически мы расскажем». Этот эпизод аналитически очень ценен. Он показывает, что хронологический принцип, который мы в § 3.1 описывали как структурную опору всей выставки, был принят не как замысел, а как способ выйти из тупика: «российский» концепт не мог удержать всю историю, и хронология стала решением, позволяющим показать всё, оставив при этом «российский» сюжет в центре внимания. Это пример того, что Терри Смит называет «curatorial thinking… deeply embedded in the practice of actually mounting the exhibition» (Smith, 2012, p. 12): концепт сформировался не до работы, а в её процессе.</w:t>
      </w:r>
    </w:p>
    <w:p>
      <w:pPr>
        <w:pStyle w:val="BodyText"/>
      </w:pPr>
      <w:r>
        <w:t xml:space="preserve">Второе напряжение — между авторством кураторов диаспоры и контролем музея «Россия — моя история». В интервью этот сюжет звучит мягко, но отчётливо: «они отсмотрели, они всё равно участвовали в процессе очень активно, не было никаких таких прям тяжёлых проблем, в целом они были очень лояльны и помогали»; и одновременно: «ограничения были лишь в некоторых кадрах, где были изображены слишком зверские убийства армян. Так как выставка предполагает посещение не только взрослых, но и детей/подростков». Здесь работает то, что Алейда Ассман описывает как институциональную работу с памятью: «институции находятся сверху, а содержание памяти — снизу» (A. Assmann, 2011, p. 150). Музей не редактировал концепт, но фильтровал материал. Эта фильтрация — не цензура в жёстком смысле, а характерный для жанра компромисс между документальностью и этикой публичного показа. Уильямс описывает этот компромисс как структурное противоречие мемориального жанра между «reverent commemoration and critical interpretation» (Williams, 2007, p. 8); кадры «слишком зверских убийств» — это та точка, где документальное удостоверение упирается в норму публичного зрелища, и кураторам пришлось искать обход — через детские портреты, через гравюры с красной заливкой, через «до/после» культурного геноцида.</w:t>
      </w:r>
    </w:p>
    <w:p>
      <w:pPr>
        <w:pStyle w:val="BodyText"/>
      </w:pPr>
      <w:r>
        <w:t xml:space="preserve">Третье напряжение — между декларируемой интерактивностью мультимедийного формата и фактически пассивной ролью посетителя. Об этом мы говорили в § 3.2: единственный полностью активный элемент находится во входной зоне, остальные сенсорные столы дублируют LED-экраны. Куратор объясняет это прагматически — «доп.информация была бы уже изрядна», но при этом признаёт: «обсуждалась ли возможность дать посетителю больше активной роли, например, выбрать маршрут? — Скорее нет, потому что политика музея «Россия — моя история» не предполагает подобный формат». Здесь обнажается противоречие, которое описывал Канштайнер: цифровизация мемориального пространства не означает передачи власти над нарративом, «visitors are cast in relatively passive roles» (Kansteiner, в Hoskins, 2018, p. 118). В выставке «Геноциду — нет!» это противоречие имеет конкретное объяснение: интерактивность ограничена политикой площадки и в каком-то смысле — характером темы. Геноцид не предполагает ни выбора маршрута («рассказать иначе»), ни ветвящихся версий («что было бы, если бы…»). Это объясняет, почему даже технологически мощная мультимедийная среда здесь редуцирована до формы, близкой к управляемой презентации.</w:t>
      </w:r>
    </w:p>
    <w:p>
      <w:pPr>
        <w:pStyle w:val="BodyText"/>
      </w:pPr>
      <w:r>
        <w:t xml:space="preserve">Четвёртое напряжение — между политической функцией признания и универсалистским гуманитарным регистром. Куратор формулирует исходный мотив проекта как двойной: «история армянского народа находится под угрозой… репутация армян продолжает подрываться турецко-азербайджанским альянсом» (декларация, цитируемая в § 2.2) и одновременно — «факт геноцида — это неоспоримо» (интервью). Иначе говоря, у выставки есть и узкая политическая адресация (защита армянской позиции в текущем геополитическом конфликте), и универсалистская — представление геноцида как «преступления против человечества» в терминах Лемкина. На уровне экспозиции эти два регистра совмещены, но не до конца: тематический блок «Россия и мир признают и осуждают геноцид армян» работает скорее в политическом регистре (постановление Государственной Думы 1995 г., портрет Путина у мемориала), а блок «Преступление против человечества и цивилизации» — в универсалистском (фотографии Вегнера и Пичмана, цитата Лемкина, юридический регистр). Кураторы не пытаются превратить одно в другое, они оставляют оба слоя рядом, и таким образом разные посетители получают возможность «считывать» выставку с разных позиций.</w:t>
      </w:r>
    </w:p>
    <w:p>
      <w:pPr>
        <w:pStyle w:val="BodyText"/>
      </w:pPr>
      <w:r>
        <w:t xml:space="preserve">К этим четырём напряжениям добавляется ещё одно, скрытое — между авторством и сотрудничеством. Куратор многократно подчёркивает в интервью, что концептуальную помощь оказывал музей-институт геноцида армян в Ереване: «они опытные в этом плане, они нам дали прям концепт, то есть они сказали: «Ребята, давайте расскажем вот об этом, вот об этом, вот об этом»». Одновременно — «они нам просто дали сырой материал, и некоторые главы были на армянском просто… перерабатывали мы его сами, причём перерабатывали его наши ребята, не какие-то специалисты». То есть содержание частично импортировано, а форма полностью разработана локальной командой ДСАМ. Это редкий, но важный случай: канонический ереванский нарратив о геноциде встретился с медийной инфраструктурой российского мультимедийного парка, и кураторы оказались в позиции переводчиков между двумя институциональными логиками. В этом смысле каждое решение, описанное в предыдущих параграфах, — от хронологии до выбора Путина в финале — является не «выбором из равных альтернатив», а решением в условиях, где альтернативы заранее ограничены и материалом, и площадкой, и темой.</w:t>
      </w:r>
    </w:p>
    <w:bookmarkEnd w:id="25"/>
    <w:bookmarkStart w:id="26" w:name="выводы-по-главе"/>
    <w:p>
      <w:pPr>
        <w:pStyle w:val="Heading2"/>
      </w:pPr>
      <w:r>
        <w:t xml:space="preserve">3.7 Выводы по главе</w:t>
      </w:r>
    </w:p>
    <w:p>
      <w:pPr>
        <w:pStyle w:val="FirstParagraph"/>
      </w:pPr>
      <w:r>
        <w:t xml:space="preserve">Анализ выставки «Геноциду — нет!» через сопоставление данных мультимодального наблюдения и интервью с куратором позволяет дать на главный исследовательский вопрос — какие кураторские решения формируют медиатизацию геноцида как политической памяти в мультимедийных выставках — следующий ответ. Кураторская работа складывается из пяти взаимосвязанных пластов, и каждый из них одновременно опирается на конкретные аффордансы мультимедийного формата и преследует определённую политико-мемориальную задачу.</w:t>
      </w:r>
    </w:p>
    <w:p>
      <w:pPr>
        <w:pStyle w:val="BodyText"/>
      </w:pPr>
      <w:r>
        <w:t xml:space="preserve">На уровне нарратива (§ 3.1) ключевым решением является хронологическая ось, на которую нанизаны и сам геноцид, и его контекст, и его признание. Эта ось превращает спорное историческое событие в линейный процесс с завершением и тем самым переводит его из режима продолжающегося конфликта памяти в режим «закрытой» политической истории.</w:t>
      </w:r>
    </w:p>
    <w:p>
      <w:pPr>
        <w:pStyle w:val="BodyText"/>
      </w:pPr>
      <w:r>
        <w:t xml:space="preserve">На уровне медийных форматов (§ 3.2) выбор LED-экрана, сенсорного стола и баннера определяется не свободной комбинацией возможностей, а взаимодействием аффордансов: каждый формат компенсирует ограничения соседнего. Дублирование сенсорных столов — не избыточность, а следствие самой логики мультимедиа, в которой динамика экрана делает текст нечитаемым и заставляет ставить статичный «двойник». Единственный активный элемент — входной стол с превращением флагов в незабудки — берёт на себя задачу инициирующего ритуала: посетитель собственным жестом совершает первый акт мемориального перевода ещё до встречи с основным материалом.</w:t>
      </w:r>
    </w:p>
    <w:p>
      <w:pPr>
        <w:pStyle w:val="BodyText"/>
      </w:pPr>
      <w:r>
        <w:t xml:space="preserve">На уровне пространства (§ 3.3) кураторская работа разворачивается на инфраструктуре площадки, и линейный маршрут, затемнение, непрерывная музыка, синхронные паузы между разделами совместно производят то, что можно назвать «коллективным режимом восприятия». Этот режим устраняет дистанцию и переводит индивидуальное чтение выставки в форму ритуализованного коллективного движения по предзаданному пути.</w:t>
      </w:r>
    </w:p>
    <w:p>
      <w:pPr>
        <w:pStyle w:val="BodyText"/>
      </w:pPr>
      <w:r>
        <w:t xml:space="preserve">На уровне голосов (§ 3.4) выставка организует четырёхуровневую иерархию: международные авторитеты, российские свидетели-удостоверители, безмолвные армянские жертвы и локальные армянские субъекты действия. Эта иерархия — структурное условие того, чтобы выставка состоялась именно на данной площадке: голос катастрофы получает право быть услышанным через посредничество легитимирующих фигур.</w:t>
      </w:r>
    </w:p>
    <w:p>
      <w:pPr>
        <w:pStyle w:val="BodyText"/>
      </w:pPr>
      <w:r>
        <w:t xml:space="preserve">На уровне аффекта (§ 3.5) ключевыми приёмами оказываются работа с цветом (красная заливка, цветное фото в финале на чёрно-белом фоне), двойная символика (незабудка и терновый венец), монтаж «до/после» и фокусировка на детских изображениях. Все они работают на одну задачу — сделать память о геноциде «прочитываемой» в актуальной политической рамке без скатывания в шокирующую визуализацию насилия.</w:t>
      </w:r>
    </w:p>
    <w:p>
      <w:pPr>
        <w:pStyle w:val="BodyText"/>
      </w:pPr>
      <w:r>
        <w:t xml:space="preserve">Наконец, на уровне компромиссов (§ 3.6) видно, что ни одно из этих решений не является «чисто авторским»: каждое сформировано в условиях ограничений (политика площадки, требования музея, доступный материал, этические нормы, изначальная концепция «вокруг России»). Кураторская работа здесь — это работа переводчика между ереванским архивом, российской мультимедийной инфраструктурой и широкой публичной аудиторией.</w:t>
      </w:r>
    </w:p>
    <w:p>
      <w:pPr>
        <w:pStyle w:val="BodyText"/>
      </w:pPr>
      <w:r>
        <w:t xml:space="preserve">Если возвращаться к аналитической линзе, заявленной в конце главы 1, можно сказать следующее. Медиалогика мультимедийной выставки (в смысле Хьярварда) не нейтральна: она формирует определённый тип посетителя — зрителя, а не читателя; участника коллективного ритма, а не автономного интерпретатора; адресата уже выстроенной версии прошлого, а не критика этой версии. Memory work выставки (в смысле Эрлл и Хоскинса) состоит в том, чтобы перевести из ереванского архива в функциональную политическую память тот набор материалов, который усиливает нарратив российско-армянской солидарности и помещает признание геноцида в позицию финального события. Смыслопроизводство пространства (в смысле Макдональд) реализуется через линейный маршрут, затемнение, музыкальный фон и синхронные паузы, которые совместно делают возможной только одну форму прочтения. Все три уровня работают согласованно, и их согласованность — это и есть результат того, что мы назвали кураторской работой по производству политической памяти.</w:t>
      </w:r>
    </w:p>
    <w:p>
      <w:pPr>
        <w:pStyle w:val="BodyText"/>
      </w:pPr>
      <w:r>
        <w:t xml:space="preserve">В этом смысле выставка «Геноциду — нет!» — не отдельный случай, а пример более общего механизма. Любая мультимедийная мемориальная экспозиция, размещённая на государственной инфраструктурной площадке, неизбежно проходит через сходные напряжения: между импортированным материалом и принимающей институцией, между плотностью документации и логикой динамичного экрана, между интерактивной декларацией и пассивной фактической ролью посетителя, между мемориальным универсализмом и политикой признания «здесь и сейчас». Конкретное решение каждого из этих напряжений и есть то, что делает данную выставку именно этой версией памяти, а не какой-либо другой. Тем самым кейс «Геноциду — нет!» подтверждает теоретическое положение, к которому пришли А. Ассман, Содаро, Уильямс, Силверстоун: мемориальная институция — это не передатчик готового знания, а инструмент производства политически нагруженной версии прошлого, и наблюдать этот процесс продуктивнее всего именно там, где институциональные напряжения наиболее интенсивны.</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2026-05-15T12:28:47Z</dcterms:created>
  <dcterms:modified xsi:type="dcterms:W3CDTF">2026-05-15T12:28:47Z</dcterms:modified>
</cp:coreProperties>
</file>

<file path=docProps/custom.xml><?xml version="1.0" encoding="utf-8"?>
<Properties xmlns="http://schemas.openxmlformats.org/officeDocument/2006/custom-properties" xmlns:vt="http://schemas.openxmlformats.org/officeDocument/2006/docPropsVTypes"/>
</file>