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conclusion"/>
    <w:p>
      <w:pPr>
        <w:pStyle w:val="Heading1"/>
      </w:pPr>
      <w:r>
        <w:t xml:space="preserve">CONCLUSION</w:t>
      </w:r>
    </w:p>
    <w:p>
      <w:pPr>
        <w:pStyle w:val="FirstParagraph"/>
      </w:pPr>
      <w:r>
        <w:t xml:space="preserve">This thesis set out to identify and describe the curatorial decisions that shape the mediatization of the genocide of the Armenian people as political memory in the multimedia exhibition</w:t>
      </w:r>
      <w:r>
        <w:t xml:space="preserve"> </w:t>
      </w:r>
      <w:r>
        <w:t xml:space="preserve">“</w:t>
      </w:r>
      <w:r>
        <w:t xml:space="preserve">No to Genocide!</w:t>
      </w:r>
      <w:r>
        <w:t xml:space="preserve">”</w:t>
      </w:r>
      <w:r>
        <w:t xml:space="preserve">. The study was built on a single critical case examined through two complementary data sources — a structured observation organised in accordance with a multimodal discourse analysis protocol and a semi-structured in-depth interview with the curator who had led the project from the formation of the concept to its technical realisation. The theoretical lens combined four bodies of literature — mediatization theory, memory studies, the digital transformation of the museum, and research on curatorship — which were brought together in Chapter 1 and applied to the empirical material in Chapter 3. This concluding chapter summarises the findings of the analysis, formulates the implications for mediatization theory and for exhibition practice, registers the limitations of the study, and outlines possible directions for further research.</w:t>
      </w:r>
    </w:p>
    <w:bookmarkStart w:id="20" w:name="findings"/>
    <w:p>
      <w:pPr>
        <w:pStyle w:val="Heading2"/>
      </w:pPr>
      <w:r>
        <w:t xml:space="preserve">Findings</w:t>
      </w:r>
    </w:p>
    <w:p>
      <w:pPr>
        <w:pStyle w:val="FirstParagraph"/>
      </w:pPr>
      <w:r>
        <w:t xml:space="preserve">The central finding of the research is that the curatorial work behind</w:t>
      </w:r>
      <w:r>
        <w:t xml:space="preserve"> </w:t>
      </w:r>
      <w:r>
        <w:t xml:space="preserve">“</w:t>
      </w:r>
      <w:r>
        <w:t xml:space="preserve">No to Genocide!</w:t>
      </w:r>
      <w:r>
        <w:t xml:space="preserve">”</w:t>
      </w:r>
      <w:r>
        <w:t xml:space="preserve"> </w:t>
      </w:r>
      <w:r>
        <w:t xml:space="preserve">produces political memory through five interconnected layers of decisions, each of which simultaneously responds to a media-logical constraint and pursues a political-mnemonic task.</w:t>
      </w:r>
    </w:p>
    <w:p>
      <w:pPr>
        <w:pStyle w:val="BodyText"/>
      </w:pPr>
      <w:r>
        <w:rPr>
          <w:bCs/>
          <w:b/>
        </w:rPr>
        <w:t xml:space="preserve">First, the narrative layer.</w:t>
      </w:r>
      <w:r>
        <w:t xml:space="preserve"> </w:t>
      </w:r>
      <w:r>
        <w:t xml:space="preserve">The exhibition does not present the genocide as a self-contained event. The eleven thematic LED screens are organised along a strict chronological axis that runs from the Russo-Turkish War of 1877–1878 through the massacres of 1894–1896, the events of 1915 and the deportations, and ends with the contemporary recognition of the genocide by the Russian state and the Russian Orthodox Church. The destination point of the route is not the catastrophe itself but its juridical and moral closure through recognition. This narrative architecture, supported by the curator’s own account that the</w:t>
      </w:r>
      <w:r>
        <w:t xml:space="preserve"> </w:t>
      </w:r>
      <w:r>
        <w:t xml:space="preserve">“</w:t>
      </w:r>
      <w:r>
        <w:t xml:space="preserve">Russian–Armenian</w:t>
      </w:r>
      <w:r>
        <w:t xml:space="preserve">”</w:t>
      </w:r>
      <w:r>
        <w:t xml:space="preserve"> </w:t>
      </w:r>
      <w:r>
        <w:t xml:space="preserve">plot was the original concept of the project, performs the work that Aleida Assmann describes as the institutional stabilisation of political memory: a potentially contested historiographic event is converted into a singular, linear and morally closed story.</w:t>
      </w:r>
    </w:p>
    <w:p>
      <w:pPr>
        <w:pStyle w:val="BodyText"/>
      </w:pPr>
      <w:r>
        <w:rPr>
          <w:bCs/>
          <w:b/>
        </w:rPr>
        <w:t xml:space="preserve">Second, the media-logical layer.</w:t>
      </w:r>
      <w:r>
        <w:t xml:space="preserve"> </w:t>
      </w:r>
      <w:r>
        <w:t xml:space="preserve">Three formats carry the entire exposition — the LED screen, the Kinect-controlled sensor table, and the textile banner with spotlight illumination — and each of them was chosen not as a free design decision but as a compromise between curatorial intent and the technological infrastructure of the host platform</w:t>
      </w:r>
      <w:r>
        <w:t xml:space="preserve"> </w:t>
      </w:r>
      <w:r>
        <w:t xml:space="preserve">“</w:t>
      </w:r>
      <w:r>
        <w:t xml:space="preserve">Russia — My History</w:t>
      </w:r>
      <w:r>
        <w:t xml:space="preserve">”</w:t>
      </w:r>
      <w:r>
        <w:t xml:space="preserve">. The LED screen makes possible the density of material that a witness-based memorial would otherwise require hundreds of square metres to display, but at the cost of converting the visitor from a reader into a viewer. The sensor tables predominantly duplicate the LED screens, restoring the affordance of sustained reading that the dynamic screen had removed. The banners inherit a pre-existing infrastructural slot and therefore push the curators towards a specific rhetoric of authority. The only element that escapes this logic of compromise is the entrance sensor table, which transforms the flags of Russia and Armenia into a field of forget-me-nots in response to the visitor’s gesture: it is the single point in the entire route where politics is converted into memory by the visitor’s own body.</w:t>
      </w:r>
    </w:p>
    <w:p>
      <w:pPr>
        <w:pStyle w:val="BodyText"/>
      </w:pPr>
      <w:r>
        <w:rPr>
          <w:bCs/>
          <w:b/>
        </w:rPr>
        <w:t xml:space="preserve">Third, the spatial layer.</w:t>
      </w:r>
      <w:r>
        <w:t xml:space="preserve"> </w:t>
      </w:r>
      <w:r>
        <w:t xml:space="preserve">The linear route, the full darkening of the halls, the looped Armenian melody, and the synchronous transitions across all eleven LED screens together constitute a regime of programming that situates the visitor in the position described by Tony Bennett as the</w:t>
      </w:r>
      <w:r>
        <w:t xml:space="preserve"> </w:t>
      </w:r>
      <w:r>
        <w:t xml:space="preserve">“</w:t>
      </w:r>
      <w:r>
        <w:t xml:space="preserve">exhibitionary complex</w:t>
      </w:r>
      <w:r>
        <w:t xml:space="preserve">”</w:t>
      </w:r>
      <w:r>
        <w:t xml:space="preserve"> </w:t>
      </w:r>
      <w:r>
        <w:t xml:space="preserve">— voluntary complicity with a pre-established order. The synchronised transitions, which the digital infrastructure makes technically possible, are the strongest analytical finding of the study: they convert individual reading into a collective ritual and impose a single affective state on all those present in the hall at the same moment. This is exactly the form of media logic that Hjarvard predicts at the level of theory and that the empirical material exhibits in the form of a concrete daily practice.</w:t>
      </w:r>
    </w:p>
    <w:p>
      <w:pPr>
        <w:pStyle w:val="BodyText"/>
      </w:pPr>
      <w:r>
        <w:rPr>
          <w:bCs/>
          <w:b/>
        </w:rPr>
        <w:t xml:space="preserve">Fourth, the layer of voice and visibility.</w:t>
      </w:r>
      <w:r>
        <w:t xml:space="preserve"> </w:t>
      </w:r>
      <w:r>
        <w:t xml:space="preserve">The exhibition organises a four-level hierarchy of speakers. International authoritative voices (the Pope, Putin, the Catholicos, Nansen, Anatole France) on the banners legitimate the very possibility of speaking about the genocide. Russian witnesses inside the thematic screens (Tolstoy, Bryusov, Gorodetsky, Kulebyakin, rank-and-file Russian soldiers) certify the events. The victims themselves are present almost exclusively as photographed bodies in long or medium shot, without direct gaze and without individualisation. Armenian subjecthood is restored locally — in the block on the self-defence of Van and in the segment on the Nakhichevan committee — but the certifying voice as a structural function is delegated to mediators. This finding directly operationalises Silverstone’s question about the mediapolis: the victim of the Armenian genocide is granted high visual presence on the exhibition but obtains it as an image, not as a voice; the voice is provided by the figures who, for the host institutional frame, are legitimating.</w:t>
      </w:r>
    </w:p>
    <w:p>
      <w:pPr>
        <w:pStyle w:val="BodyText"/>
      </w:pPr>
      <w:r>
        <w:rPr>
          <w:bCs/>
          <w:b/>
        </w:rPr>
        <w:t xml:space="preserve">Fifth, the affective and symbolic layer.</w:t>
      </w:r>
      <w:r>
        <w:t xml:space="preserve"> </w:t>
      </w:r>
      <w:r>
        <w:t xml:space="preserve">Three colour accents — red overlays on engravings of massacres, red typography of the dates, and the single colour photograph of Putin at the Tsitsernakaberd memorial in the finale — together carry an interpretive load that is not factual but affective. The double symbolism of the forget-me-not (secular, international, anchored in the 2015 centennial) and the thorn crown (religious, anchored in Christian martyrdom) makes the exhibition legible to two distinct audiences simultaneously. The</w:t>
      </w:r>
      <w:r>
        <w:t xml:space="preserve"> </w:t>
      </w:r>
      <w:r>
        <w:t xml:space="preserve">“</w:t>
      </w:r>
      <w:r>
        <w:t xml:space="preserve">before/after</w:t>
      </w:r>
      <w:r>
        <w:t xml:space="preserve">”</w:t>
      </w:r>
      <w:r>
        <w:t xml:space="preserve"> </w:t>
      </w:r>
      <w:r>
        <w:t xml:space="preserve">structure of the block on the destruction of cultural heritage demonstrates that cultural genocide can be shown without the scene of killing — the effect is produced by the viewer’s own reconstruction of the interval between the two photographs. The focus on children mediates between the documentary duty of the memorial museum and the ethics of public display in a venue that admits schoolchildren. In Amy Sodaro’s vocabulary, all these techniques together perform the four functions of the memorial museum — preservation of the truth about the past, recognition of victims, moral education, and the tacit legitimation of the current political regime — and the analysis identifies the concrete mechanisms through which the fourth function operates in this case.</w:t>
      </w:r>
    </w:p>
    <w:p>
      <w:pPr>
        <w:pStyle w:val="BodyText"/>
      </w:pPr>
      <w:r>
        <w:t xml:space="preserve">Taken together, these five layers answer the central research question and its case-specific reformulation. The curatorial decisions that shape the mediatization of the genocide as political memory in</w:t>
      </w:r>
      <w:r>
        <w:t xml:space="preserve"> </w:t>
      </w:r>
      <w:r>
        <w:t xml:space="preserve">“</w:t>
      </w:r>
      <w:r>
        <w:t xml:space="preserve">No to Genocide!</w:t>
      </w:r>
      <w:r>
        <w:t xml:space="preserve">”</w:t>
      </w:r>
      <w:r>
        <w:t xml:space="preserve"> </w:t>
      </w:r>
      <w:r>
        <w:t xml:space="preserve">are: the imposition of a chronological structure with recognition as its destination; the selection of multimedia formats whose affordances are accepted, compensated for, or repurposed for performative initiation; the design of a darkened, looped and synchronised space that programmes a collective rhythm of perception; the construction of a four-level hierarchy of voices that grants the genocide a place in normative public memory through external certifying authorities; and the deployment of affective techniques — colour, double symbolism,</w:t>
      </w:r>
      <w:r>
        <w:t xml:space="preserve"> </w:t>
      </w:r>
      <w:r>
        <w:t xml:space="preserve">“</w:t>
      </w:r>
      <w:r>
        <w:t xml:space="preserve">before/after</w:t>
      </w:r>
      <w:r>
        <w:t xml:space="preserve">”</w:t>
      </w:r>
      <w:r>
        <w:t xml:space="preserve"> </w:t>
      </w:r>
      <w:r>
        <w:t xml:space="preserve">montage, child portraits — that hold the genocide readable within an actual political frame of recognition without requiring the viewer to take a critical position towards it. These decisions are not independent. Each of them simultaneously responds to the media logic of the platform, translates archival material from storage memory into functional memory, projects a position for the visitor, and decides whom to grant visibility. The empirical chapter showed that none of these decisions could have produced the same memory effect on its own; their political work is generated by their coherence.</w:t>
      </w:r>
    </w:p>
    <w:bookmarkEnd w:id="20"/>
    <w:bookmarkStart w:id="21" w:name="implications-for-mediatization-theory"/>
    <w:p>
      <w:pPr>
        <w:pStyle w:val="Heading2"/>
      </w:pPr>
      <w:r>
        <w:t xml:space="preserve">Implications for mediatization theory</w:t>
      </w:r>
    </w:p>
    <w:p>
      <w:pPr>
        <w:pStyle w:val="FirstParagraph"/>
      </w:pPr>
      <w:r>
        <w:t xml:space="preserve">The findings of the study refine three claims of mediatization theory in ways that are relevant beyond the immediate case.</w:t>
      </w:r>
    </w:p>
    <w:p>
      <w:pPr>
        <w:pStyle w:val="BodyText"/>
      </w:pPr>
      <w:r>
        <w:t xml:space="preserve">First, the analysis confirms Stig Hjarvard’s distinction between direct and indirect mediatization and demonstrates that the two forms operate not as alternatives but as layers. In</w:t>
      </w:r>
      <w:r>
        <w:t xml:space="preserve"> </w:t>
      </w:r>
      <w:r>
        <w:t xml:space="preserve">“</w:t>
      </w:r>
      <w:r>
        <w:t xml:space="preserve">No to Genocide!</w:t>
      </w:r>
      <w:r>
        <w:t xml:space="preserve">”</w:t>
      </w:r>
      <w:r>
        <w:t xml:space="preserve">, direct mediatization is visible at the level of infrastructure (the exhibition does not exist outside the LED-panel system of</w:t>
      </w:r>
      <w:r>
        <w:t xml:space="preserve"> </w:t>
      </w:r>
      <w:r>
        <w:t xml:space="preserve">“</w:t>
      </w:r>
      <w:r>
        <w:t xml:space="preserve">Russia — My History</w:t>
      </w:r>
      <w:r>
        <w:t xml:space="preserve">”</w:t>
      </w:r>
      <w:r>
        <w:t xml:space="preserve">), while indirect mediatization is visible at the level of formatting (short captions, thematic blocks, symbolic transitions). The strongest empirical finding here is that infrastructural mediatization can predetermine narrative decisions that the curators experience as their own — for instance, the introduction of authoritative banners as a response to pre-existing light fixtures in the host hall. The implication for theory is that mediatized institutions should be analysed not only as users of media but as inheritors of previous institutional uses sedimented in the same infrastructure.</w:t>
      </w:r>
    </w:p>
    <w:p>
      <w:pPr>
        <w:pStyle w:val="BodyText"/>
      </w:pPr>
      <w:r>
        <w:t xml:space="preserve">Second, the case sharpens the concept of media logic in the context of mass-scale digital infrastructures. The analysis showed that the synchronisation of LED panels under unified control produces a social form — a shared collective rhythm of perception — that no traditional memorial exhibition could generate. This is exactly the kind of effect that Hjarvard’s media logic predicts at the level of theory, and the present case is one of the rare empirical instances where the social form produced by media logic can be observed in isolation, because the same content carried by an alternative medium would have produced an individualised, not a ritualised, experience. The implication is that media logic, in the context of multimedia memorial exhibitions, produces not only constraints on content but specific forms of collective subjectivity.</w:t>
      </w:r>
    </w:p>
    <w:p>
      <w:pPr>
        <w:pStyle w:val="BodyText"/>
      </w:pPr>
      <w:r>
        <w:t xml:space="preserve">Third, the case provides empirical confirmation for Couldry and Hepp’s claim that deep mediatization makes content and infrastructure inseparable. Almost every analytically interesting curatorial decision identified in Chapter 3 is simultaneously a decision about meaning and a decision about technology: duplication on sensor tables responds to text-readability constraints of LED screens; the entrance sensor table converts a hand gesture into a political act of mnemonic transformation; the only colour photograph of the entire exhibition derives its salience from the digital ability to control the chromatic regime across all screens. The implication is that the analysis of cultural production in deeply mediatized environments is not well served by methods that separate content analysis from technological analysis: a multimodal protocol that records both is methodologically minimal.</w:t>
      </w:r>
    </w:p>
    <w:bookmarkEnd w:id="21"/>
    <w:bookmarkStart w:id="22" w:name="implications-for-exhibition-practice"/>
    <w:p>
      <w:pPr>
        <w:pStyle w:val="Heading2"/>
      </w:pPr>
      <w:r>
        <w:t xml:space="preserve">Implications for exhibition practice</w:t>
      </w:r>
    </w:p>
    <w:p>
      <w:pPr>
        <w:pStyle w:val="FirstParagraph"/>
      </w:pPr>
      <w:r>
        <w:t xml:space="preserve">For curators of memorial multimedia exhibitions — and especially for those who operate under conditions of partial recognition of the historical event in question — the study yields several practical implications.</w:t>
      </w:r>
    </w:p>
    <w:p>
      <w:pPr>
        <w:pStyle w:val="BodyText"/>
      </w:pPr>
      <w:r>
        <w:t xml:space="preserve">First, the platform is not neutral. The case demonstrated that an established multimedia infrastructure carries with it a set of inherited solutions (banners, darkening, music, route, the absence of branching navigation) that the curatorial team will inevitably reproduce, whether or not it formulates them as decisions. The practical implication is that curators entering a federal or chain multimedia venue should treat the existing infrastructure as a co-author and explicitly map which elements of the venue they are accepting, which they are repurposing, and which they are forced to compensate for.</w:t>
      </w:r>
    </w:p>
    <w:p>
      <w:pPr>
        <w:pStyle w:val="BodyText"/>
      </w:pPr>
      <w:r>
        <w:t xml:space="preserve">Second, duplication of content across media is not redundancy but an affordance compensation. The case showed that the apparent inefficiency of sensor tables that repeat the content of LED screens is in fact a response to a structural problem created by the dynamics of the screen itself. Curators who plan multimedia exhibitions should anticipate, rather than retroactively patch, the absence of long-form readability in dynamic visual environments.</w:t>
      </w:r>
    </w:p>
    <w:p>
      <w:pPr>
        <w:pStyle w:val="BodyText"/>
      </w:pPr>
      <w:r>
        <w:t xml:space="preserve">Third, the single point of active interaction is the strongest political moment of the exposition. In the present case the entrance sensor table — the only fully active element — is responsible for the only moment in the entire visit where the visitor produces political meaning through their own body. The implication for practice is that the placement of active interactivity is itself a curatorial statement: locating it at the threshold of the route, as in this case, frames it as an initiation; locating it in the middle would frame it as a turning point; locating it at the end would frame it as a call to action. Each of these placements would yield a different political effect.</w:t>
      </w:r>
    </w:p>
    <w:p>
      <w:pPr>
        <w:pStyle w:val="BodyText"/>
      </w:pPr>
      <w:r>
        <w:t xml:space="preserve">Fourth, the distribution of voices structures the public legitimacy of the resulting memory more strongly than any explicit statement. The case showed that the right of the victim to be heard is, in a deeply mediatized environment, mediated by who is allowed to certify the testimony. Curators of memorial exhibitions about events under partial recognition should treat the layer of certifying authorities as a central design problem, not as a decorative supplement.</w:t>
      </w:r>
    </w:p>
    <w:p>
      <w:pPr>
        <w:pStyle w:val="BodyText"/>
      </w:pPr>
      <w:r>
        <w:t xml:space="preserve">Fifth, the relationship between the topic and the platform should be reconstructed reflexively. The case of a diaspora-initiated exhibition hosted by a federal historical park is not unusual; it represents a class of memorial projects in which the host platform supplies infrastructure and audience while the diaspora organisation supplies content and motivation. The reflexive question for curators in this configuration is not whether the platform shapes the message — it always does — but at which points the curatorial team has consciously aligned with the platform and at which points it has navigated around its conventions.</w:t>
      </w:r>
    </w:p>
    <w:bookmarkEnd w:id="22"/>
    <w:bookmarkStart w:id="23" w:name="limitations"/>
    <w:p>
      <w:pPr>
        <w:pStyle w:val="Heading2"/>
      </w:pPr>
      <w:r>
        <w:t xml:space="preserve">Limitations</w:t>
      </w:r>
    </w:p>
    <w:p>
      <w:pPr>
        <w:pStyle w:val="FirstParagraph"/>
      </w:pPr>
      <w:r>
        <w:t xml:space="preserve">The study has limitations that should be registered explicitly.</w:t>
      </w:r>
    </w:p>
    <w:p>
      <w:pPr>
        <w:pStyle w:val="BodyText"/>
      </w:pPr>
      <w:r>
        <w:t xml:space="preserve">The first limitation is methodological. The empirical base relies on a single curator interview with the principal organiser of the project on behalf of the Don Union of Armenian Youth. Other members of the team, the Yerevan museum-institute partners, and the staff of</w:t>
      </w:r>
      <w:r>
        <w:t xml:space="preserve"> </w:t>
      </w:r>
      <w:r>
        <w:t xml:space="preserve">“</w:t>
      </w:r>
      <w:r>
        <w:t xml:space="preserve">Russia — My History</w:t>
      </w:r>
      <w:r>
        <w:t xml:space="preserve">”</w:t>
      </w:r>
      <w:r>
        <w:t xml:space="preserve"> </w:t>
      </w:r>
      <w:r>
        <w:t xml:space="preserve">were not available for interview. This means that the analysis reconstructs the curatorial logic from one informed perspective, supplemented by structured observation; it does not arbitrate between competing accounts of how decisions were made. Subsequent research that secures access to multiple participants — including representatives of the host platform — would be in a position to test the robustness of the reconstruction offered here.</w:t>
      </w:r>
    </w:p>
    <w:p>
      <w:pPr>
        <w:pStyle w:val="BodyText"/>
      </w:pPr>
      <w:r>
        <w:t xml:space="preserve">The second limitation is geographic and temporal. The structured observation was conducted at one of the runs of the exhibition in Rostov-on-Don. The exposition was scaled to Saint Petersburg, Nizhny Novgorod, and Yekaterinburg between 2021 and 2024; the analysis assumes that the principal curatorial decisions transfer across these venues, but small adjustments to spatial organisation, sound and light at each venue have not been systematically compared. A multi-site observation protocol would be needed to evaluate the stability of the curatorial logic under venue-specific constraints.</w:t>
      </w:r>
    </w:p>
    <w:p>
      <w:pPr>
        <w:pStyle w:val="BodyText"/>
      </w:pPr>
      <w:r>
        <w:t xml:space="preserve">The third limitation is audience-side. The study analyses the artefacts and arrangements produced by the curators; it does not study how visitors actually perceive, remember, or interpret the exhibition. The methodological commitment of the research — following Jeffrey Olick’s distinction between collected and collective memory — explicitly excludes audience reception from the empirical agenda. This is a justified limitation in a project focused on production rather than reception, but it means that the claims about the political effect of the exhibition are claims about its design, not about its actual cognitive or affective outcomes in visitors.</w:t>
      </w:r>
    </w:p>
    <w:p>
      <w:pPr>
        <w:pStyle w:val="BodyText"/>
      </w:pPr>
      <w:r>
        <w:t xml:space="preserve">The fourth limitation is comparative. The case is treated as a critical case, and the analytical generalisation is directed at theoretical propositions, not at a population of comparable exhibitions. The findings therefore travel to other cases by way of the mechanisms identified rather than by statistical inference. The study did not compare</w:t>
      </w:r>
      <w:r>
        <w:t xml:space="preserve"> </w:t>
      </w:r>
      <w:r>
        <w:t xml:space="preserve">“</w:t>
      </w:r>
      <w:r>
        <w:t xml:space="preserve">No to Genocide!</w:t>
      </w:r>
      <w:r>
        <w:t xml:space="preserve">”</w:t>
      </w:r>
      <w:r>
        <w:t xml:space="preserve"> </w:t>
      </w:r>
      <w:r>
        <w:t xml:space="preserve">with other multimedia memorial exhibitions about contested genocides — for instance, with Holocaust expositions in the same federal network — and such a comparison would clarify which of the identified mechanisms are specific to the Armenian case and which are characteristic of the genre as such.</w:t>
      </w:r>
    </w:p>
    <w:p>
      <w:pPr>
        <w:pStyle w:val="BodyText"/>
      </w:pPr>
      <w:r>
        <w:t xml:space="preserve">The fifth limitation is linguistic and archival. Some of the source material used by the curators was provided by the Armenian Genocide Museum-Institute in Yerevan in Armenian; the present study relied on the Russian-language version curated for the Russian audience. The work of translation between the Yerevan canonical narrative and the version deployed at</w:t>
      </w:r>
      <w:r>
        <w:t xml:space="preserve"> </w:t>
      </w:r>
      <w:r>
        <w:t xml:space="preserve">“</w:t>
      </w:r>
      <w:r>
        <w:t xml:space="preserve">Russia — My History</w:t>
      </w:r>
      <w:r>
        <w:t xml:space="preserve">”</w:t>
      </w:r>
      <w:r>
        <w:t xml:space="preserve"> </w:t>
      </w:r>
      <w:r>
        <w:t xml:space="preserve">was reconstructed through the interview but not directly examined at the level of the source material.</w:t>
      </w:r>
    </w:p>
    <w:bookmarkEnd w:id="23"/>
    <w:bookmarkStart w:id="24" w:name="directions-for-further-research"/>
    <w:p>
      <w:pPr>
        <w:pStyle w:val="Heading2"/>
      </w:pPr>
      <w:r>
        <w:t xml:space="preserve">Directions for further research</w:t>
      </w:r>
    </w:p>
    <w:p>
      <w:pPr>
        <w:pStyle w:val="FirstParagraph"/>
      </w:pPr>
      <w:r>
        <w:t xml:space="preserve">The findings of the study suggest at least five directions in which it can be productively continued.</w:t>
      </w:r>
    </w:p>
    <w:p>
      <w:pPr>
        <w:pStyle w:val="BodyText"/>
      </w:pPr>
      <w:r>
        <w:t xml:space="preserve">First, a comparative multi-site analysis of</w:t>
      </w:r>
      <w:r>
        <w:t xml:space="preserve"> </w:t>
      </w:r>
      <w:r>
        <w:t xml:space="preserve">“</w:t>
      </w:r>
      <w:r>
        <w:t xml:space="preserve">No to Genocide!</w:t>
      </w:r>
      <w:r>
        <w:t xml:space="preserve">”</w:t>
      </w:r>
      <w:r>
        <w:t xml:space="preserve"> </w:t>
      </w:r>
      <w:r>
        <w:t xml:space="preserve">across its four host cities (Rostov-on-Don, Saint Petersburg, Nizhny Novgorod, Yekaterinburg) would clarify the extent to which the curatorial logic identified in this study is robust under venue-specific variation, and would test the hypothesis that the platform</w:t>
      </w:r>
      <w:r>
        <w:t xml:space="preserve"> </w:t>
      </w:r>
      <w:r>
        <w:t xml:space="preserve">“</w:t>
      </w:r>
      <w:r>
        <w:t xml:space="preserve">Russia — My History</w:t>
      </w:r>
      <w:r>
        <w:t xml:space="preserve">”</w:t>
      </w:r>
      <w:r>
        <w:t xml:space="preserve"> </w:t>
      </w:r>
      <w:r>
        <w:t xml:space="preserve">imposes a unified template that overrides local conditions.</w:t>
      </w:r>
    </w:p>
    <w:p>
      <w:pPr>
        <w:pStyle w:val="BodyText"/>
      </w:pPr>
      <w:r>
        <w:t xml:space="preserve">Second, a comparative analysis across genocide memorial exhibitions hosted on different infrastructural platforms — for example, expositions held in independent cultural centres, in state historical parks, or in museum institutions specifically founded as memorials — would isolate the platform effect from the curatorial effect, and would identify which features of the case studied here generalise to the genre of memorial multimedia exposition as such.</w:t>
      </w:r>
    </w:p>
    <w:p>
      <w:pPr>
        <w:pStyle w:val="BodyText"/>
      </w:pPr>
      <w:r>
        <w:t xml:space="preserve">Third, an audience-side study using qualitative interviews with visitors, eye-tracking at the LED screens and the sensor tables, or comparative recall tasks would test whether the curatorial mechanisms identified at the design level produce the predicted effects on visitor perception, memory, and affect. The methodological commitment of the present study made such an analysis impossible; future work could combine production-side and reception-side data within the same case.</w:t>
      </w:r>
    </w:p>
    <w:p>
      <w:pPr>
        <w:pStyle w:val="BodyText"/>
      </w:pPr>
      <w:r>
        <w:t xml:space="preserve">Fourth, a longitudinal study of the curatorial team itself — tracking how its members reflect on, defend, or revise their decisions over the multiple runs of the exhibition between 2021 and 2024 — would clarify the mechanism that Terry Smith calls curatorial thinking and that this study reconstructed at a single point in time.</w:t>
      </w:r>
    </w:p>
    <w:p>
      <w:pPr>
        <w:pStyle w:val="BodyText"/>
      </w:pPr>
      <w:r>
        <w:t xml:space="preserve">Fifth, a transnational comparison between</w:t>
      </w:r>
      <w:r>
        <w:t xml:space="preserve"> </w:t>
      </w:r>
      <w:r>
        <w:t xml:space="preserve">“</w:t>
      </w:r>
      <w:r>
        <w:t xml:space="preserve">No to Genocide!</w:t>
      </w:r>
      <w:r>
        <w:t xml:space="preserve">”</w:t>
      </w:r>
      <w:r>
        <w:t xml:space="preserve"> </w:t>
      </w:r>
      <w:r>
        <w:t xml:space="preserve">and the multimedia projects of the Armenian Genocide Museum-Institute in Yerevan itself, as well as the projects of diaspora organisations in France, the United States, and Argentina, would situate the present case inside the broader memorial economy of the Armenian genocide and would clarify which of the curatorial mechanisms identified here are common to the global mnemonic infrastructure of Armenian memory and which are specific to its Russian-language version.</w:t>
      </w:r>
    </w:p>
    <w:p>
      <w:pPr>
        <w:pStyle w:val="BodyText"/>
      </w:pPr>
      <w:r>
        <w:t xml:space="preserve">These directions are not exhaustive, but each of them takes seriously the central claim of this thesis: that the mediatization of political memory is not produced by the medium alone, nor by the curator alone, but by the consistent coordination of decisions across narrative, format, space, voice, and affect — and that the empirical study of this coordination is now a necessary part of the research agenda of mediatization theory, memory studies, and curatorial research alike.</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2026-05-15T17:15:51Z</dcterms:created>
  <dcterms:modified xsi:type="dcterms:W3CDTF">2026-05-15T17:15:51Z</dcterms:modified>
</cp:coreProperties>
</file>

<file path=docProps/custom.xml><?xml version="1.0" encoding="utf-8"?>
<Properties xmlns="http://schemas.openxmlformats.org/officeDocument/2006/custom-properties" xmlns:vt="http://schemas.openxmlformats.org/officeDocument/2006/docPropsVTypes"/>
</file>