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clusion"/>
    <w:p>
      <w:pPr>
        <w:pStyle w:val="Heading1"/>
      </w:pPr>
      <w:r>
        <w:t xml:space="preserve">CONCLUSION</w:t>
      </w:r>
    </w:p>
    <w:p>
      <w:pPr>
        <w:pStyle w:val="FirstParagraph"/>
      </w:pPr>
      <w:r>
        <w:t xml:space="preserve">The subject of this thesis was the mediatization of political memory in multimedia exhibitions, examined through the case of the exhibition</w:t>
      </w:r>
      <w:r>
        <w:t xml:space="preserve"> </w:t>
      </w:r>
      <w:r>
        <w:t xml:space="preserve">“</w:t>
      </w:r>
      <w:r>
        <w:t xml:space="preserve">No to Genocide!</w:t>
      </w:r>
      <w:r>
        <w:t xml:space="preserve">”</w:t>
      </w:r>
      <w:r>
        <w:t xml:space="preserve">.</w:t>
      </w:r>
    </w:p>
    <w:p>
      <w:pPr>
        <w:pStyle w:val="BodyText"/>
      </w:pPr>
      <w:r>
        <w:t xml:space="preserve">The</w:t>
      </w:r>
      <w:r>
        <w:t xml:space="preserve"> </w:t>
      </w:r>
      <w:r>
        <w:rPr>
          <w:bCs/>
          <w:b/>
        </w:rPr>
        <w:t xml:space="preserve">object</w:t>
      </w:r>
      <w:r>
        <w:t xml:space="preserve"> </w:t>
      </w:r>
      <w:r>
        <w:t xml:space="preserve">of the research was the multimedia exhibition</w:t>
      </w:r>
      <w:r>
        <w:t xml:space="preserve"> </w:t>
      </w:r>
      <w:r>
        <w:t xml:space="preserve">“</w:t>
      </w:r>
      <w:r>
        <w:t xml:space="preserve">No to Genocide!</w:t>
      </w:r>
      <w:r>
        <w:t xml:space="preserve">”</w:t>
      </w:r>
      <w:r>
        <w:t xml:space="preserve">, and the</w:t>
      </w:r>
      <w:r>
        <w:t xml:space="preserve"> </w:t>
      </w:r>
      <w:r>
        <w:rPr>
          <w:bCs/>
          <w:b/>
        </w:rPr>
        <w:t xml:space="preserve">subject</w:t>
      </w:r>
      <w:r>
        <w:t xml:space="preserve"> </w:t>
      </w:r>
      <w:r>
        <w:t xml:space="preserve">was the curatorial and media-technological decisions through which political memory is produced and transmitted on this exhibition.</w:t>
      </w:r>
    </w:p>
    <w:p>
      <w:pPr>
        <w:pStyle w:val="BodyText"/>
      </w:pPr>
      <w:r>
        <w:t xml:space="preserve">The</w:t>
      </w:r>
      <w:r>
        <w:t xml:space="preserve"> </w:t>
      </w:r>
      <w:r>
        <w:rPr>
          <w:bCs/>
          <w:b/>
        </w:rPr>
        <w:t xml:space="preserve">aim</w:t>
      </w:r>
      <w:r>
        <w:t xml:space="preserve"> </w:t>
      </w:r>
      <w:r>
        <w:t xml:space="preserve">of the research — to identify and describe the curatorial decisions that shape the mediatization of the genocide of the Armenian people as political memory in the exhibition</w:t>
      </w:r>
      <w:r>
        <w:t xml:space="preserve"> </w:t>
      </w:r>
      <w:r>
        <w:t xml:space="preserve">“</w:t>
      </w:r>
      <w:r>
        <w:t xml:space="preserve">No to Genocide!</w:t>
      </w:r>
      <w:r>
        <w:t xml:space="preserve">”</w:t>
      </w:r>
      <w:r>
        <w:t xml:space="preserve"> </w:t>
      </w:r>
      <w:r>
        <w:t xml:space="preserve">— has been achieved.</w:t>
      </w:r>
    </w:p>
    <w:p>
      <w:pPr>
        <w:pStyle w:val="BodyText"/>
      </w:pPr>
      <w:r>
        <w:t xml:space="preserve">The following</w:t>
      </w:r>
      <w:r>
        <w:t xml:space="preserve"> </w:t>
      </w:r>
      <w:r>
        <w:rPr>
          <w:bCs/>
          <w:b/>
        </w:rPr>
        <w:t xml:space="preserve">tasks</w:t>
      </w:r>
      <w:r>
        <w:t xml:space="preserve"> </w:t>
      </w:r>
      <w:r>
        <w:t xml:space="preserve">were solved:</w:t>
      </w:r>
    </w:p>
    <w:p>
      <w:pPr>
        <w:numPr>
          <w:ilvl w:val="0"/>
          <w:numId w:val="1001"/>
        </w:numPr>
        <w:pStyle w:val="Compact"/>
      </w:pPr>
      <w:r>
        <w:t xml:space="preserve">The concept of mediatization was examined as applied to cultural and museum practices (Hjarvard, Hepp, Couldry &amp; Hepp).</w:t>
      </w:r>
    </w:p>
    <w:p>
      <w:pPr>
        <w:numPr>
          <w:ilvl w:val="0"/>
          <w:numId w:val="1001"/>
        </w:numPr>
        <w:pStyle w:val="Compact"/>
      </w:pPr>
      <w:r>
        <w:t xml:space="preserve">The connection between mediatization and the production of political memory was established through the analysis of approaches to cultural memory, memory politics and the digital transformation of the museum (Halbwachs, A. Assmann, Erll, Nora, Judt, Traverso, Hoskins, Silverstone).</w:t>
      </w:r>
    </w:p>
    <w:p>
      <w:pPr>
        <w:numPr>
          <w:ilvl w:val="0"/>
          <w:numId w:val="1001"/>
        </w:numPr>
        <w:pStyle w:val="Compact"/>
      </w:pPr>
      <w:r>
        <w:t xml:space="preserve">The specificity of curating multimedia exhibitions about political memory was described and the principal curatorial strategies of working with the traumatic past were identified (Bennett, Hooper-Greenhill, Macdonald, Manovich, Williams, Sodaro).</w:t>
      </w:r>
    </w:p>
    <w:p>
      <w:pPr>
        <w:numPr>
          <w:ilvl w:val="0"/>
          <w:numId w:val="1001"/>
        </w:numPr>
        <w:pStyle w:val="Compact"/>
      </w:pPr>
      <w:r>
        <w:t xml:space="preserve">An expert interview with the curator of the exhibition was conducted in order to reconstruct the logic of the curatorial decisions.</w:t>
      </w:r>
    </w:p>
    <w:p>
      <w:pPr>
        <w:numPr>
          <w:ilvl w:val="0"/>
          <w:numId w:val="1001"/>
        </w:numPr>
        <w:pStyle w:val="Compact"/>
      </w:pPr>
      <w:r>
        <w:t xml:space="preserve">The data of the structured observation and of the interview were compared and analysed.</w:t>
      </w:r>
    </w:p>
    <w:p>
      <w:pPr>
        <w:numPr>
          <w:ilvl w:val="0"/>
          <w:numId w:val="1001"/>
        </w:numPr>
        <w:pStyle w:val="Compact"/>
      </w:pPr>
      <w:r>
        <w:t xml:space="preserve">A multimodal discourse analysis of the exhibition</w:t>
      </w:r>
      <w:r>
        <w:t xml:space="preserve"> </w:t>
      </w:r>
      <w:r>
        <w:t xml:space="preserve">“</w:t>
      </w:r>
      <w:r>
        <w:t xml:space="preserve">No to Genocide!</w:t>
      </w:r>
      <w:r>
        <w:t xml:space="preserve">”</w:t>
      </w:r>
      <w:r>
        <w:t xml:space="preserve"> </w:t>
      </w:r>
      <w:r>
        <w:t xml:space="preserve">was carried out.</w:t>
      </w:r>
    </w:p>
    <w:p>
      <w:pPr>
        <w:pStyle w:val="FirstParagraph"/>
      </w:pPr>
      <w:r>
        <w:t xml:space="preserve">In the course of the research, an answer was obtained to the research question:</w:t>
      </w:r>
      <w:r>
        <w:t xml:space="preserve"> </w:t>
      </w:r>
      <w:r>
        <w:rPr>
          <w:iCs/>
          <w:i/>
        </w:rPr>
        <w:t xml:space="preserve">what curatorial decisions shape the mediatization of the genocide as political memory in the exhibition</w:t>
      </w:r>
      <w:r>
        <w:rPr>
          <w:iCs/>
          <w:i/>
        </w:rPr>
        <w:t xml:space="preserve"> </w:t>
      </w:r>
      <w:r>
        <w:rPr>
          <w:iCs/>
          <w:i/>
        </w:rPr>
        <w:t xml:space="preserve">“</w:t>
      </w:r>
      <w:r>
        <w:rPr>
          <w:iCs/>
          <w:i/>
        </w:rPr>
        <w:t xml:space="preserve">No to Genocide!</w:t>
      </w:r>
      <w:r>
        <w:rPr>
          <w:iCs/>
          <w:i/>
        </w:rPr>
        <w:t xml:space="preserve">”</w:t>
      </w:r>
      <w:r>
        <w:rPr>
          <w:iCs/>
          <w:i/>
        </w:rPr>
        <w:t xml:space="preserve">?</w:t>
      </w:r>
    </w:p>
    <w:p>
      <w:pPr>
        <w:pStyle w:val="BodyText"/>
      </w:pPr>
      <w:r>
        <w:t xml:space="preserve">The mediatization of the genocide as political memory in this exhibition is produced by five interconnected layers of curatorial decisions that operate as a coherent whole. At the</w:t>
      </w:r>
      <w:r>
        <w:t xml:space="preserve"> </w:t>
      </w:r>
      <w:r>
        <w:rPr>
          <w:bCs/>
          <w:b/>
        </w:rPr>
        <w:t xml:space="preserve">narrative</w:t>
      </w:r>
      <w:r>
        <w:t xml:space="preserve"> </w:t>
      </w:r>
      <w:r>
        <w:t xml:space="preserve">level, the genocide is placed inside a strict chronological axis that ends not with the catastrophe itself but with its contemporary state and ecclesiastical recognition, which converts a contested historical event into a closed and morally settled story. At the</w:t>
      </w:r>
      <w:r>
        <w:t xml:space="preserve"> </w:t>
      </w:r>
      <w:r>
        <w:rPr>
          <w:bCs/>
          <w:b/>
        </w:rPr>
        <w:t xml:space="preserve">media-logical</w:t>
      </w:r>
      <w:r>
        <w:t xml:space="preserve"> </w:t>
      </w:r>
      <w:r>
        <w:t xml:space="preserve">level, three formats — LED screens, Kinect sensor tables and textile banners — are deployed not as a free design solution but as a negotiated compromise between curatorial intent and the technological infrastructure of the host platform</w:t>
      </w:r>
      <w:r>
        <w:t xml:space="preserve"> </w:t>
      </w:r>
      <w:r>
        <w:t xml:space="preserve">“</w:t>
      </w:r>
      <w:r>
        <w:t xml:space="preserve">Russia — My History</w:t>
      </w:r>
      <w:r>
        <w:t xml:space="preserve">”</w:t>
      </w:r>
      <w:r>
        <w:t xml:space="preserve">; duplication, doubling and infrastructural inheritance are the principal mechanisms of this compromise. At the</w:t>
      </w:r>
      <w:r>
        <w:t xml:space="preserve"> </w:t>
      </w:r>
      <w:r>
        <w:rPr>
          <w:bCs/>
          <w:b/>
        </w:rPr>
        <w:t xml:space="preserve">spatial</w:t>
      </w:r>
      <w:r>
        <w:t xml:space="preserve"> </w:t>
      </w:r>
      <w:r>
        <w:t xml:space="preserve">level, the linear route, the full darkening, the looped Armenian melody and the synchronous transitions across all LED screens transform individual reading into a collective ritual and remove the visitor’s opportunity to assume a critical position. At the</w:t>
      </w:r>
      <w:r>
        <w:t xml:space="preserve"> </w:t>
      </w:r>
      <w:r>
        <w:rPr>
          <w:bCs/>
          <w:b/>
        </w:rPr>
        <w:t xml:space="preserve">level of voice and visibility</w:t>
      </w:r>
      <w:r>
        <w:t xml:space="preserve">, a four-tier hierarchy of speakers — international authorities, Russian witnesses, silent Armenian victims, and locally active Armenian subjects — distributes the right to speak in such a way that the Armenian catastrophe receives institutional certification through external legitimating voices. At the</w:t>
      </w:r>
      <w:r>
        <w:t xml:space="preserve"> </w:t>
      </w:r>
      <w:r>
        <w:rPr>
          <w:bCs/>
          <w:b/>
        </w:rPr>
        <w:t xml:space="preserve">affective</w:t>
      </w:r>
      <w:r>
        <w:t xml:space="preserve"> </w:t>
      </w:r>
      <w:r>
        <w:t xml:space="preserve">level, three colour accents (red overlays, red typography of dates, the single colour photograph of Putin at the Tsitsernakaberd memorial), the double symbolism of the forget-me-not and the thorn crown, the</w:t>
      </w:r>
      <w:r>
        <w:t xml:space="preserve"> </w:t>
      </w:r>
      <w:r>
        <w:t xml:space="preserve">“</w:t>
      </w:r>
      <w:r>
        <w:t xml:space="preserve">before/after</w:t>
      </w:r>
      <w:r>
        <w:t xml:space="preserve">”</w:t>
      </w:r>
      <w:r>
        <w:t xml:space="preserve"> </w:t>
      </w:r>
      <w:r>
        <w:t xml:space="preserve">structure of the cultural-genocide block, and the focus on children’s portraits keep the genocide affectively legible within an actual political frame of recognition while remaining ethically acceptable for a general audience. These five layers do not act independently: their political effect is generated by their consistent coordination across the entire route.</w:t>
      </w:r>
    </w:p>
    <w:p>
      <w:pPr>
        <w:pStyle w:val="BodyText"/>
      </w:pPr>
      <w:r>
        <w:t xml:space="preserve">The results of the study have implications for</w:t>
      </w:r>
      <w:r>
        <w:t xml:space="preserve"> </w:t>
      </w:r>
      <w:r>
        <w:rPr>
          <w:bCs/>
          <w:b/>
        </w:rPr>
        <w:t xml:space="preserve">mediatization theory</w:t>
      </w:r>
      <w:r>
        <w:t xml:space="preserve"> </w:t>
      </w:r>
      <w:r>
        <w:t xml:space="preserve">— the case demonstrates that direct and indirect mediatization operate as simultaneous layers rather than as alternatives, that media logic in the form of unified digital infrastructure produces specific forms of collective subjectivity that traditional memorial expositions cannot generate, and that in deeply mediatized environments content and technology can no longer be analysed separately. They also have implications for</w:t>
      </w:r>
      <w:r>
        <w:t xml:space="preserve"> </w:t>
      </w:r>
      <w:r>
        <w:rPr>
          <w:bCs/>
          <w:b/>
        </w:rPr>
        <w:t xml:space="preserve">exhibition practice</w:t>
      </w:r>
      <w:r>
        <w:t xml:space="preserve">: the host platform is never neutral and should be treated as a co-author; affordance compensation (such as the duplication of LED content on sensor tables) is a design necessity rather than a redundancy; the placement of the single active interactive element is itself a political statement; and the distribution of certifying voices structures the public legitimacy of memorial narratives more strongly than any declared message.</w:t>
      </w:r>
    </w:p>
    <w:p>
      <w:pPr>
        <w:pStyle w:val="BodyText"/>
      </w:pPr>
      <w:r>
        <w:t xml:space="preserve">The methodology of the research has certain</w:t>
      </w:r>
      <w:r>
        <w:t xml:space="preserve"> </w:t>
      </w:r>
      <w:r>
        <w:rPr>
          <w:bCs/>
          <w:b/>
        </w:rPr>
        <w:t xml:space="preserve">limitations</w:t>
      </w:r>
      <w:r>
        <w:t xml:space="preserve"> </w:t>
      </w:r>
      <w:r>
        <w:t xml:space="preserve">that should be considered when interpreting its results. The empirical base relies on a single in-depth interview with the principal curator from the Don Union of Armenian Youth, and access to other participants (the Yerevan museum-institute partners and the staff of</w:t>
      </w:r>
      <w:r>
        <w:t xml:space="preserve"> </w:t>
      </w:r>
      <w:r>
        <w:t xml:space="preserve">“</w:t>
      </w:r>
      <w:r>
        <w:t xml:space="preserve">Russia — My History</w:t>
      </w:r>
      <w:r>
        <w:t xml:space="preserve">”</w:t>
      </w:r>
      <w:r>
        <w:t xml:space="preserve">) was not available. The structured observation was conducted at one of the runs of the exhibition in Rostov-on-Don, without systematic multi-site comparison across the other host cities (St. Petersburg, Nizhny Novgorod, Yekaterinburg). The study analyses curatorial production and does not examine audience reception; the political effect of the exhibition is therefore claimed at the level of design, not at the level of actual visitor experience. Finally, the analysis is single-case, and analytical generalisation operates through the identified mechanisms rather than through statistical inference.</w:t>
      </w:r>
    </w:p>
    <w:p>
      <w:pPr>
        <w:pStyle w:val="BodyText"/>
      </w:pPr>
      <w:r>
        <w:t xml:space="preserve">Accordingly,</w:t>
      </w:r>
      <w:r>
        <w:t xml:space="preserve"> </w:t>
      </w:r>
      <w:r>
        <w:rPr>
          <w:bCs/>
          <w:b/>
        </w:rPr>
        <w:t xml:space="preserve">further research</w:t>
      </w:r>
      <w:r>
        <w:t xml:space="preserve"> </w:t>
      </w:r>
      <w:r>
        <w:t xml:space="preserve">may be directed at a multi-site comparative analysis of</w:t>
      </w:r>
      <w:r>
        <w:t xml:space="preserve"> </w:t>
      </w:r>
      <w:r>
        <w:t xml:space="preserve">“</w:t>
      </w:r>
      <w:r>
        <w:t xml:space="preserve">No to Genocide!</w:t>
      </w:r>
      <w:r>
        <w:t xml:space="preserve">”</w:t>
      </w:r>
      <w:r>
        <w:t xml:space="preserve"> </w:t>
      </w:r>
      <w:r>
        <w:t xml:space="preserve">across its four host cities; a cross-platform comparison of multimedia memorial exhibitions about contested genocides hosted on different institutional infrastructures; an audience-side investigation that tests through interviews, eye-tracking and recall whether the curatorial mechanisms identified at the design level produce the predicted effects on visitor perception; and a transnational comparison between this exhibition and the multimedia projects of the Armenian Genocide Museum-Institute in Yerevan and of diaspora organisations in France, the United States and Argentina. Such studies would clarify which of the curatorial mechanisms identified in this work are common to the global mnemonic infrastructure of Armenian memory and which are specific to its Russian-language version, and would extend the analytical framework proposed here to a broader class of cases.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2026-05-15T17:24:05Z</dcterms:created>
  <dcterms:modified xsi:type="dcterms:W3CDTF">2026-05-15T17:24:05Z</dcterms:modified>
</cp:coreProperties>
</file>

<file path=docProps/custom.xml><?xml version="1.0" encoding="utf-8"?>
<Properties xmlns="http://schemas.openxmlformats.org/officeDocument/2006/custom-properties" xmlns:vt="http://schemas.openxmlformats.org/officeDocument/2006/docPropsVTypes"/>
</file>