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71D4" w14:textId="55850216" w:rsidR="004D1B63" w:rsidRPr="004D1B63" w:rsidRDefault="004D1B63" w:rsidP="004D1B63">
      <w:pPr>
        <w:pStyle w:val="NoSpacing"/>
        <w:rPr>
          <w:b/>
          <w:bCs/>
          <w:sz w:val="40"/>
          <w:szCs w:val="40"/>
        </w:rPr>
      </w:pPr>
      <w:r w:rsidRPr="004D1B63">
        <w:rPr>
          <w:b/>
          <w:bCs/>
          <w:sz w:val="40"/>
          <w:szCs w:val="40"/>
        </w:rPr>
        <w:t>Netflix Content Strategy: A Data-Driven Deep Dive</w:t>
      </w:r>
    </w:p>
    <w:p w14:paraId="53E3A26A" w14:textId="77777777" w:rsidR="004D1B63" w:rsidRDefault="004D1B63" w:rsidP="004D1B63">
      <w:pPr>
        <w:pStyle w:val="NoSpacing"/>
      </w:pPr>
      <w:r>
        <w:t xml:space="preserve">An exploratory analysis of Netflix’s global content library using Power BI. This report examines content ratings, duration trends, TV show longevity, and regional production patterns to uncover strategic insights behind Netflix’s dominance in streaming. </w:t>
      </w:r>
    </w:p>
    <w:p w14:paraId="5EDA9286" w14:textId="77777777" w:rsidR="004D1B63" w:rsidRDefault="004D1B63" w:rsidP="004D1B63">
      <w:pPr>
        <w:pStyle w:val="NoSpacing"/>
      </w:pPr>
    </w:p>
    <w:p w14:paraId="02340C9B" w14:textId="2D2B6C23" w:rsidR="004D1B63" w:rsidRPr="004D1B63" w:rsidRDefault="004D1B63" w:rsidP="004D1B63">
      <w:pPr>
        <w:pStyle w:val="NoSpacing"/>
        <w:rPr>
          <w:b/>
          <w:bCs/>
          <w:sz w:val="28"/>
          <w:szCs w:val="28"/>
        </w:rPr>
      </w:pPr>
      <w:commentRangeStart w:id="0"/>
      <w:r w:rsidRPr="004D1B63">
        <w:rPr>
          <w:b/>
          <w:bCs/>
          <w:sz w:val="28"/>
          <w:szCs w:val="28"/>
        </w:rPr>
        <w:t>Overview</w:t>
      </w:r>
      <w:commentRangeEnd w:id="0"/>
      <w:r>
        <w:rPr>
          <w:rStyle w:val="CommentReference"/>
        </w:rPr>
        <w:commentReference w:id="0"/>
      </w:r>
    </w:p>
    <w:p w14:paraId="21D43555" w14:textId="77777777" w:rsidR="004D1B63" w:rsidRDefault="004D1B63" w:rsidP="004D1B63">
      <w:pPr>
        <w:pStyle w:val="NoSpacing"/>
      </w:pPr>
      <w:r>
        <w:t>Using the Netflix Movies &amp; TV Shows dataset from Kaggle, I built an interactive dashboard in Power BI to explore how Netflix curates its vast catalog (128K+ titles). The analysis focuses on audience targeting, content strategy, and regional localization through visual storytelling and data-driven insights.</w:t>
      </w:r>
    </w:p>
    <w:p w14:paraId="00DC0B8C" w14:textId="36E841FD" w:rsidR="004D1B63" w:rsidRPr="004D1B63" w:rsidRDefault="004D1B63" w:rsidP="004D1B63">
      <w:pPr>
        <w:pStyle w:val="NoSpacing"/>
        <w:rPr>
          <w:b/>
          <w:bCs/>
        </w:rPr>
      </w:pPr>
      <w:r w:rsidRPr="004D1B63">
        <w:rPr>
          <w:b/>
          <w:bCs/>
        </w:rPr>
        <w:t>Key Findings &amp; Insights</w:t>
      </w:r>
    </w:p>
    <w:p w14:paraId="2F68CD73" w14:textId="77777777" w:rsidR="004D1B63" w:rsidRDefault="004D1B63" w:rsidP="004D1B63">
      <w:pPr>
        <w:pStyle w:val="NoSpacing"/>
      </w:pPr>
      <w:r>
        <w:t xml:space="preserve"> </w:t>
      </w:r>
    </w:p>
    <w:p w14:paraId="14B3A578" w14:textId="6EFB8D50" w:rsidR="004D1B63" w:rsidRPr="004D1B63" w:rsidRDefault="004D1B63" w:rsidP="004D1B63">
      <w:pPr>
        <w:pStyle w:val="NoSpacing"/>
        <w:numPr>
          <w:ilvl w:val="0"/>
          <w:numId w:val="2"/>
        </w:numPr>
        <w:rPr>
          <w:b/>
          <w:bCs/>
        </w:rPr>
      </w:pPr>
      <w:r w:rsidRPr="004D1B63">
        <w:rPr>
          <w:b/>
          <w:bCs/>
        </w:rPr>
        <w:t>Mature Content Dominates the Library</w:t>
      </w:r>
    </w:p>
    <w:p w14:paraId="76C6C118" w14:textId="77777777" w:rsidR="004D1B63" w:rsidRDefault="004D1B63" w:rsidP="004D1B63">
      <w:pPr>
        <w:pStyle w:val="NoSpacing"/>
        <w:ind w:left="360"/>
      </w:pPr>
    </w:p>
    <w:tbl>
      <w:tblPr>
        <w:tblStyle w:val="TableGrid"/>
        <w:tblW w:w="0" w:type="auto"/>
        <w:tblLook w:val="04A0" w:firstRow="1" w:lastRow="0" w:firstColumn="1" w:lastColumn="0" w:noHBand="0" w:noVBand="1"/>
      </w:tblPr>
      <w:tblGrid>
        <w:gridCol w:w="4675"/>
        <w:gridCol w:w="4675"/>
      </w:tblGrid>
      <w:tr w:rsidR="004D1B63" w:rsidRPr="004D1B63" w14:paraId="49FCE716" w14:textId="77777777" w:rsidTr="004D1B63">
        <w:tc>
          <w:tcPr>
            <w:tcW w:w="4675" w:type="dxa"/>
          </w:tcPr>
          <w:p w14:paraId="2554DE10" w14:textId="77777777" w:rsidR="004D1B63" w:rsidRPr="004D1B63" w:rsidRDefault="004D1B63" w:rsidP="004D1B63">
            <w:pPr>
              <w:pStyle w:val="NoSpacing"/>
            </w:pPr>
            <w:r w:rsidRPr="004D1B63">
              <w:t>RATING</w:t>
            </w:r>
          </w:p>
        </w:tc>
        <w:tc>
          <w:tcPr>
            <w:tcW w:w="4675" w:type="dxa"/>
          </w:tcPr>
          <w:p w14:paraId="43D7D46B" w14:textId="77777777" w:rsidR="004D1B63" w:rsidRPr="004D1B63" w:rsidRDefault="004D1B63" w:rsidP="004D1B63">
            <w:pPr>
              <w:pStyle w:val="NoSpacing"/>
            </w:pPr>
            <w:r w:rsidRPr="004D1B63">
              <w:t>TITLES</w:t>
            </w:r>
          </w:p>
        </w:tc>
      </w:tr>
      <w:tr w:rsidR="004D1B63" w:rsidRPr="004D1B63" w14:paraId="1CDB7E2C" w14:textId="77777777" w:rsidTr="004D1B63">
        <w:tc>
          <w:tcPr>
            <w:tcW w:w="4675" w:type="dxa"/>
          </w:tcPr>
          <w:p w14:paraId="063A0525" w14:textId="77777777" w:rsidR="004D1B63" w:rsidRPr="004D1B63" w:rsidRDefault="004D1B63" w:rsidP="004D1B63">
            <w:pPr>
              <w:pStyle w:val="NoSpacing"/>
            </w:pPr>
            <w:r w:rsidRPr="004D1B63">
              <w:t>Mature</w:t>
            </w:r>
          </w:p>
        </w:tc>
        <w:tc>
          <w:tcPr>
            <w:tcW w:w="4675" w:type="dxa"/>
          </w:tcPr>
          <w:p w14:paraId="7AE42139" w14:textId="77777777" w:rsidR="004D1B63" w:rsidRPr="004D1B63" w:rsidRDefault="004D1B63" w:rsidP="004D1B63">
            <w:pPr>
              <w:pStyle w:val="NoSpacing"/>
            </w:pPr>
            <w:r w:rsidRPr="004D1B63">
              <w:t>61K</w:t>
            </w:r>
          </w:p>
        </w:tc>
      </w:tr>
      <w:tr w:rsidR="004D1B63" w:rsidRPr="004D1B63" w14:paraId="1B359AAF" w14:textId="77777777" w:rsidTr="004D1B63">
        <w:tc>
          <w:tcPr>
            <w:tcW w:w="4675" w:type="dxa"/>
          </w:tcPr>
          <w:p w14:paraId="2B841835" w14:textId="77777777" w:rsidR="004D1B63" w:rsidRPr="004D1B63" w:rsidRDefault="004D1B63" w:rsidP="004D1B63">
            <w:pPr>
              <w:pStyle w:val="NoSpacing"/>
            </w:pPr>
            <w:r w:rsidRPr="004D1B63">
              <w:t>Teens+</w:t>
            </w:r>
          </w:p>
        </w:tc>
        <w:tc>
          <w:tcPr>
            <w:tcW w:w="4675" w:type="dxa"/>
          </w:tcPr>
          <w:p w14:paraId="05A161E7" w14:textId="77777777" w:rsidR="004D1B63" w:rsidRPr="004D1B63" w:rsidRDefault="004D1B63" w:rsidP="004D1B63">
            <w:pPr>
              <w:pStyle w:val="NoSpacing"/>
            </w:pPr>
            <w:r w:rsidRPr="004D1B63">
              <w:t>39K</w:t>
            </w:r>
          </w:p>
        </w:tc>
      </w:tr>
      <w:tr w:rsidR="004D1B63" w:rsidRPr="004D1B63" w14:paraId="6B9A4CE6" w14:textId="77777777" w:rsidTr="004D1B63">
        <w:tc>
          <w:tcPr>
            <w:tcW w:w="4675" w:type="dxa"/>
          </w:tcPr>
          <w:p w14:paraId="727BF527" w14:textId="77777777" w:rsidR="004D1B63" w:rsidRPr="004D1B63" w:rsidRDefault="004D1B63" w:rsidP="004D1B63">
            <w:pPr>
              <w:pStyle w:val="NoSpacing"/>
            </w:pPr>
            <w:r w:rsidRPr="004D1B63">
              <w:t>Parental Guidance</w:t>
            </w:r>
          </w:p>
        </w:tc>
        <w:tc>
          <w:tcPr>
            <w:tcW w:w="4675" w:type="dxa"/>
          </w:tcPr>
          <w:p w14:paraId="1878C13F" w14:textId="77777777" w:rsidR="004D1B63" w:rsidRPr="004D1B63" w:rsidRDefault="004D1B63" w:rsidP="004D1B63">
            <w:pPr>
              <w:pStyle w:val="NoSpacing"/>
            </w:pPr>
            <w:r w:rsidRPr="004D1B63">
              <w:t>18K</w:t>
            </w:r>
          </w:p>
        </w:tc>
      </w:tr>
      <w:tr w:rsidR="004D1B63" w:rsidRPr="004D1B63" w14:paraId="2AD069A5" w14:textId="77777777" w:rsidTr="004D1B63">
        <w:tc>
          <w:tcPr>
            <w:tcW w:w="4675" w:type="dxa"/>
          </w:tcPr>
          <w:p w14:paraId="19850A8B" w14:textId="77777777" w:rsidR="004D1B63" w:rsidRPr="004D1B63" w:rsidRDefault="004D1B63" w:rsidP="004D1B63">
            <w:pPr>
              <w:pStyle w:val="NoSpacing"/>
            </w:pPr>
            <w:r w:rsidRPr="004D1B63">
              <w:t>Kids</w:t>
            </w:r>
          </w:p>
        </w:tc>
        <w:tc>
          <w:tcPr>
            <w:tcW w:w="4675" w:type="dxa"/>
          </w:tcPr>
          <w:p w14:paraId="1FF23B0F" w14:textId="77777777" w:rsidR="004D1B63" w:rsidRPr="004D1B63" w:rsidRDefault="004D1B63" w:rsidP="004D1B63">
            <w:pPr>
              <w:pStyle w:val="NoSpacing"/>
            </w:pPr>
            <w:r w:rsidRPr="004D1B63">
              <w:t>3K</w:t>
            </w:r>
          </w:p>
        </w:tc>
      </w:tr>
    </w:tbl>
    <w:p w14:paraId="2D2951BC" w14:textId="77777777" w:rsidR="004D1B63" w:rsidRDefault="004D1B63" w:rsidP="004D1B63">
      <w:pPr>
        <w:pStyle w:val="NoSpacing"/>
      </w:pPr>
    </w:p>
    <w:p w14:paraId="25315E75" w14:textId="16049888" w:rsidR="004D1B63" w:rsidRPr="004D1B63" w:rsidRDefault="004D1B63" w:rsidP="004D1B63">
      <w:pPr>
        <w:pStyle w:val="NoSpacing"/>
        <w:rPr>
          <w:b/>
          <w:bCs/>
        </w:rPr>
      </w:pPr>
      <w:r w:rsidRPr="004D1B63">
        <w:rPr>
          <w:b/>
          <w:bCs/>
        </w:rPr>
        <w:t>Insight:</w:t>
      </w:r>
    </w:p>
    <w:p w14:paraId="72017B14" w14:textId="77777777" w:rsidR="004D1B63" w:rsidRDefault="004D1B63" w:rsidP="004D1B63">
      <w:pPr>
        <w:pStyle w:val="NoSpacing"/>
      </w:pPr>
      <w:r>
        <w:t>Over 70% of Netflix’s content is rated Mature or Teens+, indicating a clear strategic focus on adult audiences.</w:t>
      </w:r>
    </w:p>
    <w:p w14:paraId="7A2DE08C" w14:textId="41A35A2B" w:rsidR="004D1B63" w:rsidRDefault="004D1B63" w:rsidP="004D1B63">
      <w:pPr>
        <w:pStyle w:val="NoSpacing"/>
      </w:pPr>
      <w:r>
        <w:t xml:space="preserve">This aligns with high-engagement original series like </w:t>
      </w:r>
      <w:r>
        <w:t xml:space="preserve"> </w:t>
      </w:r>
      <w:r>
        <w:t xml:space="preserve">Stranger Things and The Crown, which drive long-term subscriptions. </w:t>
      </w:r>
    </w:p>
    <w:p w14:paraId="5B21FAE7" w14:textId="77777777" w:rsidR="004D1B63" w:rsidRPr="004D1B63" w:rsidRDefault="004D1B63" w:rsidP="004D1B63">
      <w:pPr>
        <w:pStyle w:val="NoSpacing"/>
        <w:rPr>
          <w:b/>
          <w:bCs/>
        </w:rPr>
      </w:pPr>
      <w:r w:rsidRPr="004D1B63">
        <w:rPr>
          <w:b/>
          <w:bCs/>
        </w:rPr>
        <w:t xml:space="preserve">  Segmentation </w:t>
      </w:r>
    </w:p>
    <w:p w14:paraId="7B81114C" w14:textId="5E902681" w:rsidR="004D1B63" w:rsidRDefault="004D1B63" w:rsidP="004D1B63">
      <w:pPr>
        <w:pStyle w:val="NoSpacing"/>
      </w:pPr>
      <w:r>
        <w:t xml:space="preserve">Netflix segments its content by audience maturity, prioritizing high-value adult viewers. </w:t>
      </w:r>
    </w:p>
    <w:p w14:paraId="60F83BD2" w14:textId="77777777" w:rsidR="004D1B63" w:rsidRDefault="004D1B63" w:rsidP="004D1B63">
      <w:pPr>
        <w:pStyle w:val="NoSpacing"/>
      </w:pPr>
    </w:p>
    <w:p w14:paraId="014FDC51" w14:textId="652BD8CB" w:rsidR="004D1B63" w:rsidRDefault="004D1B63" w:rsidP="004D1B63">
      <w:pPr>
        <w:pStyle w:val="NoSpacing"/>
        <w:numPr>
          <w:ilvl w:val="0"/>
          <w:numId w:val="2"/>
        </w:numPr>
        <w:rPr>
          <w:b/>
          <w:bCs/>
        </w:rPr>
      </w:pPr>
      <w:r w:rsidRPr="004D1B63">
        <w:rPr>
          <w:b/>
          <w:bCs/>
        </w:rPr>
        <w:t>Teens+ Movies Are the Longest</w:t>
      </w:r>
    </w:p>
    <w:p w14:paraId="14784641" w14:textId="77777777" w:rsidR="004D1B63" w:rsidRPr="004D1B63" w:rsidRDefault="004D1B63" w:rsidP="004D1B63">
      <w:pPr>
        <w:pStyle w:val="NoSpacing"/>
        <w:ind w:left="720"/>
        <w:rPr>
          <w:b/>
          <w:bCs/>
        </w:rPr>
      </w:pPr>
    </w:p>
    <w:tbl>
      <w:tblPr>
        <w:tblStyle w:val="TableGrid"/>
        <w:tblW w:w="0" w:type="auto"/>
        <w:tblLook w:val="04A0" w:firstRow="1" w:lastRow="0" w:firstColumn="1" w:lastColumn="0" w:noHBand="0" w:noVBand="1"/>
      </w:tblPr>
      <w:tblGrid>
        <w:gridCol w:w="4675"/>
        <w:gridCol w:w="4675"/>
      </w:tblGrid>
      <w:tr w:rsidR="004D1B63" w:rsidRPr="004D1B63" w14:paraId="4E531B3F" w14:textId="77777777" w:rsidTr="004D1B63">
        <w:tc>
          <w:tcPr>
            <w:tcW w:w="4675" w:type="dxa"/>
          </w:tcPr>
          <w:p w14:paraId="03B57B0E" w14:textId="77777777" w:rsidR="004D1B63" w:rsidRPr="004D1B63" w:rsidRDefault="004D1B63" w:rsidP="004D1B63">
            <w:pPr>
              <w:pStyle w:val="NoSpacing"/>
            </w:pPr>
            <w:r w:rsidRPr="004D1B63">
              <w:t>RATING</w:t>
            </w:r>
          </w:p>
        </w:tc>
        <w:tc>
          <w:tcPr>
            <w:tcW w:w="4675" w:type="dxa"/>
          </w:tcPr>
          <w:p w14:paraId="643E8A78" w14:textId="77777777" w:rsidR="004D1B63" w:rsidRPr="004D1B63" w:rsidRDefault="004D1B63" w:rsidP="004D1B63">
            <w:pPr>
              <w:pStyle w:val="NoSpacing"/>
            </w:pPr>
            <w:r w:rsidRPr="004D1B63">
              <w:t>AVG. DURATION (MIN)</w:t>
            </w:r>
          </w:p>
        </w:tc>
      </w:tr>
      <w:tr w:rsidR="004D1B63" w:rsidRPr="004D1B63" w14:paraId="7C1589B0" w14:textId="77777777" w:rsidTr="004D1B63">
        <w:tc>
          <w:tcPr>
            <w:tcW w:w="4675" w:type="dxa"/>
          </w:tcPr>
          <w:p w14:paraId="6549312D" w14:textId="77777777" w:rsidR="004D1B63" w:rsidRPr="004D1B63" w:rsidRDefault="004D1B63" w:rsidP="004D1B63">
            <w:pPr>
              <w:pStyle w:val="NoSpacing"/>
            </w:pPr>
            <w:r w:rsidRPr="004D1B63">
              <w:t>Teens+</w:t>
            </w:r>
          </w:p>
        </w:tc>
        <w:tc>
          <w:tcPr>
            <w:tcW w:w="4675" w:type="dxa"/>
          </w:tcPr>
          <w:p w14:paraId="43F07DC3" w14:textId="77777777" w:rsidR="004D1B63" w:rsidRPr="004D1B63" w:rsidRDefault="004D1B63" w:rsidP="004D1B63">
            <w:pPr>
              <w:pStyle w:val="NoSpacing"/>
            </w:pPr>
            <w:r w:rsidRPr="004D1B63">
              <w:t>112.19</w:t>
            </w:r>
          </w:p>
        </w:tc>
      </w:tr>
      <w:tr w:rsidR="004D1B63" w:rsidRPr="004D1B63" w14:paraId="0C640BCA" w14:textId="77777777" w:rsidTr="004D1B63">
        <w:tc>
          <w:tcPr>
            <w:tcW w:w="4675" w:type="dxa"/>
          </w:tcPr>
          <w:p w14:paraId="61501BB2" w14:textId="77777777" w:rsidR="004D1B63" w:rsidRPr="004D1B63" w:rsidRDefault="004D1B63" w:rsidP="004D1B63">
            <w:pPr>
              <w:pStyle w:val="NoSpacing"/>
            </w:pPr>
            <w:r w:rsidRPr="004D1B63">
              <w:t>Unknown</w:t>
            </w:r>
          </w:p>
        </w:tc>
        <w:tc>
          <w:tcPr>
            <w:tcW w:w="4675" w:type="dxa"/>
          </w:tcPr>
          <w:p w14:paraId="5943781E" w14:textId="77777777" w:rsidR="004D1B63" w:rsidRPr="004D1B63" w:rsidRDefault="004D1B63" w:rsidP="004D1B63">
            <w:pPr>
              <w:pStyle w:val="NoSpacing"/>
            </w:pPr>
            <w:r w:rsidRPr="004D1B63">
              <w:t>108.45</w:t>
            </w:r>
          </w:p>
        </w:tc>
      </w:tr>
      <w:tr w:rsidR="004D1B63" w:rsidRPr="004D1B63" w14:paraId="1698B0A5" w14:textId="77777777" w:rsidTr="004D1B63">
        <w:tc>
          <w:tcPr>
            <w:tcW w:w="4675" w:type="dxa"/>
          </w:tcPr>
          <w:p w14:paraId="752505A4" w14:textId="77777777" w:rsidR="004D1B63" w:rsidRPr="004D1B63" w:rsidRDefault="004D1B63" w:rsidP="004D1B63">
            <w:pPr>
              <w:pStyle w:val="NoSpacing"/>
            </w:pPr>
            <w:r w:rsidRPr="004D1B63">
              <w:t>Parental Guidance</w:t>
            </w:r>
          </w:p>
        </w:tc>
        <w:tc>
          <w:tcPr>
            <w:tcW w:w="4675" w:type="dxa"/>
          </w:tcPr>
          <w:p w14:paraId="28566CCD" w14:textId="77777777" w:rsidR="004D1B63" w:rsidRPr="004D1B63" w:rsidRDefault="004D1B63" w:rsidP="004D1B63">
            <w:pPr>
              <w:pStyle w:val="NoSpacing"/>
            </w:pPr>
            <w:r w:rsidRPr="004D1B63">
              <w:t>101.17</w:t>
            </w:r>
          </w:p>
        </w:tc>
      </w:tr>
      <w:tr w:rsidR="004D1B63" w:rsidRPr="004D1B63" w14:paraId="5A3BB2F1" w14:textId="77777777" w:rsidTr="004D1B63">
        <w:tc>
          <w:tcPr>
            <w:tcW w:w="4675" w:type="dxa"/>
          </w:tcPr>
          <w:p w14:paraId="7ABD57F2" w14:textId="77777777" w:rsidR="004D1B63" w:rsidRPr="004D1B63" w:rsidRDefault="004D1B63" w:rsidP="004D1B63">
            <w:pPr>
              <w:pStyle w:val="NoSpacing"/>
            </w:pPr>
            <w:r w:rsidRPr="004D1B63">
              <w:t>Mature</w:t>
            </w:r>
          </w:p>
        </w:tc>
        <w:tc>
          <w:tcPr>
            <w:tcW w:w="4675" w:type="dxa"/>
          </w:tcPr>
          <w:p w14:paraId="4CE3CCFC" w14:textId="77777777" w:rsidR="004D1B63" w:rsidRPr="004D1B63" w:rsidRDefault="004D1B63" w:rsidP="004D1B63">
            <w:pPr>
              <w:pStyle w:val="NoSpacing"/>
            </w:pPr>
            <w:r w:rsidRPr="004D1B63">
              <w:t>100.38</w:t>
            </w:r>
          </w:p>
        </w:tc>
      </w:tr>
      <w:tr w:rsidR="004D1B63" w:rsidRPr="004D1B63" w14:paraId="17234119" w14:textId="77777777" w:rsidTr="004D1B63">
        <w:tc>
          <w:tcPr>
            <w:tcW w:w="4675" w:type="dxa"/>
          </w:tcPr>
          <w:p w14:paraId="3F4CA7C2" w14:textId="77777777" w:rsidR="004D1B63" w:rsidRPr="004D1B63" w:rsidRDefault="004D1B63" w:rsidP="004D1B63">
            <w:pPr>
              <w:pStyle w:val="NoSpacing"/>
            </w:pPr>
            <w:r w:rsidRPr="004D1B63">
              <w:t>General Audience</w:t>
            </w:r>
          </w:p>
        </w:tc>
        <w:tc>
          <w:tcPr>
            <w:tcW w:w="4675" w:type="dxa"/>
          </w:tcPr>
          <w:p w14:paraId="7ACCA001" w14:textId="77777777" w:rsidR="004D1B63" w:rsidRPr="004D1B63" w:rsidRDefault="004D1B63" w:rsidP="004D1B63">
            <w:pPr>
              <w:pStyle w:val="NoSpacing"/>
            </w:pPr>
            <w:r w:rsidRPr="004D1B63">
              <w:t>94.06</w:t>
            </w:r>
          </w:p>
        </w:tc>
      </w:tr>
      <w:tr w:rsidR="004D1B63" w:rsidRPr="004D1B63" w14:paraId="3A4BD96A" w14:textId="77777777" w:rsidTr="004D1B63">
        <w:tc>
          <w:tcPr>
            <w:tcW w:w="4675" w:type="dxa"/>
          </w:tcPr>
          <w:p w14:paraId="3E8523F0" w14:textId="77777777" w:rsidR="004D1B63" w:rsidRPr="004D1B63" w:rsidRDefault="004D1B63" w:rsidP="004D1B63">
            <w:pPr>
              <w:pStyle w:val="NoSpacing"/>
            </w:pPr>
            <w:r w:rsidRPr="004D1B63">
              <w:t>Kids</w:t>
            </w:r>
          </w:p>
        </w:tc>
        <w:tc>
          <w:tcPr>
            <w:tcW w:w="4675" w:type="dxa"/>
          </w:tcPr>
          <w:p w14:paraId="14C08F73" w14:textId="77777777" w:rsidR="004D1B63" w:rsidRPr="004D1B63" w:rsidRDefault="004D1B63" w:rsidP="004D1B63">
            <w:pPr>
              <w:pStyle w:val="NoSpacing"/>
            </w:pPr>
            <w:r w:rsidRPr="004D1B63">
              <w:t>62.34</w:t>
            </w:r>
          </w:p>
        </w:tc>
      </w:tr>
    </w:tbl>
    <w:p w14:paraId="7FB03B1A" w14:textId="77777777" w:rsidR="004D1B63" w:rsidRDefault="004D1B63" w:rsidP="004D1B63">
      <w:pPr>
        <w:pStyle w:val="NoSpacing"/>
      </w:pPr>
    </w:p>
    <w:p w14:paraId="26D8631C" w14:textId="77CCEB70" w:rsidR="004D1B63" w:rsidRPr="004D1B63" w:rsidRDefault="004D1B63" w:rsidP="004D1B63">
      <w:pPr>
        <w:pStyle w:val="NoSpacing"/>
        <w:rPr>
          <w:b/>
          <w:bCs/>
        </w:rPr>
      </w:pPr>
      <w:r w:rsidRPr="004D1B63">
        <w:rPr>
          <w:b/>
          <w:bCs/>
        </w:rPr>
        <w:t xml:space="preserve"> Insight:</w:t>
      </w:r>
    </w:p>
    <w:p w14:paraId="565EFD04" w14:textId="77777777" w:rsidR="004D1B63" w:rsidRDefault="004D1B63" w:rsidP="004D1B63">
      <w:pPr>
        <w:pStyle w:val="NoSpacing"/>
      </w:pPr>
      <w:r>
        <w:t>There's a strong correlation between rating and duration — teens+ films are longest, likely due to complex narratives and action-heavy genres.</w:t>
      </w:r>
    </w:p>
    <w:p w14:paraId="151D661C" w14:textId="77777777" w:rsidR="004D1B63" w:rsidRDefault="004D1B63" w:rsidP="004D1B63">
      <w:pPr>
        <w:pStyle w:val="NoSpacing"/>
      </w:pPr>
      <w:r>
        <w:t xml:space="preserve">Kids’ content averages just 62 minutes, optimized for shorter attention spans. </w:t>
      </w:r>
    </w:p>
    <w:p w14:paraId="23E309FA" w14:textId="77777777" w:rsidR="004D1B63" w:rsidRDefault="004D1B63" w:rsidP="004D1B63">
      <w:pPr>
        <w:pStyle w:val="NoSpacing"/>
      </w:pPr>
    </w:p>
    <w:p w14:paraId="7A12F6C9" w14:textId="77777777" w:rsidR="00026FB2" w:rsidRPr="00026FB2" w:rsidRDefault="004D1B63" w:rsidP="004D1B63">
      <w:pPr>
        <w:pStyle w:val="NoSpacing"/>
        <w:rPr>
          <w:b/>
          <w:bCs/>
        </w:rPr>
      </w:pPr>
      <w:r w:rsidRPr="00026FB2">
        <w:rPr>
          <w:b/>
          <w:bCs/>
        </w:rPr>
        <w:t xml:space="preserve">Correlation analysis </w:t>
      </w:r>
    </w:p>
    <w:p w14:paraId="58029270" w14:textId="59324F24" w:rsidR="004D1B63" w:rsidRDefault="004D1B63" w:rsidP="004D1B63">
      <w:pPr>
        <w:pStyle w:val="NoSpacing"/>
      </w:pPr>
      <w:r>
        <w:t xml:space="preserve"> longer movies tend to be aimed at older audiences, suggesting intentional format design. </w:t>
      </w:r>
    </w:p>
    <w:p w14:paraId="75B8ABA0" w14:textId="77777777" w:rsidR="004D1B63" w:rsidRDefault="004D1B63" w:rsidP="004D1B63">
      <w:pPr>
        <w:pStyle w:val="NoSpacing"/>
      </w:pPr>
    </w:p>
    <w:p w14:paraId="489D0A44" w14:textId="449FCA3E" w:rsidR="004D1B63" w:rsidRDefault="004D1B63" w:rsidP="00026FB2">
      <w:pPr>
        <w:pStyle w:val="NoSpacing"/>
        <w:numPr>
          <w:ilvl w:val="0"/>
          <w:numId w:val="2"/>
        </w:numPr>
        <w:rPr>
          <w:b/>
          <w:bCs/>
        </w:rPr>
      </w:pPr>
      <w:r w:rsidRPr="00026FB2">
        <w:rPr>
          <w:b/>
          <w:bCs/>
        </w:rPr>
        <w:t>Most TV Shows Have Only One Season</w:t>
      </w:r>
    </w:p>
    <w:p w14:paraId="4084E05B" w14:textId="77777777" w:rsidR="00026FB2" w:rsidRPr="00026FB2" w:rsidRDefault="00026FB2" w:rsidP="00026FB2">
      <w:pPr>
        <w:pStyle w:val="NoSpacing"/>
        <w:ind w:left="720"/>
        <w:rPr>
          <w:b/>
          <w:bCs/>
        </w:rPr>
      </w:pPr>
    </w:p>
    <w:tbl>
      <w:tblPr>
        <w:tblStyle w:val="TableGrid"/>
        <w:tblW w:w="0" w:type="auto"/>
        <w:tblLook w:val="04A0" w:firstRow="1" w:lastRow="0" w:firstColumn="1" w:lastColumn="0" w:noHBand="0" w:noVBand="1"/>
      </w:tblPr>
      <w:tblGrid>
        <w:gridCol w:w="4675"/>
        <w:gridCol w:w="4675"/>
      </w:tblGrid>
      <w:tr w:rsidR="004D1B63" w:rsidRPr="004D1B63" w14:paraId="44333172" w14:textId="77777777" w:rsidTr="004D1B63">
        <w:tc>
          <w:tcPr>
            <w:tcW w:w="4675" w:type="dxa"/>
          </w:tcPr>
          <w:p w14:paraId="13548254" w14:textId="77777777" w:rsidR="004D1B63" w:rsidRPr="004D1B63" w:rsidRDefault="004D1B63" w:rsidP="004D1B63">
            <w:pPr>
              <w:pStyle w:val="NoSpacing"/>
            </w:pPr>
            <w:r w:rsidRPr="004D1B63">
              <w:t>SEASONS</w:t>
            </w:r>
          </w:p>
        </w:tc>
        <w:tc>
          <w:tcPr>
            <w:tcW w:w="4675" w:type="dxa"/>
          </w:tcPr>
          <w:p w14:paraId="2C188857" w14:textId="77777777" w:rsidR="004D1B63" w:rsidRPr="004D1B63" w:rsidRDefault="004D1B63" w:rsidP="004D1B63">
            <w:pPr>
              <w:pStyle w:val="NoSpacing"/>
            </w:pPr>
            <w:r w:rsidRPr="004D1B63">
              <w:t>NUMBER OF SHOWS</w:t>
            </w:r>
          </w:p>
        </w:tc>
      </w:tr>
      <w:tr w:rsidR="004D1B63" w:rsidRPr="004D1B63" w14:paraId="4CA40E9E" w14:textId="77777777" w:rsidTr="004D1B63">
        <w:tc>
          <w:tcPr>
            <w:tcW w:w="4675" w:type="dxa"/>
          </w:tcPr>
          <w:p w14:paraId="7AFCB2F5" w14:textId="77777777" w:rsidR="004D1B63" w:rsidRPr="004D1B63" w:rsidRDefault="004D1B63" w:rsidP="004D1B63">
            <w:pPr>
              <w:pStyle w:val="NoSpacing"/>
            </w:pPr>
            <w:r w:rsidRPr="004D1B63">
              <w:t>1</w:t>
            </w:r>
          </w:p>
        </w:tc>
        <w:tc>
          <w:tcPr>
            <w:tcW w:w="4675" w:type="dxa"/>
          </w:tcPr>
          <w:p w14:paraId="4B6A6B52" w14:textId="77777777" w:rsidR="004D1B63" w:rsidRPr="004D1B63" w:rsidRDefault="004D1B63" w:rsidP="004D1B63">
            <w:pPr>
              <w:pStyle w:val="NoSpacing"/>
            </w:pPr>
            <w:r w:rsidRPr="004D1B63">
              <w:t>3,525</w:t>
            </w:r>
          </w:p>
        </w:tc>
      </w:tr>
      <w:tr w:rsidR="004D1B63" w:rsidRPr="004D1B63" w14:paraId="3DD43130" w14:textId="77777777" w:rsidTr="004D1B63">
        <w:tc>
          <w:tcPr>
            <w:tcW w:w="4675" w:type="dxa"/>
          </w:tcPr>
          <w:p w14:paraId="4CD19778" w14:textId="77777777" w:rsidR="004D1B63" w:rsidRPr="004D1B63" w:rsidRDefault="004D1B63" w:rsidP="004D1B63">
            <w:pPr>
              <w:pStyle w:val="NoSpacing"/>
            </w:pPr>
            <w:r w:rsidRPr="004D1B63">
              <w:t>2</w:t>
            </w:r>
          </w:p>
        </w:tc>
        <w:tc>
          <w:tcPr>
            <w:tcW w:w="4675" w:type="dxa"/>
          </w:tcPr>
          <w:p w14:paraId="1FACA8CB" w14:textId="77777777" w:rsidR="004D1B63" w:rsidRPr="004D1B63" w:rsidRDefault="004D1B63" w:rsidP="004D1B63">
            <w:pPr>
              <w:pStyle w:val="NoSpacing"/>
            </w:pPr>
            <w:r w:rsidRPr="004D1B63">
              <w:t>378</w:t>
            </w:r>
          </w:p>
        </w:tc>
      </w:tr>
      <w:tr w:rsidR="004D1B63" w:rsidRPr="004D1B63" w14:paraId="009732B0" w14:textId="77777777" w:rsidTr="004D1B63">
        <w:tc>
          <w:tcPr>
            <w:tcW w:w="4675" w:type="dxa"/>
          </w:tcPr>
          <w:p w14:paraId="106FD62F" w14:textId="77777777" w:rsidR="004D1B63" w:rsidRPr="004D1B63" w:rsidRDefault="004D1B63" w:rsidP="004D1B63">
            <w:pPr>
              <w:pStyle w:val="NoSpacing"/>
            </w:pPr>
            <w:r w:rsidRPr="004D1B63">
              <w:t>5</w:t>
            </w:r>
          </w:p>
        </w:tc>
        <w:tc>
          <w:tcPr>
            <w:tcW w:w="4675" w:type="dxa"/>
          </w:tcPr>
          <w:p w14:paraId="2D787116" w14:textId="77777777" w:rsidR="004D1B63" w:rsidRPr="004D1B63" w:rsidRDefault="004D1B63" w:rsidP="004D1B63">
            <w:pPr>
              <w:pStyle w:val="NoSpacing"/>
            </w:pPr>
            <w:r w:rsidRPr="004D1B63">
              <w:t>342</w:t>
            </w:r>
          </w:p>
        </w:tc>
      </w:tr>
      <w:tr w:rsidR="004D1B63" w:rsidRPr="004D1B63" w14:paraId="53CE0CD1" w14:textId="77777777" w:rsidTr="004D1B63">
        <w:tc>
          <w:tcPr>
            <w:tcW w:w="4675" w:type="dxa"/>
          </w:tcPr>
          <w:p w14:paraId="4380274F" w14:textId="77777777" w:rsidR="004D1B63" w:rsidRPr="004D1B63" w:rsidRDefault="004D1B63" w:rsidP="004D1B63">
            <w:pPr>
              <w:pStyle w:val="NoSpacing"/>
            </w:pPr>
            <w:r w:rsidRPr="004D1B63">
              <w:t>6</w:t>
            </w:r>
          </w:p>
        </w:tc>
        <w:tc>
          <w:tcPr>
            <w:tcW w:w="4675" w:type="dxa"/>
          </w:tcPr>
          <w:p w14:paraId="2670E355" w14:textId="77777777" w:rsidR="004D1B63" w:rsidRPr="004D1B63" w:rsidRDefault="004D1B63" w:rsidP="004D1B63">
            <w:pPr>
              <w:pStyle w:val="NoSpacing"/>
            </w:pPr>
            <w:r w:rsidRPr="004D1B63">
              <w:t>296</w:t>
            </w:r>
          </w:p>
        </w:tc>
      </w:tr>
      <w:tr w:rsidR="004D1B63" w:rsidRPr="004D1B63" w14:paraId="3AFF7DC3" w14:textId="77777777" w:rsidTr="004D1B63">
        <w:tc>
          <w:tcPr>
            <w:tcW w:w="4675" w:type="dxa"/>
          </w:tcPr>
          <w:p w14:paraId="22CE9F12" w14:textId="77777777" w:rsidR="004D1B63" w:rsidRPr="004D1B63" w:rsidRDefault="004D1B63" w:rsidP="004D1B63">
            <w:pPr>
              <w:pStyle w:val="NoSpacing"/>
            </w:pPr>
            <w:r w:rsidRPr="004D1B63">
              <w:t>15</w:t>
            </w:r>
          </w:p>
        </w:tc>
        <w:tc>
          <w:tcPr>
            <w:tcW w:w="4675" w:type="dxa"/>
          </w:tcPr>
          <w:p w14:paraId="6BB933A7" w14:textId="0E88C749" w:rsidR="004D1B63" w:rsidRPr="004D1B63" w:rsidRDefault="004D1B63" w:rsidP="004D1B63">
            <w:pPr>
              <w:pStyle w:val="NoSpacing"/>
            </w:pPr>
            <w:r>
              <w:t>54</w:t>
            </w:r>
          </w:p>
        </w:tc>
      </w:tr>
    </w:tbl>
    <w:p w14:paraId="6DC949B2" w14:textId="55AE9740" w:rsidR="004D1B63" w:rsidRDefault="004D1B63" w:rsidP="004D1B63">
      <w:pPr>
        <w:pStyle w:val="NoSpacing"/>
      </w:pPr>
    </w:p>
    <w:p w14:paraId="5E1D2F05" w14:textId="77777777" w:rsidR="004D1B63" w:rsidRDefault="004D1B63" w:rsidP="004D1B63">
      <w:pPr>
        <w:pStyle w:val="NoSpacing"/>
      </w:pPr>
    </w:p>
    <w:p w14:paraId="20A1A850" w14:textId="13482123" w:rsidR="004D1B63" w:rsidRPr="00026FB2" w:rsidRDefault="004D1B63" w:rsidP="004D1B63">
      <w:pPr>
        <w:pStyle w:val="NoSpacing"/>
        <w:rPr>
          <w:b/>
          <w:bCs/>
        </w:rPr>
      </w:pPr>
      <w:r w:rsidRPr="00026FB2">
        <w:rPr>
          <w:b/>
          <w:bCs/>
        </w:rPr>
        <w:t xml:space="preserve"> </w:t>
      </w:r>
      <w:r w:rsidRPr="00026FB2">
        <w:rPr>
          <w:b/>
          <w:bCs/>
        </w:rPr>
        <w:t>i</w:t>
      </w:r>
      <w:r w:rsidRPr="00026FB2">
        <w:rPr>
          <w:b/>
          <w:bCs/>
        </w:rPr>
        <w:t>nsight:</w:t>
      </w:r>
    </w:p>
    <w:p w14:paraId="74C2C233" w14:textId="77777777" w:rsidR="004D1B63" w:rsidRDefault="004D1B63" w:rsidP="004D1B63">
      <w:pPr>
        <w:pStyle w:val="NoSpacing"/>
      </w:pPr>
      <w:r>
        <w:t>Over 90% of TV shows end after one season, revealing a test-and-renew model.</w:t>
      </w:r>
    </w:p>
    <w:p w14:paraId="6EA1271E" w14:textId="77777777" w:rsidR="004D1B63" w:rsidRDefault="004D1B63" w:rsidP="004D1B63">
      <w:pPr>
        <w:pStyle w:val="NoSpacing"/>
      </w:pPr>
      <w:r>
        <w:t xml:space="preserve">Netflix releases a show, measures performance, and decides whether to renew — reducing financial risk and increasing agility. </w:t>
      </w:r>
    </w:p>
    <w:p w14:paraId="3766AF32" w14:textId="77777777" w:rsidR="004D1B63" w:rsidRDefault="004D1B63" w:rsidP="004D1B63">
      <w:pPr>
        <w:pStyle w:val="NoSpacing"/>
      </w:pPr>
    </w:p>
    <w:p w14:paraId="2606B598" w14:textId="77777777" w:rsidR="00026FB2" w:rsidRPr="00026FB2" w:rsidRDefault="004D1B63" w:rsidP="004D1B63">
      <w:pPr>
        <w:pStyle w:val="NoSpacing"/>
        <w:rPr>
          <w:b/>
          <w:bCs/>
        </w:rPr>
      </w:pPr>
      <w:r>
        <w:t xml:space="preserve"> </w:t>
      </w:r>
      <w:r w:rsidRPr="00026FB2">
        <w:rPr>
          <w:b/>
          <w:bCs/>
        </w:rPr>
        <w:t xml:space="preserve">Survival analysis </w:t>
      </w:r>
    </w:p>
    <w:p w14:paraId="795BF065" w14:textId="3638399B" w:rsidR="004D1B63" w:rsidRDefault="004D1B63" w:rsidP="004D1B63">
      <w:pPr>
        <w:pStyle w:val="NoSpacing"/>
      </w:pPr>
      <w:r>
        <w:t xml:space="preserve"> most shows "die" early, showing a high churn rate and data-driven decision-making. </w:t>
      </w:r>
    </w:p>
    <w:p w14:paraId="57224DB9" w14:textId="77777777" w:rsidR="004D1B63" w:rsidRDefault="004D1B63" w:rsidP="004D1B63">
      <w:pPr>
        <w:pStyle w:val="NoSpacing"/>
      </w:pPr>
    </w:p>
    <w:p w14:paraId="5A0C95EF" w14:textId="16F9146C" w:rsidR="004D1B63" w:rsidRDefault="004D1B63" w:rsidP="00026FB2">
      <w:pPr>
        <w:pStyle w:val="NoSpacing"/>
        <w:numPr>
          <w:ilvl w:val="0"/>
          <w:numId w:val="2"/>
        </w:numPr>
        <w:rPr>
          <w:b/>
          <w:bCs/>
        </w:rPr>
      </w:pPr>
      <w:r w:rsidRPr="00026FB2">
        <w:rPr>
          <w:b/>
          <w:bCs/>
        </w:rPr>
        <w:t>Regional Production Reflects Cultural Preferences</w:t>
      </w:r>
    </w:p>
    <w:p w14:paraId="17399440" w14:textId="77777777" w:rsidR="00026FB2" w:rsidRPr="00026FB2" w:rsidRDefault="00026FB2" w:rsidP="00026FB2">
      <w:pPr>
        <w:pStyle w:val="NoSpacing"/>
        <w:ind w:left="720"/>
        <w:rPr>
          <w:b/>
          <w:bCs/>
        </w:rPr>
      </w:pPr>
    </w:p>
    <w:tbl>
      <w:tblPr>
        <w:tblStyle w:val="TableGrid"/>
        <w:tblW w:w="0" w:type="auto"/>
        <w:tblLook w:val="04A0" w:firstRow="1" w:lastRow="0" w:firstColumn="1" w:lastColumn="0" w:noHBand="0" w:noVBand="1"/>
      </w:tblPr>
      <w:tblGrid>
        <w:gridCol w:w="2337"/>
        <w:gridCol w:w="2337"/>
        <w:gridCol w:w="2338"/>
        <w:gridCol w:w="2338"/>
      </w:tblGrid>
      <w:tr w:rsidR="004D1B63" w:rsidRPr="004D1B63" w14:paraId="2C3C5A22" w14:textId="77777777" w:rsidTr="004D1B63">
        <w:tc>
          <w:tcPr>
            <w:tcW w:w="2337" w:type="dxa"/>
          </w:tcPr>
          <w:p w14:paraId="0690A6F6" w14:textId="77777777" w:rsidR="004D1B63" w:rsidRPr="004D1B63" w:rsidRDefault="004D1B63" w:rsidP="004D1B63">
            <w:pPr>
              <w:pStyle w:val="NoSpacing"/>
            </w:pPr>
            <w:r w:rsidRPr="004D1B63">
              <w:t>COUNTRY</w:t>
            </w:r>
          </w:p>
        </w:tc>
        <w:tc>
          <w:tcPr>
            <w:tcW w:w="2337" w:type="dxa"/>
          </w:tcPr>
          <w:p w14:paraId="7661DA92" w14:textId="77777777" w:rsidR="004D1B63" w:rsidRPr="004D1B63" w:rsidRDefault="004D1B63" w:rsidP="004D1B63">
            <w:pPr>
              <w:pStyle w:val="NoSpacing"/>
            </w:pPr>
            <w:r w:rsidRPr="004D1B63">
              <w:t>MATURE</w:t>
            </w:r>
          </w:p>
        </w:tc>
        <w:tc>
          <w:tcPr>
            <w:tcW w:w="2338" w:type="dxa"/>
          </w:tcPr>
          <w:p w14:paraId="230AFD84" w14:textId="77777777" w:rsidR="004D1B63" w:rsidRPr="004D1B63" w:rsidRDefault="004D1B63" w:rsidP="004D1B63">
            <w:pPr>
              <w:pStyle w:val="NoSpacing"/>
            </w:pPr>
            <w:r w:rsidRPr="004D1B63">
              <w:t>TEENS+</w:t>
            </w:r>
          </w:p>
        </w:tc>
        <w:tc>
          <w:tcPr>
            <w:tcW w:w="2338" w:type="dxa"/>
          </w:tcPr>
          <w:p w14:paraId="77AC68C6" w14:textId="77777777" w:rsidR="004D1B63" w:rsidRPr="004D1B63" w:rsidRDefault="004D1B63" w:rsidP="004D1B63">
            <w:pPr>
              <w:pStyle w:val="NoSpacing"/>
            </w:pPr>
            <w:r w:rsidRPr="004D1B63">
              <w:t>KIDS</w:t>
            </w:r>
          </w:p>
        </w:tc>
      </w:tr>
      <w:tr w:rsidR="004D1B63" w:rsidRPr="004D1B63" w14:paraId="251BBFF3" w14:textId="77777777" w:rsidTr="004D1B63">
        <w:tc>
          <w:tcPr>
            <w:tcW w:w="2337" w:type="dxa"/>
          </w:tcPr>
          <w:p w14:paraId="225A9AE7" w14:textId="77777777" w:rsidR="004D1B63" w:rsidRPr="004D1B63" w:rsidRDefault="004D1B63" w:rsidP="004D1B63">
            <w:pPr>
              <w:pStyle w:val="NoSpacing"/>
            </w:pPr>
            <w:r w:rsidRPr="004D1B63">
              <w:t>United States</w:t>
            </w:r>
          </w:p>
        </w:tc>
        <w:tc>
          <w:tcPr>
            <w:tcW w:w="2337" w:type="dxa"/>
          </w:tcPr>
          <w:p w14:paraId="08F54D83" w14:textId="77777777" w:rsidR="004D1B63" w:rsidRPr="004D1B63" w:rsidRDefault="004D1B63" w:rsidP="004D1B63">
            <w:pPr>
              <w:pStyle w:val="NoSpacing"/>
            </w:pPr>
            <w:r w:rsidRPr="004D1B63">
              <w:t>19,213</w:t>
            </w:r>
          </w:p>
        </w:tc>
        <w:tc>
          <w:tcPr>
            <w:tcW w:w="2338" w:type="dxa"/>
          </w:tcPr>
          <w:p w14:paraId="45AB59E7" w14:textId="77777777" w:rsidR="004D1B63" w:rsidRPr="004D1B63" w:rsidRDefault="004D1B63" w:rsidP="004D1B63">
            <w:pPr>
              <w:pStyle w:val="NoSpacing"/>
            </w:pPr>
            <w:r w:rsidRPr="004D1B63">
              <w:t>10,231</w:t>
            </w:r>
          </w:p>
        </w:tc>
        <w:tc>
          <w:tcPr>
            <w:tcW w:w="2338" w:type="dxa"/>
          </w:tcPr>
          <w:p w14:paraId="59A4DF6A" w14:textId="77777777" w:rsidR="004D1B63" w:rsidRPr="004D1B63" w:rsidRDefault="004D1B63" w:rsidP="004D1B63">
            <w:pPr>
              <w:pStyle w:val="NoSpacing"/>
            </w:pPr>
            <w:r w:rsidRPr="004D1B63">
              <w:t>1,698</w:t>
            </w:r>
          </w:p>
        </w:tc>
      </w:tr>
      <w:tr w:rsidR="004D1B63" w:rsidRPr="004D1B63" w14:paraId="03418DA8" w14:textId="77777777" w:rsidTr="004D1B63">
        <w:tc>
          <w:tcPr>
            <w:tcW w:w="2337" w:type="dxa"/>
          </w:tcPr>
          <w:p w14:paraId="349F89F8" w14:textId="77777777" w:rsidR="004D1B63" w:rsidRPr="004D1B63" w:rsidRDefault="004D1B63" w:rsidP="004D1B63">
            <w:pPr>
              <w:pStyle w:val="NoSpacing"/>
            </w:pPr>
            <w:r w:rsidRPr="004D1B63">
              <w:t>India</w:t>
            </w:r>
          </w:p>
        </w:tc>
        <w:tc>
          <w:tcPr>
            <w:tcW w:w="2337" w:type="dxa"/>
          </w:tcPr>
          <w:p w14:paraId="677CCDE0" w14:textId="77777777" w:rsidR="004D1B63" w:rsidRPr="004D1B63" w:rsidRDefault="004D1B63" w:rsidP="004D1B63">
            <w:pPr>
              <w:pStyle w:val="NoSpacing"/>
            </w:pPr>
            <w:r w:rsidRPr="004D1B63">
              <w:t>5,224</w:t>
            </w:r>
          </w:p>
        </w:tc>
        <w:tc>
          <w:tcPr>
            <w:tcW w:w="2338" w:type="dxa"/>
          </w:tcPr>
          <w:p w14:paraId="39F301F6" w14:textId="77777777" w:rsidR="004D1B63" w:rsidRPr="004D1B63" w:rsidRDefault="004D1B63" w:rsidP="004D1B63">
            <w:pPr>
              <w:pStyle w:val="NoSpacing"/>
            </w:pPr>
            <w:r w:rsidRPr="004D1B63">
              <w:t>11,429</w:t>
            </w:r>
          </w:p>
        </w:tc>
        <w:tc>
          <w:tcPr>
            <w:tcW w:w="2338" w:type="dxa"/>
          </w:tcPr>
          <w:p w14:paraId="3A9F1050" w14:textId="77777777" w:rsidR="004D1B63" w:rsidRPr="004D1B63" w:rsidRDefault="004D1B63" w:rsidP="004D1B63">
            <w:pPr>
              <w:pStyle w:val="NoSpacing"/>
            </w:pPr>
            <w:r w:rsidRPr="004D1B63">
              <w:t>107</w:t>
            </w:r>
          </w:p>
        </w:tc>
      </w:tr>
      <w:tr w:rsidR="004D1B63" w:rsidRPr="004D1B63" w14:paraId="11C024A3" w14:textId="77777777" w:rsidTr="004D1B63">
        <w:tc>
          <w:tcPr>
            <w:tcW w:w="2337" w:type="dxa"/>
          </w:tcPr>
          <w:p w14:paraId="04E4092D" w14:textId="77777777" w:rsidR="004D1B63" w:rsidRPr="004D1B63" w:rsidRDefault="004D1B63" w:rsidP="004D1B63">
            <w:pPr>
              <w:pStyle w:val="NoSpacing"/>
            </w:pPr>
            <w:r w:rsidRPr="004D1B63">
              <w:t>Japan</w:t>
            </w:r>
          </w:p>
        </w:tc>
        <w:tc>
          <w:tcPr>
            <w:tcW w:w="2337" w:type="dxa"/>
          </w:tcPr>
          <w:p w14:paraId="3B40BE18" w14:textId="77777777" w:rsidR="004D1B63" w:rsidRPr="004D1B63" w:rsidRDefault="004D1B63" w:rsidP="004D1B63">
            <w:pPr>
              <w:pStyle w:val="NoSpacing"/>
            </w:pPr>
            <w:r w:rsidRPr="004D1B63">
              <w:t>1,139</w:t>
            </w:r>
          </w:p>
        </w:tc>
        <w:tc>
          <w:tcPr>
            <w:tcW w:w="2338" w:type="dxa"/>
          </w:tcPr>
          <w:p w14:paraId="3DC978C6" w14:textId="77777777" w:rsidR="004D1B63" w:rsidRPr="004D1B63" w:rsidRDefault="004D1B63" w:rsidP="004D1B63">
            <w:pPr>
              <w:pStyle w:val="NoSpacing"/>
            </w:pPr>
            <w:r w:rsidRPr="004D1B63">
              <w:t>858</w:t>
            </w:r>
          </w:p>
        </w:tc>
        <w:tc>
          <w:tcPr>
            <w:tcW w:w="2338" w:type="dxa"/>
          </w:tcPr>
          <w:p w14:paraId="752B1B38" w14:textId="77777777" w:rsidR="004D1B63" w:rsidRPr="004D1B63" w:rsidRDefault="004D1B63" w:rsidP="004D1B63">
            <w:pPr>
              <w:pStyle w:val="NoSpacing"/>
            </w:pPr>
            <w:r w:rsidRPr="004D1B63">
              <w:t>127</w:t>
            </w:r>
          </w:p>
        </w:tc>
      </w:tr>
      <w:tr w:rsidR="004D1B63" w:rsidRPr="004D1B63" w14:paraId="3FD07B3C" w14:textId="77777777" w:rsidTr="004D1B63">
        <w:tc>
          <w:tcPr>
            <w:tcW w:w="2337" w:type="dxa"/>
          </w:tcPr>
          <w:p w14:paraId="134A4D45" w14:textId="77777777" w:rsidR="004D1B63" w:rsidRPr="004D1B63" w:rsidRDefault="004D1B63" w:rsidP="004D1B63">
            <w:pPr>
              <w:pStyle w:val="NoSpacing"/>
            </w:pPr>
            <w:r w:rsidRPr="004D1B63">
              <w:t>Canada</w:t>
            </w:r>
          </w:p>
        </w:tc>
        <w:tc>
          <w:tcPr>
            <w:tcW w:w="2337" w:type="dxa"/>
          </w:tcPr>
          <w:p w14:paraId="2483118E" w14:textId="77777777" w:rsidR="004D1B63" w:rsidRPr="004D1B63" w:rsidRDefault="004D1B63" w:rsidP="004D1B63">
            <w:pPr>
              <w:pStyle w:val="NoSpacing"/>
            </w:pPr>
            <w:r w:rsidRPr="004D1B63">
              <w:t>2,436</w:t>
            </w:r>
          </w:p>
        </w:tc>
        <w:tc>
          <w:tcPr>
            <w:tcW w:w="2338" w:type="dxa"/>
          </w:tcPr>
          <w:p w14:paraId="534544FC" w14:textId="77777777" w:rsidR="004D1B63" w:rsidRPr="004D1B63" w:rsidRDefault="004D1B63" w:rsidP="004D1B63">
            <w:pPr>
              <w:pStyle w:val="NoSpacing"/>
            </w:pPr>
            <w:r w:rsidRPr="004D1B63">
              <w:t>950</w:t>
            </w:r>
          </w:p>
        </w:tc>
        <w:tc>
          <w:tcPr>
            <w:tcW w:w="2338" w:type="dxa"/>
          </w:tcPr>
          <w:p w14:paraId="23744D91" w14:textId="77777777" w:rsidR="004D1B63" w:rsidRPr="004D1B63" w:rsidRDefault="004D1B63" w:rsidP="004D1B63">
            <w:pPr>
              <w:pStyle w:val="NoSpacing"/>
            </w:pPr>
            <w:r w:rsidRPr="004D1B63">
              <w:t>400</w:t>
            </w:r>
          </w:p>
        </w:tc>
      </w:tr>
    </w:tbl>
    <w:p w14:paraId="28B0A313" w14:textId="77777777" w:rsidR="004D1B63" w:rsidRDefault="004D1B63" w:rsidP="004D1B63">
      <w:pPr>
        <w:pStyle w:val="NoSpacing"/>
      </w:pPr>
    </w:p>
    <w:p w14:paraId="1B6CDC42" w14:textId="16C67E0A" w:rsidR="004D1B63" w:rsidRPr="00026FB2" w:rsidRDefault="004D1B63" w:rsidP="004D1B63">
      <w:pPr>
        <w:pStyle w:val="NoSpacing"/>
        <w:rPr>
          <w:b/>
          <w:bCs/>
        </w:rPr>
      </w:pPr>
      <w:r w:rsidRPr="00026FB2">
        <w:rPr>
          <w:b/>
          <w:bCs/>
        </w:rPr>
        <w:t>Insight:</w:t>
      </w:r>
    </w:p>
    <w:p w14:paraId="3A4A86F9" w14:textId="77777777" w:rsidR="004D1B63" w:rsidRDefault="004D1B63" w:rsidP="004D1B63">
      <w:pPr>
        <w:pStyle w:val="NoSpacing"/>
      </w:pPr>
      <w:r>
        <w:t>U.S. produces the most mature content, while India leads in teen-rated content.</w:t>
      </w:r>
    </w:p>
    <w:p w14:paraId="5828E4BC" w14:textId="77777777" w:rsidR="004D1B63" w:rsidRDefault="004D1B63" w:rsidP="004D1B63">
      <w:pPr>
        <w:pStyle w:val="NoSpacing"/>
      </w:pPr>
      <w:r>
        <w:t xml:space="preserve">This shows localization strategy — content tailored to cultural norms and viewer preferences. </w:t>
      </w:r>
    </w:p>
    <w:p w14:paraId="33DBD7D0" w14:textId="77777777" w:rsidR="004D1B63" w:rsidRDefault="004D1B63" w:rsidP="004D1B63">
      <w:pPr>
        <w:pStyle w:val="NoSpacing"/>
      </w:pPr>
    </w:p>
    <w:p w14:paraId="3298FA77" w14:textId="77777777" w:rsidR="00026FB2" w:rsidRPr="00026FB2" w:rsidRDefault="004D1B63" w:rsidP="004D1B63">
      <w:pPr>
        <w:pStyle w:val="NoSpacing"/>
        <w:rPr>
          <w:b/>
          <w:bCs/>
        </w:rPr>
      </w:pPr>
      <w:r>
        <w:t xml:space="preserve"> </w:t>
      </w:r>
      <w:r w:rsidRPr="00026FB2">
        <w:rPr>
          <w:b/>
          <w:bCs/>
        </w:rPr>
        <w:t xml:space="preserve">Geospatial segmentation </w:t>
      </w:r>
    </w:p>
    <w:p w14:paraId="13F32666" w14:textId="3281A4B8" w:rsidR="004D1B63" w:rsidRDefault="004D1B63" w:rsidP="004D1B63">
      <w:pPr>
        <w:pStyle w:val="NoSpacing"/>
      </w:pPr>
      <w:r>
        <w:t xml:space="preserve"> Netflix uses region-specific content to maximize engagement across markets. </w:t>
      </w:r>
    </w:p>
    <w:p w14:paraId="7214D6BE" w14:textId="77777777" w:rsidR="004D1B63" w:rsidRDefault="004D1B63" w:rsidP="004D1B63">
      <w:pPr>
        <w:pStyle w:val="NoSpacing"/>
      </w:pPr>
    </w:p>
    <w:p w14:paraId="247F2000" w14:textId="77777777" w:rsidR="004D1B63" w:rsidRDefault="004D1B63" w:rsidP="004D1B63">
      <w:pPr>
        <w:pStyle w:val="NoSpacing"/>
      </w:pPr>
      <w:r>
        <w:t>5. Content Growth Peaked in 2018, Then Declined</w:t>
      </w:r>
    </w:p>
    <w:p w14:paraId="3BFB65E9" w14:textId="77777777" w:rsidR="004D1B63" w:rsidRDefault="004D1B63" w:rsidP="004D1B63">
      <w:pPr>
        <w:pStyle w:val="NoSpacing"/>
      </w:pPr>
      <w:r>
        <w:t>While not shown here, earlier data reveals a sharp spike in new content added in 2017–2018, followed by a steady decline.</w:t>
      </w:r>
    </w:p>
    <w:p w14:paraId="3681612E" w14:textId="77777777" w:rsidR="004D1B63" w:rsidRDefault="004D1B63" w:rsidP="004D1B63">
      <w:pPr>
        <w:pStyle w:val="NoSpacing"/>
      </w:pPr>
      <w:r>
        <w:t xml:space="preserve">This suggests a shift from quantity to quality — focusing on originals and binge-worthy series over volume. </w:t>
      </w:r>
    </w:p>
    <w:p w14:paraId="1C79EAC5" w14:textId="77777777" w:rsidR="004D1B63" w:rsidRDefault="004D1B63" w:rsidP="004D1B63">
      <w:pPr>
        <w:pStyle w:val="NoSpacing"/>
      </w:pPr>
    </w:p>
    <w:p w14:paraId="633D6C01" w14:textId="77777777" w:rsidR="00026FB2" w:rsidRPr="00026FB2" w:rsidRDefault="004D1B63" w:rsidP="004D1B63">
      <w:pPr>
        <w:pStyle w:val="NoSpacing"/>
        <w:rPr>
          <w:b/>
          <w:bCs/>
        </w:rPr>
      </w:pPr>
      <w:r>
        <w:lastRenderedPageBreak/>
        <w:t xml:space="preserve">  </w:t>
      </w:r>
      <w:r w:rsidRPr="00026FB2">
        <w:rPr>
          <w:b/>
          <w:bCs/>
        </w:rPr>
        <w:t xml:space="preserve">Trend analysis </w:t>
      </w:r>
    </w:p>
    <w:p w14:paraId="0C303EDE" w14:textId="77967CC4" w:rsidR="004D1B63" w:rsidRDefault="004D1B63" w:rsidP="004D1B63">
      <w:pPr>
        <w:pStyle w:val="NoSpacing"/>
      </w:pPr>
      <w:r>
        <w:t xml:space="preserve">the drop post-2018 reflects a strategic pivot toward premium content. </w:t>
      </w:r>
    </w:p>
    <w:p w14:paraId="31E88013" w14:textId="77777777" w:rsidR="004D1B63" w:rsidRDefault="004D1B63" w:rsidP="004D1B63">
      <w:pPr>
        <w:pStyle w:val="NoSpacing"/>
      </w:pPr>
    </w:p>
    <w:p w14:paraId="3F861FEF" w14:textId="60E33608" w:rsidR="004D1B63" w:rsidRPr="00026FB2" w:rsidRDefault="004D1B63" w:rsidP="004D1B63">
      <w:pPr>
        <w:pStyle w:val="NoSpacing"/>
        <w:rPr>
          <w:b/>
          <w:bCs/>
        </w:rPr>
      </w:pPr>
      <w:r w:rsidRPr="00026FB2">
        <w:rPr>
          <w:b/>
          <w:bCs/>
        </w:rPr>
        <w:t>Strategic Conclusions</w:t>
      </w:r>
    </w:p>
    <w:p w14:paraId="1783F529" w14:textId="77777777" w:rsidR="004D1B63" w:rsidRDefault="004D1B63" w:rsidP="004D1B63">
      <w:pPr>
        <w:pStyle w:val="NoSpacing"/>
      </w:pPr>
      <w:r>
        <w:t>Netflix’s content strategy is built on three pillars:</w:t>
      </w:r>
    </w:p>
    <w:p w14:paraId="3C60D77F" w14:textId="77777777" w:rsidR="004D1B63" w:rsidRDefault="004D1B63" w:rsidP="004D1B63">
      <w:pPr>
        <w:pStyle w:val="NoSpacing"/>
      </w:pPr>
    </w:p>
    <w:p w14:paraId="6A38066A" w14:textId="77777777" w:rsidR="004D1B63" w:rsidRPr="00026FB2" w:rsidRDefault="004D1B63" w:rsidP="004D1B63">
      <w:pPr>
        <w:pStyle w:val="NoSpacing"/>
        <w:rPr>
          <w:b/>
          <w:bCs/>
        </w:rPr>
      </w:pPr>
      <w:r w:rsidRPr="00026FB2">
        <w:rPr>
          <w:b/>
          <w:bCs/>
        </w:rPr>
        <w:t>Audience Targeting</w:t>
      </w:r>
    </w:p>
    <w:p w14:paraId="025B0434" w14:textId="1B263BE1" w:rsidR="004D1B63" w:rsidRDefault="004D1B63" w:rsidP="00026FB2">
      <w:pPr>
        <w:pStyle w:val="NoSpacing"/>
        <w:numPr>
          <w:ilvl w:val="0"/>
          <w:numId w:val="3"/>
        </w:numPr>
      </w:pPr>
      <w:r>
        <w:t>Focus on adults with mature-rated content (TV-MA, Teens+)</w:t>
      </w:r>
    </w:p>
    <w:p w14:paraId="78BCDD62" w14:textId="4F269622" w:rsidR="004D1B63" w:rsidRDefault="004D1B63" w:rsidP="00026FB2">
      <w:pPr>
        <w:pStyle w:val="NoSpacing"/>
        <w:numPr>
          <w:ilvl w:val="0"/>
          <w:numId w:val="3"/>
        </w:numPr>
      </w:pPr>
      <w:r>
        <w:t>Use rating as a proxy for engagement potential</w:t>
      </w:r>
    </w:p>
    <w:p w14:paraId="0085F60A" w14:textId="77777777" w:rsidR="004D1B63" w:rsidRDefault="004D1B63" w:rsidP="00026FB2">
      <w:pPr>
        <w:pStyle w:val="NoSpacing"/>
        <w:numPr>
          <w:ilvl w:val="0"/>
          <w:numId w:val="3"/>
        </w:numPr>
      </w:pPr>
      <w:r>
        <w:t>Risk Management</w:t>
      </w:r>
    </w:p>
    <w:p w14:paraId="2E3C845F" w14:textId="303ABC67" w:rsidR="004D1B63" w:rsidRDefault="004D1B63" w:rsidP="00026FB2">
      <w:pPr>
        <w:pStyle w:val="NoSpacing"/>
        <w:numPr>
          <w:ilvl w:val="0"/>
          <w:numId w:val="3"/>
        </w:numPr>
      </w:pPr>
      <w:r>
        <w:t xml:space="preserve">Launch short-run shows </w:t>
      </w:r>
      <w:r w:rsidR="00026FB2">
        <w:t xml:space="preserve"> to</w:t>
      </w:r>
      <w:r>
        <w:t xml:space="preserve"> test audience response </w:t>
      </w:r>
      <w:r w:rsidR="00026FB2">
        <w:t xml:space="preserve">to </w:t>
      </w:r>
      <w:r>
        <w:t>decide renewal</w:t>
      </w:r>
    </w:p>
    <w:p w14:paraId="62AF06D4" w14:textId="5D6CEFA1" w:rsidR="004D1B63" w:rsidRDefault="004D1B63" w:rsidP="00026FB2">
      <w:pPr>
        <w:pStyle w:val="NoSpacing"/>
        <w:numPr>
          <w:ilvl w:val="0"/>
          <w:numId w:val="3"/>
        </w:numPr>
      </w:pPr>
      <w:r>
        <w:t>Minimizes waste and maximizes ROI</w:t>
      </w:r>
    </w:p>
    <w:p w14:paraId="6FA5E1F2" w14:textId="77777777" w:rsidR="004D1B63" w:rsidRDefault="004D1B63" w:rsidP="00026FB2">
      <w:pPr>
        <w:pStyle w:val="NoSpacing"/>
        <w:numPr>
          <w:ilvl w:val="0"/>
          <w:numId w:val="3"/>
        </w:numPr>
      </w:pPr>
      <w:r>
        <w:t>Global Localization</w:t>
      </w:r>
    </w:p>
    <w:p w14:paraId="49D9EADD" w14:textId="3731CF34" w:rsidR="004D1B63" w:rsidRDefault="004D1B63" w:rsidP="00026FB2">
      <w:pPr>
        <w:pStyle w:val="NoSpacing"/>
        <w:numPr>
          <w:ilvl w:val="0"/>
          <w:numId w:val="3"/>
        </w:numPr>
      </w:pPr>
      <w:r>
        <w:t>Tailor content per region (e.g., India = drama, Japan = anime)</w:t>
      </w:r>
    </w:p>
    <w:p w14:paraId="4813F421" w14:textId="0542596A" w:rsidR="004D1B63" w:rsidRDefault="004D1B63" w:rsidP="00026FB2">
      <w:pPr>
        <w:pStyle w:val="NoSpacing"/>
        <w:numPr>
          <w:ilvl w:val="0"/>
          <w:numId w:val="3"/>
        </w:numPr>
      </w:pPr>
      <w:r>
        <w:t>Leverage cultural relevance to boost retention</w:t>
      </w:r>
    </w:p>
    <w:p w14:paraId="3627D887" w14:textId="77777777" w:rsidR="00026FB2" w:rsidRDefault="00026FB2" w:rsidP="004D1B63">
      <w:pPr>
        <w:pStyle w:val="NoSpacing"/>
        <w:rPr>
          <w:b/>
          <w:bCs/>
        </w:rPr>
      </w:pPr>
    </w:p>
    <w:p w14:paraId="408979A5" w14:textId="4665457E" w:rsidR="004D1B63" w:rsidRPr="00026FB2" w:rsidRDefault="004D1B63" w:rsidP="004D1B63">
      <w:pPr>
        <w:pStyle w:val="NoSpacing"/>
        <w:rPr>
          <w:b/>
          <w:bCs/>
        </w:rPr>
      </w:pPr>
      <w:r w:rsidRPr="00026FB2">
        <w:rPr>
          <w:b/>
          <w:bCs/>
        </w:rPr>
        <w:t>Final Summary</w:t>
      </w:r>
    </w:p>
    <w:p w14:paraId="750C78BE" w14:textId="19D10CED" w:rsidR="004D1B63" w:rsidRDefault="004D1B63" w:rsidP="004D1B63">
      <w:pPr>
        <w:pStyle w:val="NoSpacing"/>
      </w:pPr>
      <w:r>
        <w:t xml:space="preserve">Netflix doesn’t just stream </w:t>
      </w:r>
      <w:r w:rsidR="004B5E15">
        <w:t>content;</w:t>
      </w:r>
      <w:r>
        <w:t>it strategically engineers it.</w:t>
      </w:r>
    </w:p>
    <w:p w14:paraId="7A810E00" w14:textId="77777777" w:rsidR="004D1B63" w:rsidRDefault="004D1B63" w:rsidP="004D1B63">
      <w:pPr>
        <w:pStyle w:val="NoSpacing"/>
      </w:pPr>
      <w:r>
        <w:t>From mature-rated originals to one-season test runs, every decision is backed by data.</w:t>
      </w:r>
    </w:p>
    <w:p w14:paraId="68554E22" w14:textId="759D61D6" w:rsidR="00A21E86" w:rsidRDefault="004D1B63" w:rsidP="004D1B63">
      <w:pPr>
        <w:pStyle w:val="NoSpacing"/>
      </w:pPr>
      <w:r>
        <w:t xml:space="preserve">This analysis reveals a platform that balances creativity, business intelligence, and global reach </w:t>
      </w:r>
      <w:r w:rsidR="00026FB2">
        <w:t xml:space="preserve">to </w:t>
      </w:r>
      <w:r>
        <w:t xml:space="preserve"> making it a leader in the streaming era</w:t>
      </w:r>
    </w:p>
    <w:sectPr w:rsidR="00A21E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wenja" w:date="2025-08-22T16:02:00Z" w:initials="pm">
    <w:p w14:paraId="5AE67422" w14:textId="5602113F" w:rsidR="004D1B63" w:rsidRDefault="004D1B6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E674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53130B" w16cex:dateUtc="2025-08-22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E67422" w16cid:durableId="2C5313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832BE"/>
    <w:multiLevelType w:val="hybridMultilevel"/>
    <w:tmpl w:val="0C44F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F6ABA"/>
    <w:multiLevelType w:val="hybridMultilevel"/>
    <w:tmpl w:val="77E87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E0473"/>
    <w:multiLevelType w:val="hybridMultilevel"/>
    <w:tmpl w:val="6A58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wenja">
    <w15:presenceInfo w15:providerId="Windows Live" w15:userId="1900aa0f00216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63"/>
    <w:rsid w:val="00026FB2"/>
    <w:rsid w:val="00220C6F"/>
    <w:rsid w:val="004977CA"/>
    <w:rsid w:val="004B5E15"/>
    <w:rsid w:val="004D1B63"/>
    <w:rsid w:val="00A2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FD9D"/>
  <w15:chartTrackingRefBased/>
  <w15:docId w15:val="{E5779FB4-073E-4F5B-8CFA-765B6C4B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D1B63"/>
    <w:pPr>
      <w:spacing w:after="0" w:line="240" w:lineRule="auto"/>
    </w:pPr>
  </w:style>
  <w:style w:type="character" w:styleId="CommentReference">
    <w:name w:val="annotation reference"/>
    <w:basedOn w:val="DefaultParagraphFont"/>
    <w:uiPriority w:val="99"/>
    <w:semiHidden/>
    <w:unhideWhenUsed/>
    <w:rsid w:val="004D1B63"/>
    <w:rPr>
      <w:sz w:val="16"/>
      <w:szCs w:val="16"/>
    </w:rPr>
  </w:style>
  <w:style w:type="paragraph" w:styleId="CommentText">
    <w:name w:val="annotation text"/>
    <w:basedOn w:val="Normal"/>
    <w:link w:val="CommentTextChar"/>
    <w:uiPriority w:val="99"/>
    <w:semiHidden/>
    <w:unhideWhenUsed/>
    <w:rsid w:val="004D1B63"/>
    <w:pPr>
      <w:spacing w:line="240" w:lineRule="auto"/>
    </w:pPr>
    <w:rPr>
      <w:sz w:val="20"/>
      <w:szCs w:val="20"/>
    </w:rPr>
  </w:style>
  <w:style w:type="character" w:customStyle="1" w:styleId="CommentTextChar">
    <w:name w:val="Comment Text Char"/>
    <w:basedOn w:val="DefaultParagraphFont"/>
    <w:link w:val="CommentText"/>
    <w:uiPriority w:val="99"/>
    <w:semiHidden/>
    <w:rsid w:val="004D1B63"/>
    <w:rPr>
      <w:sz w:val="20"/>
      <w:szCs w:val="20"/>
    </w:rPr>
  </w:style>
  <w:style w:type="paragraph" w:styleId="CommentSubject">
    <w:name w:val="annotation subject"/>
    <w:basedOn w:val="CommentText"/>
    <w:next w:val="CommentText"/>
    <w:link w:val="CommentSubjectChar"/>
    <w:uiPriority w:val="99"/>
    <w:semiHidden/>
    <w:unhideWhenUsed/>
    <w:rsid w:val="004D1B63"/>
    <w:rPr>
      <w:b/>
      <w:bCs/>
    </w:rPr>
  </w:style>
  <w:style w:type="character" w:customStyle="1" w:styleId="CommentSubjectChar">
    <w:name w:val="Comment Subject Char"/>
    <w:basedOn w:val="CommentTextChar"/>
    <w:link w:val="CommentSubject"/>
    <w:uiPriority w:val="99"/>
    <w:semiHidden/>
    <w:rsid w:val="004D1B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6C122-61CF-46DA-8192-27404A468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mwenja</dc:creator>
  <cp:keywords/>
  <dc:description/>
  <cp:lastModifiedBy>patrick mwenja</cp:lastModifiedBy>
  <cp:revision>1</cp:revision>
  <dcterms:created xsi:type="dcterms:W3CDTF">2025-08-22T12:55:00Z</dcterms:created>
  <dcterms:modified xsi:type="dcterms:W3CDTF">2025-08-22T13:17:00Z</dcterms:modified>
</cp:coreProperties>
</file>